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78291"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E/1990/5/Add.53</w:t>
              </w:r>
            </w:fldSimple>
          </w:p>
          <w:p w:rsidR="00000000" w:rsidRDefault="00000000">
            <w:fldSimple w:instr=" FILLIN &quot;Date&quot; \* MERGEFORMAT ">
              <w:r>
                <w:t>20 November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Substantive session of 2002</w:t>
      </w:r>
    </w:p>
    <w:p w:rsidR="00000000" w:rsidRDefault="00000000"/>
    <w:p w:rsidR="00000000" w:rsidRDefault="00000000"/>
    <w:p w:rsidR="00000000" w:rsidRDefault="00000000"/>
    <w:p w:rsidR="00000000" w:rsidRDefault="00000000"/>
    <w:p w:rsidR="00000000" w:rsidRDefault="00000000">
      <w:pPr>
        <w:pStyle w:val="Heading2"/>
      </w:pPr>
      <w:r>
        <w:t>IMPLEMENTATION OF THE INTERNATIONAL COVENANT ON ECONOMIC, SOCIAL AND CULTURAL RIGHTS</w:t>
      </w:r>
    </w:p>
    <w:p w:rsidR="00000000" w:rsidRDefault="00000000"/>
    <w:p w:rsidR="00000000" w:rsidRDefault="00000000">
      <w:pPr>
        <w:pStyle w:val="Heading1"/>
      </w:pPr>
      <w:r>
        <w:t>Initial reports submitted by States parties under articles 16 and 17 of the Covenant</w:t>
      </w:r>
    </w:p>
    <w:p w:rsidR="00000000" w:rsidRDefault="00000000"/>
    <w:p w:rsidR="00000000" w:rsidRDefault="00000000">
      <w:pPr>
        <w:pStyle w:val="Heading1"/>
      </w:pPr>
      <w:r>
        <w:t>Addendum</w:t>
      </w:r>
    </w:p>
    <w:p w:rsidR="00000000" w:rsidRDefault="00000000"/>
    <w:p w:rsidR="00000000" w:rsidRDefault="00000000">
      <w:pPr>
        <w:pStyle w:val="Heading2"/>
      </w:pPr>
      <w:r>
        <w:t>Brazil</w:t>
      </w:r>
      <w:r>
        <w:rPr>
          <w:rStyle w:val="FootnoteReference"/>
          <w:vertAlign w:val="baseline"/>
        </w:rPr>
        <w:footnoteReference w:customMarkFollows="1" w:id="1"/>
        <w:t>*</w:t>
      </w:r>
    </w:p>
    <w:p w:rsidR="00000000" w:rsidRDefault="00000000"/>
    <w:p w:rsidR="00000000" w:rsidRDefault="00000000">
      <w:pPr>
        <w:jc w:val="right"/>
      </w:pPr>
      <w:r>
        <w:t>[21 August 2001]</w:t>
      </w: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pPr>
      <w:r>
        <w:br w:type="page"/>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leader="dot" w:pos="8647"/>
          <w:tab w:val="right" w:pos="9043"/>
        </w:tabs>
      </w:pPr>
      <w:r>
        <w:t xml:space="preserve">Introduction to the report by the Minister of State for </w:t>
      </w:r>
    </w:p>
    <w:p w:rsidR="00000000" w:rsidRDefault="00000000">
      <w:pPr>
        <w:tabs>
          <w:tab w:val="left" w:leader="dot" w:pos="8647"/>
          <w:tab w:val="right" w:pos="9043"/>
        </w:tabs>
      </w:pPr>
      <w:r>
        <w:t xml:space="preserve">External Relations </w:t>
      </w:r>
      <w:r>
        <w:tab/>
      </w:r>
      <w:r>
        <w:tab/>
        <w:t>3</w:t>
      </w:r>
    </w:p>
    <w:p w:rsidR="00000000" w:rsidRDefault="00000000">
      <w:pPr>
        <w:tabs>
          <w:tab w:val="left" w:leader="dot" w:pos="8647"/>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t>I.</w:t>
      </w:r>
      <w:r>
        <w:tab/>
        <w:t xml:space="preserve">INTRODUCTION </w:t>
      </w:r>
      <w:r>
        <w:tab/>
      </w:r>
      <w:r>
        <w:tab/>
        <w:t xml:space="preserve">1 </w:t>
      </w:r>
      <w:r>
        <w:noBreakHyphen/>
        <w:t xml:space="preserve"> 22</w:t>
      </w:r>
      <w:r>
        <w:tab/>
        <w:t>4</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t>II.</w:t>
      </w:r>
      <w:r>
        <w:tab/>
        <w:t xml:space="preserve">GENERAL INFORMATION ON BRAZIL </w:t>
      </w:r>
      <w:r>
        <w:tab/>
      </w:r>
      <w:r>
        <w:tab/>
        <w:t xml:space="preserve">23 </w:t>
      </w:r>
      <w:r>
        <w:noBreakHyphen/>
        <w:t xml:space="preserve"> 27</w:t>
      </w:r>
      <w:r>
        <w:tab/>
        <w:t>8</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t>III.</w:t>
      </w:r>
      <w:r>
        <w:tab/>
        <w:t xml:space="preserve">BRAZIL’S REPORT ON SPECIFIC ARTICLES OF THE </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INTERNATIONAL COVENANT ON ECONOMIC, SOCIAL </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AND CULTURAL RIGHTS AND ON THE HUMAN </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RIGHTS COVERED THEREIN </w:t>
      </w:r>
      <w:r>
        <w:tab/>
      </w:r>
      <w:r>
        <w:tab/>
        <w:t xml:space="preserve">28 </w:t>
      </w:r>
      <w:r>
        <w:noBreakHyphen/>
        <w:t xml:space="preserve"> 877</w:t>
      </w:r>
      <w:r>
        <w:tab/>
        <w:t>16</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Articles 1, 2, 3, 4 and 5 </w:t>
      </w:r>
      <w:r>
        <w:tab/>
      </w:r>
      <w:r>
        <w:tab/>
        <w:t xml:space="preserve">29 </w:t>
      </w:r>
      <w:r>
        <w:noBreakHyphen/>
        <w:t xml:space="preserve"> 33</w:t>
      </w:r>
      <w:r>
        <w:tab/>
        <w:t>16</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6 </w:t>
      </w:r>
      <w:r>
        <w:tab/>
      </w:r>
      <w:r>
        <w:tab/>
        <w:t xml:space="preserve">34 </w:t>
      </w:r>
      <w:r>
        <w:noBreakHyphen/>
        <w:t xml:space="preserve"> 123</w:t>
      </w:r>
      <w:r>
        <w:tab/>
        <w:t>17</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7 </w:t>
      </w:r>
      <w:r>
        <w:tab/>
      </w:r>
      <w:r>
        <w:tab/>
        <w:t xml:space="preserve">124 </w:t>
      </w:r>
      <w:r>
        <w:noBreakHyphen/>
        <w:t xml:space="preserve"> 180</w:t>
      </w:r>
      <w:r>
        <w:tab/>
        <w:t>43</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8 </w:t>
      </w:r>
      <w:r>
        <w:tab/>
      </w:r>
      <w:r>
        <w:tab/>
        <w:t xml:space="preserve">181 </w:t>
      </w:r>
      <w:r>
        <w:noBreakHyphen/>
        <w:t xml:space="preserve"> 195</w:t>
      </w:r>
      <w:r>
        <w:tab/>
        <w:t>72</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9 </w:t>
      </w:r>
      <w:r>
        <w:tab/>
      </w:r>
      <w:r>
        <w:tab/>
        <w:t xml:space="preserve">196 </w:t>
      </w:r>
      <w:r>
        <w:noBreakHyphen/>
        <w:t xml:space="preserve"> 295</w:t>
      </w:r>
      <w:r>
        <w:tab/>
        <w:t>75</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10 </w:t>
      </w:r>
      <w:r>
        <w:tab/>
      </w:r>
      <w:r>
        <w:tab/>
        <w:t xml:space="preserve">296 </w:t>
      </w:r>
      <w:r>
        <w:noBreakHyphen/>
        <w:t xml:space="preserve"> 370</w:t>
      </w:r>
      <w:r>
        <w:tab/>
        <w:t>94</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11 </w:t>
      </w:r>
      <w:r>
        <w:tab/>
      </w:r>
      <w:r>
        <w:tab/>
        <w:t xml:space="preserve">371 </w:t>
      </w:r>
      <w:r>
        <w:noBreakHyphen/>
        <w:t xml:space="preserve"> 557</w:t>
      </w:r>
      <w:r>
        <w:tab/>
        <w:t>108</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12 </w:t>
      </w:r>
      <w:r>
        <w:tab/>
      </w:r>
      <w:r>
        <w:tab/>
        <w:t xml:space="preserve">558 </w:t>
      </w:r>
      <w:r>
        <w:noBreakHyphen/>
        <w:t xml:space="preserve"> 744</w:t>
      </w:r>
      <w:r>
        <w:tab/>
        <w:t>159</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Articles 13 and 14 </w:t>
      </w:r>
      <w:r>
        <w:tab/>
      </w:r>
      <w:r>
        <w:tab/>
        <w:t xml:space="preserve">745 </w:t>
      </w:r>
      <w:r>
        <w:noBreakHyphen/>
        <w:t xml:space="preserve"> 805</w:t>
      </w:r>
      <w:r>
        <w:tab/>
        <w:t>205</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15 </w:t>
      </w:r>
      <w:r>
        <w:tab/>
      </w:r>
      <w:r>
        <w:tab/>
        <w:t xml:space="preserve">806 </w:t>
      </w:r>
      <w:r>
        <w:noBreakHyphen/>
        <w:t xml:space="preserve"> 877</w:t>
      </w:r>
      <w:r>
        <w:tab/>
        <w:t>220</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pStyle w:val="Heading1"/>
      </w:pPr>
      <w:r>
        <w:br w:type="page"/>
        <w:t>Introduction to the report by the Minister of State for External Relations</w:t>
      </w:r>
    </w:p>
    <w:p w:rsidR="00000000" w:rsidRDefault="00000000"/>
    <w:p w:rsidR="00000000" w:rsidRDefault="00000000">
      <w:r>
        <w:tab/>
        <w:t>The Brazilian Government is very pleased to present its initial and periodic reports to the Committee on Economic, Social and Cultural Rights, as set forth in the International Covenant on Economic, Social and Cultural Rights.</w:t>
      </w:r>
    </w:p>
    <w:p w:rsidR="00000000" w:rsidRDefault="00000000"/>
    <w:p w:rsidR="00000000" w:rsidRDefault="00000000">
      <w:r>
        <w:tab/>
        <w:t xml:space="preserve">The broad intersectoral consultation process that preceded these reports and the positive and the spontaneous contributions made by civil society are worth highlighting.  These efforts were coordinated by the Human Rights Committee in Brazil’s lower house in Congress, the Chamber of Deputies, in a document called “The Civil Society Report on Brazil’s Observance of the International Covenant on Economic, Social and Cultural Rights.”  </w:t>
      </w:r>
    </w:p>
    <w:p w:rsidR="00000000" w:rsidRDefault="00000000"/>
    <w:p w:rsidR="00000000" w:rsidRDefault="00000000">
      <w:r>
        <w:tab/>
        <w:t>The reports we are now submitting reflect the Government’s efforts to meet the commitments made to the Committee on Economic, Social and Cultural Rights.  The first draft was prepared during the administration of Minister Luiz Felipe Lampreia, on the basis of work prepared by the Instituto de Pesquisa Economica Aplicada (IPEA).</w:t>
      </w:r>
      <w:r>
        <w:rPr>
          <w:rStyle w:val="EndnoteReference"/>
        </w:rPr>
        <w:endnoteReference w:id="1"/>
      </w:r>
      <w:r>
        <w:t xml:space="preserve">  </w:t>
      </w:r>
    </w:p>
    <w:p w:rsidR="00000000" w:rsidRDefault="00000000"/>
    <w:p w:rsidR="00000000" w:rsidRDefault="00000000">
      <w:r>
        <w:tab/>
        <w:t xml:space="preserve">The Brazilian Government therefore trusts that it has addressed the rights that are promoted and protected by the Covenant, whose importance Brazil recognizes and values, and that it has done so in the proper depth and detail.  The Government also trusts that the report will provide the Committee with a clear overview of Brazil’s achievements in the field of human rights as well as an understanding of the nation’s complexities and continuing deficiencies.  This overview also describes the commitment and efforts made by the Government to promote and protect economic, social and cultural rights within a framework of full democratic freedom and economic stability, while increasingly encouraging civil society to participate in efforts to assess strategies and design public policies.  </w:t>
      </w:r>
    </w:p>
    <w:p w:rsidR="00000000" w:rsidRDefault="00000000"/>
    <w:p w:rsidR="00000000" w:rsidRDefault="00000000"/>
    <w:p w:rsidR="00000000" w:rsidRDefault="00000000">
      <w:pPr>
        <w:pStyle w:val="Heading1"/>
        <w:jc w:val="left"/>
        <w:rPr>
          <w:b w:val="0"/>
          <w:bCs/>
        </w:rPr>
      </w:pPr>
      <w:r>
        <w:tab/>
      </w:r>
      <w:r>
        <w:tab/>
      </w:r>
      <w:r>
        <w:tab/>
      </w:r>
      <w:r>
        <w:tab/>
      </w:r>
      <w:r>
        <w:tab/>
      </w:r>
      <w:r>
        <w:tab/>
      </w:r>
      <w:r>
        <w:rPr>
          <w:b w:val="0"/>
          <w:bCs/>
        </w:rPr>
        <w:tab/>
      </w:r>
      <w:r>
        <w:rPr>
          <w:b w:val="0"/>
          <w:bCs/>
        </w:rPr>
        <w:tab/>
        <w:t>Celso LAFER</w:t>
      </w:r>
      <w:r>
        <w:rPr>
          <w:b w:val="0"/>
          <w:bCs/>
        </w:rPr>
        <w:tab/>
      </w:r>
    </w:p>
    <w:p w:rsidR="00000000" w:rsidRDefault="00000000">
      <w:pPr>
        <w:pStyle w:val="Heading1"/>
        <w:jc w:val="left"/>
        <w:rPr>
          <w:b w:val="0"/>
          <w:bCs/>
        </w:rPr>
      </w:pPr>
      <w:r>
        <w:rPr>
          <w:b w:val="0"/>
          <w:bCs/>
        </w:rPr>
        <w:tab/>
      </w:r>
      <w:r>
        <w:rPr>
          <w:b w:val="0"/>
          <w:bCs/>
        </w:rPr>
        <w:tab/>
      </w:r>
      <w:r>
        <w:rPr>
          <w:b w:val="0"/>
          <w:bCs/>
        </w:rPr>
        <w:tab/>
      </w:r>
      <w:r>
        <w:rPr>
          <w:b w:val="0"/>
          <w:bCs/>
        </w:rPr>
        <w:tab/>
      </w:r>
      <w:r>
        <w:rPr>
          <w:b w:val="0"/>
          <w:bCs/>
        </w:rPr>
        <w:tab/>
      </w:r>
      <w:r>
        <w:rPr>
          <w:b w:val="0"/>
          <w:bCs/>
        </w:rPr>
        <w:tab/>
        <w:t xml:space="preserve">     Minister of State for External Relations</w:t>
      </w:r>
    </w:p>
    <w:p w:rsidR="00000000" w:rsidRDefault="00000000">
      <w:pPr>
        <w:rPr>
          <w:bCs/>
        </w:rPr>
      </w:pPr>
      <w:r>
        <w:rPr>
          <w:bCs/>
        </w:rPr>
        <w:t xml:space="preserve"> </w:t>
      </w:r>
    </w:p>
    <w:p w:rsidR="00000000" w:rsidRDefault="00000000">
      <w:pPr>
        <w:pStyle w:val="Heading2"/>
      </w:pPr>
      <w:r>
        <w:br w:type="page"/>
        <w:t>I.  INTRODUCTION</w:t>
      </w:r>
    </w:p>
    <w:p w:rsidR="00000000" w:rsidRDefault="00000000"/>
    <w:p w:rsidR="00000000" w:rsidRDefault="00000000">
      <w:pPr>
        <w:pStyle w:val="ParaNo"/>
        <w:tabs>
          <w:tab w:val="clear" w:pos="360"/>
          <w:tab w:val="clear" w:pos="737"/>
        </w:tabs>
        <w:rPr>
          <w:lang w:val="en-GB"/>
        </w:rPr>
      </w:pPr>
      <w:r>
        <w:rPr>
          <w:lang w:val="en-GB"/>
        </w:rPr>
        <w:t>The Brazilian Government hereby presents its initial report to the Committee on Economic, Social and Cultural Rights, pursuant to article 16 of the International Covenant on Economic, Social and Cultural Rights.</w:t>
      </w:r>
    </w:p>
    <w:p w:rsidR="00000000" w:rsidRDefault="00000000"/>
    <w:p w:rsidR="00000000" w:rsidRDefault="00000000">
      <w:pPr>
        <w:pStyle w:val="ParaNo"/>
        <w:tabs>
          <w:tab w:val="clear" w:pos="360"/>
          <w:tab w:val="clear" w:pos="737"/>
        </w:tabs>
        <w:rPr>
          <w:lang w:val="en-GB"/>
        </w:rPr>
      </w:pPr>
      <w:r>
        <w:rPr>
          <w:lang w:val="en-GB"/>
        </w:rPr>
        <w:t>Before beginning, however, the Brazilian Government would like to express its regrets for the delay in submitting the report.  The importance of the rights covered by the Covenant; the fact that the broad nature of such rights permeates all the State’s activities; and Brazil’s own geographic, administrative and political complexity are just some of the factors underlying the delay in presenting this document.  Nevertheless, an effort has been made to prepare a detailed report that expresses the clear progress made in promoting and protecting the human rights covered by the International Covenant without ignoring Brazil’s continuing inadequacies.  The report also reiterates Brazil’s firm commitment to the full realization of the human rights in question.</w:t>
      </w:r>
    </w:p>
    <w:p w:rsidR="00000000" w:rsidRDefault="00000000"/>
    <w:p w:rsidR="00000000" w:rsidRDefault="00000000">
      <w:pPr>
        <w:pStyle w:val="ParaNo"/>
        <w:tabs>
          <w:tab w:val="clear" w:pos="360"/>
          <w:tab w:val="clear" w:pos="737"/>
        </w:tabs>
        <w:rPr>
          <w:lang w:val="en-GB"/>
        </w:rPr>
      </w:pPr>
      <w:r>
        <w:rPr>
          <w:lang w:val="en-GB"/>
        </w:rPr>
        <w:t>Every effort was made to provide a broad range of data and to focus on periods encompassing several decades.  For this reason the Brazilian Government would very much appreciate the Committee’s approval of its request that this report satisfy not only the requirement in the International Covenant regarding an initial report but also the obligation to provide periodic updates to extend until the present year.</w:t>
      </w:r>
    </w:p>
    <w:p w:rsidR="00000000" w:rsidRDefault="00000000"/>
    <w:p w:rsidR="00000000" w:rsidRDefault="00000000">
      <w:pPr>
        <w:pStyle w:val="Heading3"/>
      </w:pPr>
      <w:r>
        <w:t>Brazil and human rights</w:t>
      </w:r>
    </w:p>
    <w:p w:rsidR="00000000" w:rsidRDefault="00000000"/>
    <w:p w:rsidR="00000000" w:rsidRDefault="00000000">
      <w:pPr>
        <w:pStyle w:val="ParaNo"/>
        <w:tabs>
          <w:tab w:val="clear" w:pos="360"/>
          <w:tab w:val="clear" w:pos="737"/>
        </w:tabs>
        <w:rPr>
          <w:lang w:val="en-GB"/>
        </w:rPr>
      </w:pPr>
      <w:r>
        <w:rPr>
          <w:lang w:val="en-GB"/>
        </w:rPr>
        <w:t>Efforts to rebuild democracy and strengthen citizenship in Brazil have been accompanied by an effort to attach greater importance to human rights in general and to economic, social and cultural rights in particular.</w:t>
      </w:r>
    </w:p>
    <w:p w:rsidR="00000000" w:rsidRDefault="00000000"/>
    <w:p w:rsidR="00000000" w:rsidRDefault="00000000">
      <w:pPr>
        <w:pStyle w:val="ParaNo"/>
        <w:tabs>
          <w:tab w:val="clear" w:pos="360"/>
          <w:tab w:val="clear" w:pos="737"/>
        </w:tabs>
        <w:rPr>
          <w:lang w:val="en-GB"/>
        </w:rPr>
      </w:pPr>
      <w:r>
        <w:rPr>
          <w:lang w:val="en-GB"/>
        </w:rPr>
        <w:t>Brazil is a party to all the key international and regional instruments designed to promote and protect human rights.  Whether at home or abroad, the Government has always recognized the legitimacy of international concerns regarding the status of human rights anywhere in the world.  Brazil feels that nations must cooperate among themselves and with the United Nations in order to effectively protect and promote such rights.  We also view human rights as universal.  For this reason such rights cannot be subjected to invalidation, relativism or limitations tied to peculiarities of any sort.  Finally, Brazil defends a third thrust: the indivisible and interdependent nature of all human rights.  No set of rights may be ranked to the detriment of any other set of rights.</w:t>
      </w:r>
    </w:p>
    <w:p w:rsidR="00000000" w:rsidRDefault="00000000"/>
    <w:p w:rsidR="00000000" w:rsidRDefault="00000000">
      <w:pPr>
        <w:pStyle w:val="ParaNo"/>
        <w:tabs>
          <w:tab w:val="clear" w:pos="360"/>
          <w:tab w:val="clear" w:pos="737"/>
        </w:tabs>
        <w:rPr>
          <w:lang w:val="en-GB"/>
        </w:rPr>
      </w:pPr>
      <w:r>
        <w:rPr>
          <w:lang w:val="en-GB"/>
        </w:rPr>
        <w:t>Brazil is an active participant in forums to promote and protect human rights; it engages in a forthright, constructive and transparent dialogue with international treaty bodies and the countless mechanisms of the Commission on Human Rights of which we are members.</w:t>
      </w:r>
    </w:p>
    <w:p w:rsidR="00000000" w:rsidRDefault="00000000"/>
    <w:p w:rsidR="00000000" w:rsidRDefault="00000000">
      <w:pPr>
        <w:pStyle w:val="ParaNo"/>
        <w:tabs>
          <w:tab w:val="clear" w:pos="360"/>
          <w:tab w:val="clear" w:pos="737"/>
        </w:tabs>
        <w:rPr>
          <w:lang w:val="en-GB"/>
        </w:rPr>
      </w:pPr>
      <w:r>
        <w:rPr>
          <w:lang w:val="en-GB"/>
        </w:rPr>
        <w:t>On the domestic front significant progress has been made in promoting and protecting human rights.  In this regard the Federal Constitution adopted in 1988 deserves to be highlighted.  The text of the Constitution has a number of clauses that buttress the promotion and protection of human rights and that have served as a source of inspiration or as a framework for subsequent legislation.</w:t>
      </w:r>
      <w:r>
        <w:rPr>
          <w:rStyle w:val="EndnoteReference"/>
          <w:lang w:val="en-GB"/>
        </w:rPr>
        <w:endnoteReference w:id="2"/>
      </w:r>
    </w:p>
    <w:p w:rsidR="00000000" w:rsidRDefault="00000000">
      <w:pPr>
        <w:pStyle w:val="ParaNo"/>
        <w:tabs>
          <w:tab w:val="clear" w:pos="360"/>
          <w:tab w:val="clear" w:pos="737"/>
        </w:tabs>
        <w:rPr>
          <w:lang w:val="en-GB"/>
        </w:rPr>
      </w:pPr>
      <w:r>
        <w:rPr>
          <w:lang w:val="en-GB"/>
        </w:rPr>
        <w:t>Brazil was an active participant in the World Conference on Human Rights held in Vienna in 1993.  In compliance with the Vienna recommendations Brazil created a Secretariat of State for Human Rights at a level of seniority similar to that of a ministry.  Within the Ministry of External Relations a Special Department on Human Rights was also created.  As part of its follow</w:t>
      </w:r>
      <w:r>
        <w:rPr>
          <w:lang w:val="en-GB"/>
        </w:rPr>
        <w:noBreakHyphen/>
        <w:t xml:space="preserve">up to Vienna, the Government also set in motion an intense programme of consultations that included civil society and that resulted in the National Human Rights Programme adopted in May 1996. </w:t>
      </w:r>
    </w:p>
    <w:p w:rsidR="00000000" w:rsidRDefault="00000000"/>
    <w:p w:rsidR="00000000" w:rsidRDefault="00000000">
      <w:pPr>
        <w:pStyle w:val="ParaNo"/>
        <w:tabs>
          <w:tab w:val="clear" w:pos="360"/>
          <w:tab w:val="clear" w:pos="737"/>
        </w:tabs>
        <w:rPr>
          <w:lang w:val="en-GB"/>
        </w:rPr>
      </w:pPr>
      <w:r>
        <w:rPr>
          <w:lang w:val="en-GB"/>
        </w:rPr>
        <w:t xml:space="preserve">Among other initiatives, the National Human Rights Programme has attached priority to the following measures:  (a) approving a Bill to amend the Constitution, presented by the Administration in 1996 </w:t>
      </w:r>
      <w:r>
        <w:rPr>
          <w:lang w:val="en-GB"/>
        </w:rPr>
        <w:noBreakHyphen/>
        <w:t xml:space="preserve"> under this Bill, crimes against human rights would be judged by the Federal Justice System; (b) approving a Bill of Law that would transfer crimes committed by military police officers to the ordinary justice system for trial; (c) approving legislation to broaden the possibility of alternative sentencing; (d) creating and subsequently approving efforts to reform the Council for the Defence of the Rights of Human Beings in such a way as to broaden civil society participation while perfecting efforts to work together with the State; (e) expanding the Witness Protection Programme and the Programme to Provide Protection to the Victims of Crime and their Families, as part of a joint effort involving state governments and social organizations in order to combat impunity; (f) fostering innovative programmes to rehabilitate young offenders by providing community activities, professional and educational programmes and support for families and victims.  The National Human Rights Programme has produced extremely positive results; it has generated a number of measures to promote and protect human rights, and has also increased awareness as to the importance of including a human rights perspective in all governmental activities.</w:t>
      </w:r>
    </w:p>
    <w:p w:rsidR="00000000" w:rsidRDefault="00000000"/>
    <w:p w:rsidR="00000000" w:rsidRDefault="00000000">
      <w:pPr>
        <w:pStyle w:val="ParaNo"/>
        <w:tabs>
          <w:tab w:val="clear" w:pos="360"/>
          <w:tab w:val="clear" w:pos="737"/>
        </w:tabs>
        <w:rPr>
          <w:lang w:val="en-GB"/>
        </w:rPr>
      </w:pPr>
      <w:r>
        <w:rPr>
          <w:lang w:val="en-GB"/>
        </w:rPr>
        <w:t>The State must be decentralized, non</w:t>
      </w:r>
      <w:r>
        <w:rPr>
          <w:lang w:val="en-GB"/>
        </w:rPr>
        <w:noBreakHyphen/>
        <w:t>governmental arenas and forums for public activities must multiply and become more diverse, and civil society organizations and networks must make their voices heard.  Of course, such efforts will only be feasible if civil society and its legitimate representatives participate more fully and with growing constancy in the indispensable dialogue that the Government would like to increasingly inject into public policy planning and implementation.  This is particularly true in the case of policies designed for use in the struggle against poverty and social exclusion.</w:t>
      </w:r>
    </w:p>
    <w:p w:rsidR="00000000" w:rsidRDefault="00000000"/>
    <w:p w:rsidR="00000000" w:rsidRDefault="00000000">
      <w:pPr>
        <w:pStyle w:val="ParaNo"/>
        <w:tabs>
          <w:tab w:val="clear" w:pos="360"/>
          <w:tab w:val="clear" w:pos="737"/>
        </w:tabs>
        <w:rPr>
          <w:lang w:val="en-GB"/>
        </w:rPr>
      </w:pPr>
      <w:r>
        <w:rPr>
          <w:lang w:val="en-GB"/>
        </w:rPr>
        <w:t>Recently, a document called “The Civil Society Report on Brazil’s Observance of the International Covenant on Economic, Social and Cultural Rights” was delivered directly to the Committee by people representing Brazil’s civil society and Congress.  This document provides concrete evidence of the increasingly intense involvement of the public at large in discussions involving issues that interest it.</w:t>
      </w:r>
    </w:p>
    <w:p w:rsidR="00000000" w:rsidRDefault="00000000"/>
    <w:p w:rsidR="00000000" w:rsidRDefault="00000000">
      <w:pPr>
        <w:pStyle w:val="ParaNo"/>
        <w:tabs>
          <w:tab w:val="clear" w:pos="360"/>
          <w:tab w:val="clear" w:pos="737"/>
        </w:tabs>
        <w:rPr>
          <w:lang w:val="en-GB"/>
        </w:rPr>
      </w:pPr>
      <w:r>
        <w:rPr>
          <w:lang w:val="en-GB"/>
        </w:rPr>
        <w:t>The Brazilian Government would like to thank the Chamber of Deputies, and particularly its Committee on Human Rights, for efforts that reinforce the view that these human rights reports can become important and substantive tools.  As instruments they can be used to analyse, diagnose and support public policy</w:t>
      </w:r>
      <w:r>
        <w:rPr>
          <w:lang w:val="en-GB"/>
        </w:rPr>
        <w:noBreakHyphen/>
        <w:t>making.</w:t>
      </w:r>
    </w:p>
    <w:p w:rsidR="00000000" w:rsidRDefault="00000000"/>
    <w:p w:rsidR="00000000" w:rsidRDefault="00000000">
      <w:pPr>
        <w:pStyle w:val="ParaNo"/>
        <w:tabs>
          <w:tab w:val="clear" w:pos="360"/>
          <w:tab w:val="clear" w:pos="737"/>
        </w:tabs>
        <w:rPr>
          <w:lang w:val="en-GB"/>
        </w:rPr>
      </w:pPr>
      <w:r>
        <w:rPr>
          <w:lang w:val="en-GB"/>
        </w:rPr>
        <w:br w:type="page"/>
        <w:t>The document mentioned above reflects the fact that a discussion of economic, social and cultural rights speaks to the Government’s concerns regarding fuller participation by society.  Discussions of this nature also function as a response to similar recommendations by the Committees that are part of the United Nation’s system to promote and protect human rights, such as the Committee on Economic, Social and Cultural Rights.</w:t>
      </w:r>
    </w:p>
    <w:p w:rsidR="00000000" w:rsidRDefault="00000000"/>
    <w:p w:rsidR="00000000" w:rsidRDefault="00000000">
      <w:pPr>
        <w:pStyle w:val="ParaNo"/>
        <w:tabs>
          <w:tab w:val="clear" w:pos="360"/>
          <w:tab w:val="clear" w:pos="737"/>
        </w:tabs>
        <w:rPr>
          <w:lang w:val="en-GB"/>
        </w:rPr>
      </w:pPr>
      <w:r>
        <w:rPr>
          <w:lang w:val="en-GB"/>
        </w:rPr>
        <w:t>One example of a topic that has merited the specific attention of organized society in Brazil is the issue of globalization, its meaning and its impact.  The Civil Society Report mentioned above refers to this concern on a number of occasions.  Brazil’s Government shares a number of these concerns and has taken steps to forecast and reduce or else compensate for the undesirable impact on human rights caused by structural changes throughout the world.  In response to these shared concerns, the Government has attempted to make important international forums aware of the need to ensure that globalization be carried out in a symmetric and supportive way.  Brazil suggested to the High Commissioner on Human Rights that a Seminar on Globalization and Human Rights be held in order to advance the international debate regarding this issue.</w:t>
      </w:r>
    </w:p>
    <w:p w:rsidR="00000000" w:rsidRDefault="00000000"/>
    <w:p w:rsidR="00000000" w:rsidRDefault="00000000">
      <w:pPr>
        <w:pStyle w:val="ParaNo"/>
        <w:tabs>
          <w:tab w:val="clear" w:pos="360"/>
          <w:tab w:val="clear" w:pos="737"/>
        </w:tabs>
        <w:rPr>
          <w:lang w:val="en-GB"/>
        </w:rPr>
      </w:pPr>
      <w:r>
        <w:rPr>
          <w:lang w:val="en-GB"/>
        </w:rPr>
        <w:t xml:space="preserve">Globalization is a complex theme, of course, as pointed out by the Committee on Economic, Social and Cultural Rights itself in its declaration called “Globalization and Economic, Social and Cultural Rights </w:t>
      </w:r>
      <w:r>
        <w:rPr>
          <w:lang w:val="en-GB"/>
        </w:rPr>
        <w:noBreakHyphen/>
        <w:t xml:space="preserve"> Statement by the Committee on Economic, Social and Cultural Rights” in May 1988.  Because of the importance of the statement and because it is so fully in line with the Brazilian Government’s own concerns regarding globalization, paragraph 4 of that Declaration is quoted below:</w:t>
      </w:r>
    </w:p>
    <w:p w:rsidR="00000000" w:rsidRDefault="00000000"/>
    <w:p w:rsidR="00000000" w:rsidRDefault="00000000">
      <w:pPr>
        <w:ind w:left="720" w:firstLine="720"/>
      </w:pPr>
      <w:r>
        <w:t>“All of these risks can be guarded against, or compensated for, if appropriate policies are put in place.  The Committee is concerned, however, that while much energy and many resources have been expended by governments to promote trends and policies that are associated with globalization, insufficient efforts are being made to devise new or complementary approaches that could enhance the compatibility of competitiveness.  Efficiency and economic rationalism must not be permitted to become the primary or exclusive criteria against which governmental and inter</w:t>
      </w:r>
      <w:r>
        <w:noBreakHyphen/>
        <w:t>governmental policies are evaluated.”</w:t>
      </w:r>
    </w:p>
    <w:p w:rsidR="00000000" w:rsidRDefault="00000000">
      <w:pPr>
        <w:ind w:left="720"/>
      </w:pPr>
    </w:p>
    <w:p w:rsidR="00000000" w:rsidRDefault="00000000">
      <w:pPr>
        <w:pStyle w:val="ParaNo"/>
        <w:tabs>
          <w:tab w:val="clear" w:pos="360"/>
          <w:tab w:val="clear" w:pos="737"/>
        </w:tabs>
        <w:rPr>
          <w:lang w:val="en-GB"/>
        </w:rPr>
      </w:pPr>
      <w:r>
        <w:rPr>
          <w:lang w:val="en-GB"/>
        </w:rPr>
        <w:t>Currently efforts are under way to pursue the domestic reforms that will be required if Brazil is to be modernized, however without ignoring the need to ensure that structural adjustment programmes also include social development goals, particularly those that fight poverty and exclusion.  Details can be found below in the sections of this report on the individual articles of the International Covenant on Economic, Social and Cultural Rights.</w:t>
      </w:r>
    </w:p>
    <w:p w:rsidR="00000000" w:rsidRDefault="00000000"/>
    <w:p w:rsidR="00000000" w:rsidRDefault="00000000">
      <w:pPr>
        <w:pStyle w:val="ParaNo"/>
        <w:tabs>
          <w:tab w:val="clear" w:pos="360"/>
          <w:tab w:val="clear" w:pos="737"/>
        </w:tabs>
        <w:rPr>
          <w:lang w:val="en-GB"/>
        </w:rPr>
      </w:pPr>
      <w:r>
        <w:rPr>
          <w:lang w:val="en-GB"/>
        </w:rPr>
        <w:t>An example of such concerns is the creation of the so</w:t>
      </w:r>
      <w:r>
        <w:rPr>
          <w:lang w:val="en-GB"/>
        </w:rPr>
        <w:noBreakHyphen/>
        <w:t>called “Social Safety Net” which comprises 22 government programmes designed to provide basic social services to low</w:t>
      </w:r>
      <w:r>
        <w:rPr>
          <w:lang w:val="en-GB"/>
        </w:rPr>
        <w:noBreakHyphen/>
        <w:t>income groups.  The Social Safety Net was designed as part of a Loan Contract between Brazil and the Inter</w:t>
      </w:r>
      <w:r>
        <w:rPr>
          <w:lang w:val="en-GB"/>
        </w:rPr>
        <w:noBreakHyphen/>
        <w:t xml:space="preserve">American Development Bank (IDB) in 1999.  Although implemented during tight budget periods, aggravated by the international financial crises of the late 1990s, the Safety Net guaranteed continued investments in social programmes.  With regard to funds, the annual </w:t>
      </w:r>
    </w:p>
    <w:p w:rsidR="00000000" w:rsidRDefault="00000000">
      <w:r>
        <w:br w:type="page"/>
        <w:t>contract target was set at Cr$ 11.3 billion; in fact, investments in the full set of programmes totalled Cr$ 11.8 billion in one year, equivalent to 104 per cent of the agreed target.  With regard to actual implementation, almost all the project activities surpassed the targets that had been set.  Thanks to the Safety Net 72.6 million school books were distributed in 1999; 16.8 million pregnant women and children received vaccines; 2.6 million workers were trained; and 145,000 children and adolescents put their years of grim and degrading child labour behind them by returning to school.</w:t>
      </w:r>
    </w:p>
    <w:p w:rsidR="00000000" w:rsidRDefault="00000000"/>
    <w:p w:rsidR="00000000" w:rsidRDefault="00000000">
      <w:pPr>
        <w:pStyle w:val="ParaNo"/>
        <w:tabs>
          <w:tab w:val="clear" w:pos="360"/>
          <w:tab w:val="clear" w:pos="737"/>
        </w:tabs>
        <w:rPr>
          <w:lang w:val="en-GB"/>
        </w:rPr>
      </w:pPr>
      <w:r>
        <w:rPr>
          <w:lang w:val="en-GB"/>
        </w:rPr>
        <w:t>Brazil needed to overcome a number of major barriers comprising fiscal adjustment programmes and a series of international financial crises before it could implement wide</w:t>
      </w:r>
      <w:r>
        <w:rPr>
          <w:lang w:val="en-GB"/>
        </w:rPr>
        <w:noBreakHyphen/>
        <w:t xml:space="preserve">ranging social policies.  Nevertheless, federal government expenditures on social programmes continued to increase, beginning at a level of Cr$ 77.7 billion in 1993 and increasing to Cr$ 114.7 billion in 1998.  This steady growth was confirmed by per capita federal expenditures on social programmes which increased from Cr$ 515.2 in 1993 to Cr$ 710.7 in 1998.  Brazilian spending on social programmes expressed as a percentage of GDP remained constant at a level of about 21 per cent, one of the highest percentages in Latin America.  </w:t>
      </w:r>
    </w:p>
    <w:p w:rsidR="00000000" w:rsidRDefault="00000000"/>
    <w:p w:rsidR="00000000" w:rsidRDefault="00000000">
      <w:pPr>
        <w:pStyle w:val="ParaNo"/>
        <w:tabs>
          <w:tab w:val="clear" w:pos="360"/>
          <w:tab w:val="clear" w:pos="737"/>
        </w:tabs>
        <w:rPr>
          <w:lang w:val="en-GB"/>
        </w:rPr>
      </w:pPr>
      <w:r>
        <w:rPr>
          <w:lang w:val="en-GB"/>
        </w:rPr>
        <w:t>Gains in efficiency have been the result of institutional reforms involving basic social services, particularly in the areas of social security, health, welfare and education.  The changes in question have been both deep and broad.  They have included a number of ambitious goals: increasing the quality and coverage of services in order to eliminate socially unfair mechanisms affecting access to benefits provided by such programmes; reinforcing decentralization and control by society over the implementation of such programmes; and creating restrictions on the reproduction of traditional practices of cronyism in order to increase the redistributive impact of the Government’s programmes.</w:t>
      </w:r>
    </w:p>
    <w:p w:rsidR="00000000" w:rsidRDefault="00000000"/>
    <w:p w:rsidR="00000000" w:rsidRDefault="00000000">
      <w:pPr>
        <w:pStyle w:val="ParaNo"/>
        <w:tabs>
          <w:tab w:val="clear" w:pos="360"/>
          <w:tab w:val="clear" w:pos="737"/>
        </w:tabs>
        <w:rPr>
          <w:lang w:val="en-GB"/>
        </w:rPr>
      </w:pPr>
      <w:r>
        <w:rPr>
          <w:lang w:val="en-GB"/>
        </w:rPr>
        <w:t>In concluding this introduction to the report, the Brazilian Government would like to point out two methodological issues.</w:t>
      </w:r>
    </w:p>
    <w:p w:rsidR="00000000" w:rsidRDefault="00000000"/>
    <w:p w:rsidR="00000000" w:rsidRDefault="00000000">
      <w:pPr>
        <w:pStyle w:val="ParaNo"/>
        <w:tabs>
          <w:tab w:val="clear" w:pos="360"/>
          <w:tab w:val="clear" w:pos="737"/>
        </w:tabs>
        <w:rPr>
          <w:lang w:val="en-GB"/>
        </w:rPr>
      </w:pPr>
      <w:r>
        <w:rPr>
          <w:lang w:val="en-GB"/>
        </w:rPr>
        <w:t>The first involves the difficulty in strictly obeying the order of the questions in the Committee’s guidelines on the form and content of reports to be submitted (document HRI/GEN/2, 14 April 2000).  The myriad rights covered by the International Covenant are always very broad and sometimes interdependent.  Naturally enough, they range widely over a cross</w:t>
      </w:r>
      <w:r>
        <w:rPr>
          <w:lang w:val="en-GB"/>
        </w:rPr>
        <w:noBreakHyphen/>
        <w:t>section of issues.  Therefore, on a number of occasions it has become necessary to choose to address a given question in a different part of the report in order to maintain a logical and methodological sequence.</w:t>
      </w:r>
    </w:p>
    <w:p w:rsidR="00000000" w:rsidRDefault="00000000"/>
    <w:p w:rsidR="00000000" w:rsidRDefault="00000000">
      <w:pPr>
        <w:pStyle w:val="ParaNo"/>
        <w:tabs>
          <w:tab w:val="clear" w:pos="360"/>
          <w:tab w:val="clear" w:pos="737"/>
        </w:tabs>
        <w:rPr>
          <w:lang w:val="en-GB"/>
        </w:rPr>
      </w:pPr>
      <w:r>
        <w:rPr>
          <w:lang w:val="en-GB"/>
        </w:rPr>
        <w:t>The second issue involves the data utilized.  Currently, Brazil is still in the midst of taking its National Census.  This census is held once every 10 years and allows the diagnosis of Brazil’s reality to be updated while also permitting a proper assessment of public policies.  Nevertheless, the Government does have annual surveys of a sectoral nature at its disposal; data from such surveys were used in preparing this report.  The results of the broader and more detailed study of the nation which will be available next year may change some of the assessments that are found in this report and in certain cases may actually depict a brighter situation.</w:t>
      </w:r>
    </w:p>
    <w:p w:rsidR="00000000" w:rsidRDefault="00000000"/>
    <w:p w:rsidR="00000000" w:rsidRDefault="00000000">
      <w:pPr>
        <w:pStyle w:val="Heading2"/>
      </w:pPr>
      <w:r>
        <w:br w:type="page"/>
        <w:t>II.  GENERAL INFORMATION ON BRAZIL</w:t>
      </w:r>
    </w:p>
    <w:p w:rsidR="00000000" w:rsidRDefault="00000000"/>
    <w:p w:rsidR="00000000" w:rsidRDefault="00000000">
      <w:pPr>
        <w:pStyle w:val="ParaNo"/>
        <w:tabs>
          <w:tab w:val="clear" w:pos="360"/>
          <w:tab w:val="clear" w:pos="737"/>
        </w:tabs>
        <w:rPr>
          <w:lang w:val="en-GB"/>
        </w:rPr>
      </w:pPr>
      <w:r>
        <w:rPr>
          <w:lang w:val="en-GB"/>
        </w:rPr>
        <w:t>In September 1994, Brazil submitted its core document (HRI/CORE/1/Add.53), a report containing general information on the country.  The report was officially circulated beginning 10 January 1995.  Currently, Brazil is still conducting its National Census and its results and evaluations will not be available for several months.  An updated survey of Brazilian data on a national scale will without a doubt also lead to revisions when analysing a number of different questions.  The new data will make it easier to provide a diagnosis and will permit an assessment of evolving efforts to promote and protect economic, social and cultural rights.</w:t>
      </w:r>
    </w:p>
    <w:p w:rsidR="00000000" w:rsidRDefault="00000000"/>
    <w:p w:rsidR="00000000" w:rsidRDefault="00000000">
      <w:pPr>
        <w:pStyle w:val="ParaNo"/>
        <w:tabs>
          <w:tab w:val="clear" w:pos="360"/>
          <w:tab w:val="clear" w:pos="737"/>
        </w:tabs>
        <w:rPr>
          <w:lang w:val="en-GB"/>
        </w:rPr>
      </w:pPr>
      <w:r>
        <w:rPr>
          <w:lang w:val="en-GB"/>
        </w:rPr>
        <w:t>As an example of the significance of data regarding Brazil, it can be pointed out that the last census figures (from the 1996 census) estimated Brazil’s population at 157 million people (77.4 million men and 79.6 million women).  Current estimates indicate that these numbers have grown to a total of 164 million people this year.  Based on the two censuses, while urban dwellers comprised 72.6 per cent of Brazil’s population in 1990, that figure may be as high as 76.4 per cent by the end of this year.</w:t>
      </w:r>
    </w:p>
    <w:p w:rsidR="00000000" w:rsidRDefault="00000000"/>
    <w:p w:rsidR="00000000" w:rsidRDefault="00000000">
      <w:pPr>
        <w:pStyle w:val="ParaNo"/>
        <w:tabs>
          <w:tab w:val="clear" w:pos="360"/>
          <w:tab w:val="clear" w:pos="737"/>
        </w:tabs>
        <w:rPr>
          <w:lang w:val="en-GB"/>
        </w:rPr>
      </w:pPr>
      <w:r>
        <w:rPr>
          <w:lang w:val="en-GB"/>
        </w:rPr>
        <w:t>In order to minimize distortions arising from the gap between the comprehensive statistical data on Brazil available from the 1996 census and the data reflecting today’s reality, this report will address the individual articles of the Covenant by drawing on more recent sectoral data.</w:t>
      </w:r>
    </w:p>
    <w:p w:rsidR="00000000" w:rsidRDefault="00000000"/>
    <w:p w:rsidR="00000000" w:rsidRDefault="00000000">
      <w:pPr>
        <w:pStyle w:val="ParaNo"/>
        <w:tabs>
          <w:tab w:val="clear" w:pos="360"/>
          <w:tab w:val="clear" w:pos="737"/>
        </w:tabs>
        <w:rPr>
          <w:lang w:val="en-GB"/>
        </w:rPr>
      </w:pPr>
      <w:r>
        <w:rPr>
          <w:lang w:val="en-GB"/>
        </w:rPr>
        <w:t>For the record, more recent information is also available regarding the institutional and legal framework for the promotion and protection of rights covered by the International Covenant on Economic, Social and Cultural Rights.  In the wake of the World Conference on Human Rights held in Vienna in 1993, Brazil created a Department on Human Rights and Social Themes within the Ministry of External Relations.  A very senior Executive Branch office was also created, called the Secretariat of State for Human Rights.  Brazil was also a pioneer in preparing and adopting a National Plan on Human Rights at the federal level.  This instrument, designed to promote evaluations, commitments and activities, is currently being revised and enhanced in light of past experience as well as in light of the dynamics of human rights themselves.</w:t>
      </w:r>
    </w:p>
    <w:p w:rsidR="00000000" w:rsidRDefault="00000000"/>
    <w:p w:rsidR="00000000" w:rsidRDefault="00000000">
      <w:pPr>
        <w:pStyle w:val="ParaNo"/>
        <w:tabs>
          <w:tab w:val="clear" w:pos="360"/>
          <w:tab w:val="clear" w:pos="737"/>
        </w:tabs>
        <w:rPr>
          <w:lang w:val="en-GB"/>
        </w:rPr>
      </w:pPr>
      <w:r>
        <w:rPr>
          <w:lang w:val="en-GB"/>
        </w:rPr>
        <w:t>The following tables include up</w:t>
      </w:r>
      <w:r>
        <w:rPr>
          <w:lang w:val="en-GB"/>
        </w:rPr>
        <w:noBreakHyphen/>
        <w:t>to</w:t>
      </w:r>
      <w:r>
        <w:rPr>
          <w:lang w:val="en-GB"/>
        </w:rPr>
        <w:noBreakHyphen/>
        <w:t>date information covering:  Brazil’s demographic profile and geographic distribution; the gross domestic product; the gross domestic product per capita; foreign direct investments; the national privatization programme; Brazil’s balance of trade; external economic indicators; open unemployment rates by sector of activity; open unemployment rates by metropolitan region; the labour force vocational training programme; agrarian reform</w:t>
      </w:r>
      <w:r>
        <w:rPr>
          <w:lang w:val="en-GB"/>
        </w:rPr>
        <w:noBreakHyphen/>
        <w:t>rural settlements; agrarian reform</w:t>
      </w:r>
      <w:r>
        <w:rPr>
          <w:lang w:val="en-GB"/>
        </w:rPr>
        <w:noBreakHyphen/>
        <w:t>expropriations; numbers of students registered in primary schools (grades 1</w:t>
      </w:r>
      <w:r>
        <w:rPr>
          <w:lang w:val="en-GB"/>
        </w:rPr>
        <w:noBreakHyphen/>
        <w:t>8); higher education; community health agents; family health teams; and the programme to eradicate child labour.</w:t>
      </w:r>
    </w:p>
    <w:p w:rsidR="00000000" w:rsidRDefault="00000000"/>
    <w:p w:rsidR="00000000" w:rsidRDefault="00000000">
      <w:pPr>
        <w:pStyle w:val="Heading1"/>
      </w:pPr>
      <w:r>
        <w:br w:type="page"/>
        <w:t>Table 1</w:t>
      </w:r>
    </w:p>
    <w:p w:rsidR="00000000" w:rsidRDefault="00000000">
      <w:pPr>
        <w:pStyle w:val="Heading1"/>
      </w:pPr>
    </w:p>
    <w:p w:rsidR="00000000" w:rsidRDefault="00000000">
      <w:pPr>
        <w:pStyle w:val="Heading1"/>
      </w:pPr>
      <w:r>
        <w:t>Population and territory</w:t>
      </w:r>
      <w:r>
        <w:rPr>
          <w:b w:val="0"/>
          <w:bCs/>
        </w:rPr>
        <w:t>*</w:t>
      </w:r>
    </w:p>
    <w:p w:rsidR="00000000" w:rsidRDefault="00000000">
      <w:pPr>
        <w:pStyle w:val="Heading1"/>
      </w:pPr>
    </w:p>
    <w:p w:rsidR="00000000" w:rsidRDefault="00000000">
      <w:pPr>
        <w:pStyle w:val="Heading1"/>
      </w:pPr>
      <w:r>
        <w:t>(estimates in February 2000)</w:t>
      </w:r>
    </w:p>
    <w:p w:rsidR="00000000" w:rsidRDefault="00000000"/>
    <w:tbl>
      <w:tblPr>
        <w:tblW w:w="0" w:type="auto"/>
        <w:tblInd w:w="8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4"/>
        <w:gridCol w:w="2730"/>
        <w:gridCol w:w="2835"/>
      </w:tblGrid>
      <w:tr w:rsidR="00000000">
        <w:tblPrEx>
          <w:tblCellMar>
            <w:top w:w="0" w:type="dxa"/>
            <w:bottom w:w="0" w:type="dxa"/>
          </w:tblCellMar>
        </w:tblPrEx>
        <w:tc>
          <w:tcPr>
            <w:tcW w:w="2374" w:type="dxa"/>
          </w:tcPr>
          <w:p w:rsidR="00000000" w:rsidRDefault="00000000">
            <w:pPr>
              <w:jc w:val="center"/>
            </w:pPr>
            <w:r>
              <w:t>Regions</w:t>
            </w:r>
          </w:p>
        </w:tc>
        <w:tc>
          <w:tcPr>
            <w:tcW w:w="2730" w:type="dxa"/>
          </w:tcPr>
          <w:p w:rsidR="00000000" w:rsidRDefault="00000000">
            <w:pPr>
              <w:jc w:val="center"/>
            </w:pPr>
            <w:r>
              <w:t>Population</w:t>
            </w:r>
          </w:p>
        </w:tc>
        <w:tc>
          <w:tcPr>
            <w:tcW w:w="2835" w:type="dxa"/>
          </w:tcPr>
          <w:p w:rsidR="00000000" w:rsidRDefault="00000000">
            <w:pPr>
              <w:jc w:val="center"/>
            </w:pPr>
            <w:r>
              <w:t>Territory (km²)</w:t>
            </w:r>
          </w:p>
        </w:tc>
      </w:tr>
      <w:tr w:rsidR="00000000">
        <w:tblPrEx>
          <w:tblCellMar>
            <w:top w:w="0" w:type="dxa"/>
            <w:bottom w:w="0" w:type="dxa"/>
          </w:tblCellMar>
        </w:tblPrEx>
        <w:tc>
          <w:tcPr>
            <w:tcW w:w="2374" w:type="dxa"/>
            <w:tcBorders>
              <w:bottom w:val="nil"/>
            </w:tcBorders>
          </w:tcPr>
          <w:p w:rsidR="00000000" w:rsidRDefault="00000000">
            <w:r>
              <w:t>South</w:t>
            </w:r>
            <w:r>
              <w:noBreakHyphen/>
              <w:t>east</w:t>
            </w:r>
          </w:p>
        </w:tc>
        <w:tc>
          <w:tcPr>
            <w:tcW w:w="2730" w:type="dxa"/>
            <w:tcBorders>
              <w:bottom w:val="nil"/>
            </w:tcBorders>
          </w:tcPr>
          <w:p w:rsidR="00000000" w:rsidRDefault="00000000">
            <w:pPr>
              <w:ind w:right="680"/>
              <w:jc w:val="right"/>
            </w:pPr>
            <w:r>
              <w:t>69 858 115</w:t>
            </w:r>
          </w:p>
        </w:tc>
        <w:tc>
          <w:tcPr>
            <w:tcW w:w="2835" w:type="dxa"/>
            <w:tcBorders>
              <w:bottom w:val="nil"/>
            </w:tcBorders>
          </w:tcPr>
          <w:p w:rsidR="00000000" w:rsidRDefault="00000000">
            <w:pPr>
              <w:ind w:right="680"/>
              <w:jc w:val="right"/>
            </w:pPr>
            <w:r>
              <w:t>927 286.2</w:t>
            </w:r>
          </w:p>
        </w:tc>
      </w:tr>
      <w:tr w:rsidR="00000000">
        <w:tblPrEx>
          <w:tblCellMar>
            <w:top w:w="0" w:type="dxa"/>
            <w:bottom w:w="0" w:type="dxa"/>
          </w:tblCellMar>
        </w:tblPrEx>
        <w:tc>
          <w:tcPr>
            <w:tcW w:w="2374" w:type="dxa"/>
            <w:tcBorders>
              <w:top w:val="nil"/>
              <w:bottom w:val="nil"/>
            </w:tcBorders>
          </w:tcPr>
          <w:p w:rsidR="00000000" w:rsidRDefault="00000000">
            <w:r>
              <w:t>North</w:t>
            </w:r>
            <w:r>
              <w:noBreakHyphen/>
              <w:t>east</w:t>
            </w:r>
          </w:p>
        </w:tc>
        <w:tc>
          <w:tcPr>
            <w:tcW w:w="2730" w:type="dxa"/>
            <w:tcBorders>
              <w:top w:val="nil"/>
              <w:bottom w:val="nil"/>
            </w:tcBorders>
          </w:tcPr>
          <w:p w:rsidR="00000000" w:rsidRDefault="00000000">
            <w:pPr>
              <w:ind w:right="680"/>
              <w:jc w:val="right"/>
            </w:pPr>
            <w:r>
              <w:t>46 289 042</w:t>
            </w:r>
          </w:p>
        </w:tc>
        <w:tc>
          <w:tcPr>
            <w:tcW w:w="2835" w:type="dxa"/>
            <w:tcBorders>
              <w:top w:val="nil"/>
              <w:bottom w:val="nil"/>
            </w:tcBorders>
          </w:tcPr>
          <w:p w:rsidR="00000000" w:rsidRDefault="00000000">
            <w:pPr>
              <w:ind w:right="680"/>
              <w:jc w:val="right"/>
            </w:pPr>
            <w:r>
              <w:t>1 561 177.8</w:t>
            </w:r>
          </w:p>
        </w:tc>
      </w:tr>
      <w:tr w:rsidR="00000000">
        <w:tblPrEx>
          <w:tblCellMar>
            <w:top w:w="0" w:type="dxa"/>
            <w:bottom w:w="0" w:type="dxa"/>
          </w:tblCellMar>
        </w:tblPrEx>
        <w:tc>
          <w:tcPr>
            <w:tcW w:w="2374" w:type="dxa"/>
            <w:tcBorders>
              <w:top w:val="nil"/>
              <w:bottom w:val="nil"/>
            </w:tcBorders>
          </w:tcPr>
          <w:p w:rsidR="00000000" w:rsidRDefault="00000000">
            <w:r>
              <w:t>South</w:t>
            </w:r>
          </w:p>
        </w:tc>
        <w:tc>
          <w:tcPr>
            <w:tcW w:w="2730" w:type="dxa"/>
            <w:tcBorders>
              <w:top w:val="nil"/>
              <w:bottom w:val="nil"/>
            </w:tcBorders>
          </w:tcPr>
          <w:p w:rsidR="00000000" w:rsidRDefault="00000000">
            <w:pPr>
              <w:ind w:right="680"/>
              <w:jc w:val="right"/>
            </w:pPr>
            <w:r>
              <w:t>24 445 950</w:t>
            </w:r>
          </w:p>
        </w:tc>
        <w:tc>
          <w:tcPr>
            <w:tcW w:w="2835" w:type="dxa"/>
            <w:tcBorders>
              <w:top w:val="nil"/>
              <w:bottom w:val="nil"/>
            </w:tcBorders>
          </w:tcPr>
          <w:p w:rsidR="00000000" w:rsidRDefault="00000000">
            <w:pPr>
              <w:ind w:right="680"/>
              <w:jc w:val="right"/>
            </w:pPr>
            <w:r>
              <w:t>577 214.0</w:t>
            </w:r>
          </w:p>
        </w:tc>
      </w:tr>
      <w:tr w:rsidR="00000000">
        <w:tblPrEx>
          <w:tblCellMar>
            <w:top w:w="0" w:type="dxa"/>
            <w:bottom w:w="0" w:type="dxa"/>
          </w:tblCellMar>
        </w:tblPrEx>
        <w:tc>
          <w:tcPr>
            <w:tcW w:w="2374" w:type="dxa"/>
            <w:tcBorders>
              <w:top w:val="nil"/>
              <w:bottom w:val="nil"/>
            </w:tcBorders>
          </w:tcPr>
          <w:p w:rsidR="00000000" w:rsidRDefault="00000000">
            <w:r>
              <w:t>North</w:t>
            </w:r>
          </w:p>
        </w:tc>
        <w:tc>
          <w:tcPr>
            <w:tcW w:w="2730" w:type="dxa"/>
            <w:tcBorders>
              <w:top w:val="nil"/>
              <w:bottom w:val="nil"/>
            </w:tcBorders>
          </w:tcPr>
          <w:p w:rsidR="00000000" w:rsidRDefault="00000000">
            <w:pPr>
              <w:ind w:right="680"/>
              <w:jc w:val="right"/>
            </w:pPr>
            <w:r>
              <w:t>12 133 705</w:t>
            </w:r>
          </w:p>
        </w:tc>
        <w:tc>
          <w:tcPr>
            <w:tcW w:w="2835" w:type="dxa"/>
            <w:tcBorders>
              <w:top w:val="nil"/>
              <w:bottom w:val="nil"/>
            </w:tcBorders>
          </w:tcPr>
          <w:p w:rsidR="00000000" w:rsidRDefault="00000000">
            <w:pPr>
              <w:ind w:right="680"/>
              <w:jc w:val="right"/>
            </w:pPr>
            <w:r>
              <w:t>3 869 637.9</w:t>
            </w:r>
          </w:p>
        </w:tc>
      </w:tr>
      <w:tr w:rsidR="00000000">
        <w:tblPrEx>
          <w:tblCellMar>
            <w:top w:w="0" w:type="dxa"/>
            <w:bottom w:w="0" w:type="dxa"/>
          </w:tblCellMar>
        </w:tblPrEx>
        <w:tc>
          <w:tcPr>
            <w:tcW w:w="2374" w:type="dxa"/>
            <w:tcBorders>
              <w:top w:val="nil"/>
              <w:bottom w:val="single" w:sz="4" w:space="0" w:color="auto"/>
            </w:tcBorders>
          </w:tcPr>
          <w:p w:rsidR="00000000" w:rsidRDefault="00000000">
            <w:r>
              <w:t>Centre</w:t>
            </w:r>
            <w:r>
              <w:noBreakHyphen/>
              <w:t>west</w:t>
            </w:r>
          </w:p>
        </w:tc>
        <w:tc>
          <w:tcPr>
            <w:tcW w:w="2730" w:type="dxa"/>
            <w:tcBorders>
              <w:top w:val="nil"/>
              <w:bottom w:val="single" w:sz="4" w:space="0" w:color="auto"/>
            </w:tcBorders>
          </w:tcPr>
          <w:p w:rsidR="00000000" w:rsidRDefault="00000000">
            <w:pPr>
              <w:ind w:right="680"/>
              <w:jc w:val="right"/>
            </w:pPr>
            <w:r>
              <w:t>11 220 742</w:t>
            </w:r>
          </w:p>
        </w:tc>
        <w:tc>
          <w:tcPr>
            <w:tcW w:w="2835" w:type="dxa"/>
            <w:tcBorders>
              <w:top w:val="nil"/>
              <w:bottom w:val="single" w:sz="4" w:space="0" w:color="auto"/>
            </w:tcBorders>
          </w:tcPr>
          <w:p w:rsidR="00000000" w:rsidRDefault="00000000">
            <w:pPr>
              <w:ind w:right="680"/>
              <w:jc w:val="right"/>
            </w:pPr>
            <w:r>
              <w:t>1 612 077.2</w:t>
            </w:r>
          </w:p>
        </w:tc>
      </w:tr>
      <w:tr w:rsidR="00000000">
        <w:tblPrEx>
          <w:tblCellMar>
            <w:top w:w="0" w:type="dxa"/>
            <w:bottom w:w="0" w:type="dxa"/>
          </w:tblCellMar>
        </w:tblPrEx>
        <w:tc>
          <w:tcPr>
            <w:tcW w:w="2374" w:type="dxa"/>
            <w:tcBorders>
              <w:top w:val="single" w:sz="4" w:space="0" w:color="auto"/>
            </w:tcBorders>
          </w:tcPr>
          <w:p w:rsidR="00000000" w:rsidRDefault="00000000">
            <w:r>
              <w:t xml:space="preserve">     Total*</w:t>
            </w:r>
          </w:p>
        </w:tc>
        <w:tc>
          <w:tcPr>
            <w:tcW w:w="2730" w:type="dxa"/>
            <w:tcBorders>
              <w:top w:val="single" w:sz="4" w:space="0" w:color="auto"/>
            </w:tcBorders>
          </w:tcPr>
          <w:p w:rsidR="00000000" w:rsidRDefault="00000000">
            <w:pPr>
              <w:ind w:right="680"/>
              <w:jc w:val="right"/>
            </w:pPr>
            <w:r>
              <w:t>163 947 554</w:t>
            </w:r>
          </w:p>
        </w:tc>
        <w:tc>
          <w:tcPr>
            <w:tcW w:w="2835" w:type="dxa"/>
            <w:tcBorders>
              <w:top w:val="single" w:sz="4" w:space="0" w:color="auto"/>
            </w:tcBorders>
          </w:tcPr>
          <w:p w:rsidR="00000000" w:rsidRDefault="00000000">
            <w:pPr>
              <w:ind w:right="680"/>
              <w:jc w:val="right"/>
            </w:pPr>
            <w:r>
              <w:t>8 547 403.5</w:t>
            </w:r>
          </w:p>
        </w:tc>
      </w:tr>
    </w:tbl>
    <w:p w:rsidR="00000000" w:rsidRDefault="00000000"/>
    <w:p w:rsidR="00000000" w:rsidRDefault="00000000">
      <w:r>
        <w:tab/>
      </w:r>
      <w:r>
        <w:tab/>
      </w:r>
      <w:r>
        <w:rPr>
          <w:u w:val="single"/>
        </w:rPr>
        <w:t>Source</w:t>
      </w:r>
      <w:r>
        <w:t xml:space="preserve">:  Brazilian Institute of Geography and Statistics </w:t>
      </w:r>
      <w:r>
        <w:noBreakHyphen/>
        <w:t xml:space="preserve"> IBGE.</w:t>
      </w:r>
    </w:p>
    <w:p w:rsidR="00000000" w:rsidRDefault="00000000"/>
    <w:p w:rsidR="00000000" w:rsidRDefault="00000000">
      <w:r>
        <w:tab/>
      </w:r>
      <w:r>
        <w:tab/>
        <w:t>* Excluding the islands of Martim Vaz e Trindade.</w:t>
      </w:r>
    </w:p>
    <w:p w:rsidR="00000000" w:rsidRDefault="00000000"/>
    <w:p w:rsidR="00000000" w:rsidRDefault="00000000"/>
    <w:p w:rsidR="00000000" w:rsidRDefault="00000000">
      <w:pPr>
        <w:pStyle w:val="Heading1"/>
      </w:pPr>
      <w:r>
        <w:t>Table 2</w:t>
      </w:r>
    </w:p>
    <w:p w:rsidR="00000000" w:rsidRDefault="00000000"/>
    <w:p w:rsidR="00000000" w:rsidRDefault="00000000">
      <w:pPr>
        <w:pStyle w:val="Heading1"/>
      </w:pPr>
      <w:r>
        <w:t xml:space="preserve">Gross domestic product </w:t>
      </w:r>
      <w:r>
        <w:noBreakHyphen/>
        <w:t xml:space="preserve"> GDP</w:t>
      </w:r>
    </w:p>
    <w:p w:rsidR="00000000" w:rsidRDefault="00000000"/>
    <w:tbl>
      <w:tblPr>
        <w:tblW w:w="0" w:type="auto"/>
        <w:jc w:val="center"/>
        <w:tblInd w:w="-1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7" w:type="dxa"/>
          <w:right w:w="37" w:type="dxa"/>
        </w:tblCellMar>
        <w:tblLook w:val="0000" w:firstRow="0" w:lastRow="0" w:firstColumn="0" w:lastColumn="0" w:noHBand="0" w:noVBand="0"/>
      </w:tblPr>
      <w:tblGrid>
        <w:gridCol w:w="1970"/>
        <w:gridCol w:w="2019"/>
        <w:gridCol w:w="1639"/>
        <w:gridCol w:w="2279"/>
      </w:tblGrid>
      <w:tr w:rsidR="00000000">
        <w:tblPrEx>
          <w:tblCellMar>
            <w:top w:w="0" w:type="dxa"/>
            <w:bottom w:w="0" w:type="dxa"/>
          </w:tblCellMar>
        </w:tblPrEx>
        <w:trPr>
          <w:jc w:val="center"/>
        </w:trPr>
        <w:tc>
          <w:tcPr>
            <w:tcW w:w="1970" w:type="dxa"/>
            <w:tcBorders>
              <w:bottom w:val="single" w:sz="4" w:space="0" w:color="auto"/>
            </w:tcBorders>
          </w:tcPr>
          <w:p w:rsidR="00000000" w:rsidRDefault="00000000">
            <w:pPr>
              <w:jc w:val="center"/>
            </w:pPr>
            <w:r>
              <w:t>Year</w:t>
            </w:r>
          </w:p>
        </w:tc>
        <w:tc>
          <w:tcPr>
            <w:tcW w:w="2019" w:type="dxa"/>
            <w:tcBorders>
              <w:bottom w:val="single" w:sz="4" w:space="0" w:color="auto"/>
            </w:tcBorders>
          </w:tcPr>
          <w:p w:rsidR="00000000" w:rsidRDefault="00000000">
            <w:pPr>
              <w:jc w:val="center"/>
            </w:pPr>
            <w:r>
              <w:t>In millions of Cr$ for 1999</w:t>
            </w:r>
          </w:p>
        </w:tc>
        <w:tc>
          <w:tcPr>
            <w:tcW w:w="1639" w:type="dxa"/>
            <w:tcBorders>
              <w:bottom w:val="single" w:sz="4" w:space="0" w:color="auto"/>
            </w:tcBorders>
          </w:tcPr>
          <w:p w:rsidR="00000000" w:rsidRDefault="00000000">
            <w:pPr>
              <w:jc w:val="center"/>
            </w:pPr>
            <w:r>
              <w:t>Real percentage variation</w:t>
            </w:r>
          </w:p>
        </w:tc>
        <w:tc>
          <w:tcPr>
            <w:tcW w:w="2279" w:type="dxa"/>
            <w:tcBorders>
              <w:bottom w:val="single" w:sz="4" w:space="0" w:color="auto"/>
            </w:tcBorders>
          </w:tcPr>
          <w:p w:rsidR="00000000" w:rsidRDefault="00000000">
            <w:pPr>
              <w:jc w:val="center"/>
            </w:pPr>
            <w:r>
              <w:t>Current prices in millions of US$</w:t>
            </w:r>
          </w:p>
        </w:tc>
      </w:tr>
      <w:tr w:rsidR="00000000">
        <w:tblPrEx>
          <w:tblCellMar>
            <w:top w:w="0" w:type="dxa"/>
            <w:bottom w:w="0" w:type="dxa"/>
          </w:tblCellMar>
        </w:tblPrEx>
        <w:trPr>
          <w:jc w:val="center"/>
        </w:trPr>
        <w:tc>
          <w:tcPr>
            <w:tcW w:w="1970" w:type="dxa"/>
            <w:tcBorders>
              <w:bottom w:val="nil"/>
            </w:tcBorders>
          </w:tcPr>
          <w:p w:rsidR="00000000" w:rsidRDefault="00000000">
            <w:pPr>
              <w:jc w:val="center"/>
            </w:pPr>
            <w:r>
              <w:t>1990</w:t>
            </w:r>
          </w:p>
        </w:tc>
        <w:tc>
          <w:tcPr>
            <w:tcW w:w="2019" w:type="dxa"/>
            <w:tcBorders>
              <w:bottom w:val="nil"/>
            </w:tcBorders>
          </w:tcPr>
          <w:p w:rsidR="00000000" w:rsidRDefault="00000000">
            <w:pPr>
              <w:ind w:right="247"/>
              <w:jc w:val="right"/>
            </w:pPr>
            <w:r>
              <w:t>810 896.73</w:t>
            </w:r>
          </w:p>
        </w:tc>
        <w:tc>
          <w:tcPr>
            <w:tcW w:w="1639" w:type="dxa"/>
            <w:tcBorders>
              <w:bottom w:val="nil"/>
            </w:tcBorders>
          </w:tcPr>
          <w:p w:rsidR="00000000" w:rsidRDefault="00000000">
            <w:pPr>
              <w:ind w:right="610"/>
              <w:jc w:val="right"/>
            </w:pPr>
            <w:r>
              <w:t>(</w:t>
            </w:r>
            <w:r>
              <w:noBreakHyphen/>
              <w:t>)4.3</w:t>
            </w:r>
          </w:p>
        </w:tc>
        <w:tc>
          <w:tcPr>
            <w:tcW w:w="2279" w:type="dxa"/>
            <w:tcBorders>
              <w:bottom w:val="nil"/>
            </w:tcBorders>
          </w:tcPr>
          <w:p w:rsidR="00000000" w:rsidRDefault="00000000">
            <w:pPr>
              <w:jc w:val="center"/>
            </w:pPr>
            <w:r>
              <w:t>469 318</w:t>
            </w:r>
          </w:p>
        </w:tc>
      </w:tr>
      <w:tr w:rsidR="00000000">
        <w:tblPrEx>
          <w:tblCellMar>
            <w:top w:w="0" w:type="dxa"/>
            <w:bottom w:w="0" w:type="dxa"/>
          </w:tblCellMar>
        </w:tblPrEx>
        <w:trPr>
          <w:jc w:val="center"/>
        </w:trPr>
        <w:tc>
          <w:tcPr>
            <w:tcW w:w="1970" w:type="dxa"/>
            <w:tcBorders>
              <w:top w:val="nil"/>
              <w:bottom w:val="nil"/>
            </w:tcBorders>
          </w:tcPr>
          <w:p w:rsidR="00000000" w:rsidRDefault="00000000">
            <w:pPr>
              <w:jc w:val="center"/>
            </w:pPr>
            <w:r>
              <w:t>1991</w:t>
            </w:r>
          </w:p>
        </w:tc>
        <w:tc>
          <w:tcPr>
            <w:tcW w:w="2019" w:type="dxa"/>
            <w:tcBorders>
              <w:top w:val="nil"/>
              <w:bottom w:val="nil"/>
            </w:tcBorders>
          </w:tcPr>
          <w:p w:rsidR="00000000" w:rsidRDefault="00000000">
            <w:pPr>
              <w:ind w:right="247"/>
              <w:jc w:val="right"/>
            </w:pPr>
            <w:r>
              <w:t>819 248.97</w:t>
            </w:r>
          </w:p>
        </w:tc>
        <w:tc>
          <w:tcPr>
            <w:tcW w:w="1639" w:type="dxa"/>
            <w:tcBorders>
              <w:top w:val="nil"/>
              <w:bottom w:val="nil"/>
            </w:tcBorders>
          </w:tcPr>
          <w:p w:rsidR="00000000" w:rsidRDefault="00000000">
            <w:pPr>
              <w:ind w:right="610"/>
              <w:jc w:val="right"/>
            </w:pPr>
            <w:r>
              <w:t>1.0</w:t>
            </w:r>
          </w:p>
        </w:tc>
        <w:tc>
          <w:tcPr>
            <w:tcW w:w="2279" w:type="dxa"/>
            <w:tcBorders>
              <w:top w:val="nil"/>
              <w:bottom w:val="nil"/>
            </w:tcBorders>
          </w:tcPr>
          <w:p w:rsidR="00000000" w:rsidRDefault="00000000">
            <w:pPr>
              <w:jc w:val="center"/>
            </w:pPr>
            <w:r>
              <w:t>405 679</w:t>
            </w:r>
          </w:p>
        </w:tc>
      </w:tr>
      <w:tr w:rsidR="00000000">
        <w:tblPrEx>
          <w:tblCellMar>
            <w:top w:w="0" w:type="dxa"/>
            <w:bottom w:w="0" w:type="dxa"/>
          </w:tblCellMar>
        </w:tblPrEx>
        <w:trPr>
          <w:jc w:val="center"/>
        </w:trPr>
        <w:tc>
          <w:tcPr>
            <w:tcW w:w="1970" w:type="dxa"/>
            <w:tcBorders>
              <w:top w:val="nil"/>
              <w:bottom w:val="nil"/>
            </w:tcBorders>
          </w:tcPr>
          <w:p w:rsidR="00000000" w:rsidRDefault="00000000">
            <w:pPr>
              <w:jc w:val="center"/>
            </w:pPr>
            <w:r>
              <w:t>1992</w:t>
            </w:r>
          </w:p>
        </w:tc>
        <w:tc>
          <w:tcPr>
            <w:tcW w:w="2019" w:type="dxa"/>
            <w:tcBorders>
              <w:top w:val="nil"/>
              <w:bottom w:val="nil"/>
            </w:tcBorders>
          </w:tcPr>
          <w:p w:rsidR="00000000" w:rsidRDefault="00000000">
            <w:pPr>
              <w:ind w:right="247"/>
              <w:jc w:val="right"/>
            </w:pPr>
            <w:r>
              <w:t>814 825.02</w:t>
            </w:r>
          </w:p>
        </w:tc>
        <w:tc>
          <w:tcPr>
            <w:tcW w:w="1639" w:type="dxa"/>
            <w:tcBorders>
              <w:top w:val="nil"/>
              <w:bottom w:val="nil"/>
            </w:tcBorders>
          </w:tcPr>
          <w:p w:rsidR="00000000" w:rsidRDefault="00000000">
            <w:pPr>
              <w:ind w:right="610"/>
              <w:jc w:val="right"/>
            </w:pPr>
            <w:r>
              <w:t>(</w:t>
            </w:r>
            <w:r>
              <w:noBreakHyphen/>
              <w:t>)0.5</w:t>
            </w:r>
          </w:p>
        </w:tc>
        <w:tc>
          <w:tcPr>
            <w:tcW w:w="2279" w:type="dxa"/>
            <w:tcBorders>
              <w:top w:val="nil"/>
              <w:bottom w:val="nil"/>
            </w:tcBorders>
          </w:tcPr>
          <w:p w:rsidR="00000000" w:rsidRDefault="00000000">
            <w:pPr>
              <w:jc w:val="center"/>
            </w:pPr>
            <w:r>
              <w:t>387 295</w:t>
            </w:r>
          </w:p>
        </w:tc>
      </w:tr>
      <w:tr w:rsidR="00000000">
        <w:tblPrEx>
          <w:tblCellMar>
            <w:top w:w="0" w:type="dxa"/>
            <w:bottom w:w="0" w:type="dxa"/>
          </w:tblCellMar>
        </w:tblPrEx>
        <w:trPr>
          <w:jc w:val="center"/>
        </w:trPr>
        <w:tc>
          <w:tcPr>
            <w:tcW w:w="1970" w:type="dxa"/>
            <w:tcBorders>
              <w:top w:val="nil"/>
              <w:bottom w:val="nil"/>
            </w:tcBorders>
          </w:tcPr>
          <w:p w:rsidR="00000000" w:rsidRDefault="00000000">
            <w:pPr>
              <w:jc w:val="center"/>
            </w:pPr>
            <w:r>
              <w:t>1993</w:t>
            </w:r>
          </w:p>
        </w:tc>
        <w:tc>
          <w:tcPr>
            <w:tcW w:w="2019" w:type="dxa"/>
            <w:tcBorders>
              <w:top w:val="nil"/>
              <w:bottom w:val="nil"/>
            </w:tcBorders>
          </w:tcPr>
          <w:p w:rsidR="00000000" w:rsidRDefault="00000000">
            <w:pPr>
              <w:ind w:right="247"/>
              <w:jc w:val="right"/>
            </w:pPr>
            <w:r>
              <w:t>854 914.41</w:t>
            </w:r>
          </w:p>
        </w:tc>
        <w:tc>
          <w:tcPr>
            <w:tcW w:w="1639" w:type="dxa"/>
            <w:tcBorders>
              <w:top w:val="nil"/>
              <w:bottom w:val="nil"/>
            </w:tcBorders>
          </w:tcPr>
          <w:p w:rsidR="00000000" w:rsidRDefault="00000000">
            <w:pPr>
              <w:ind w:right="610"/>
              <w:jc w:val="right"/>
            </w:pPr>
            <w:r>
              <w:t>4.9</w:t>
            </w:r>
          </w:p>
        </w:tc>
        <w:tc>
          <w:tcPr>
            <w:tcW w:w="2279" w:type="dxa"/>
            <w:tcBorders>
              <w:top w:val="nil"/>
              <w:bottom w:val="nil"/>
            </w:tcBorders>
          </w:tcPr>
          <w:p w:rsidR="00000000" w:rsidRDefault="00000000">
            <w:pPr>
              <w:jc w:val="center"/>
            </w:pPr>
            <w:r>
              <w:t>429 685</w:t>
            </w:r>
          </w:p>
        </w:tc>
      </w:tr>
      <w:tr w:rsidR="00000000">
        <w:tblPrEx>
          <w:tblCellMar>
            <w:top w:w="0" w:type="dxa"/>
            <w:bottom w:w="0" w:type="dxa"/>
          </w:tblCellMar>
        </w:tblPrEx>
        <w:trPr>
          <w:jc w:val="center"/>
        </w:trPr>
        <w:tc>
          <w:tcPr>
            <w:tcW w:w="1970" w:type="dxa"/>
            <w:tcBorders>
              <w:top w:val="nil"/>
              <w:bottom w:val="nil"/>
            </w:tcBorders>
          </w:tcPr>
          <w:p w:rsidR="00000000" w:rsidRDefault="00000000">
            <w:pPr>
              <w:jc w:val="center"/>
            </w:pPr>
            <w:r>
              <w:t>1994</w:t>
            </w:r>
          </w:p>
        </w:tc>
        <w:tc>
          <w:tcPr>
            <w:tcW w:w="2019" w:type="dxa"/>
            <w:tcBorders>
              <w:top w:val="nil"/>
              <w:bottom w:val="nil"/>
            </w:tcBorders>
          </w:tcPr>
          <w:p w:rsidR="00000000" w:rsidRDefault="00000000">
            <w:pPr>
              <w:ind w:right="247"/>
              <w:jc w:val="right"/>
            </w:pPr>
            <w:r>
              <w:t>904 926.91</w:t>
            </w:r>
          </w:p>
        </w:tc>
        <w:tc>
          <w:tcPr>
            <w:tcW w:w="1639" w:type="dxa"/>
            <w:tcBorders>
              <w:top w:val="nil"/>
              <w:bottom w:val="nil"/>
            </w:tcBorders>
          </w:tcPr>
          <w:p w:rsidR="00000000" w:rsidRDefault="00000000">
            <w:pPr>
              <w:ind w:right="610"/>
              <w:jc w:val="right"/>
            </w:pPr>
            <w:r>
              <w:t>5.9</w:t>
            </w:r>
          </w:p>
        </w:tc>
        <w:tc>
          <w:tcPr>
            <w:tcW w:w="2279" w:type="dxa"/>
            <w:tcBorders>
              <w:top w:val="nil"/>
              <w:bottom w:val="nil"/>
            </w:tcBorders>
          </w:tcPr>
          <w:p w:rsidR="00000000" w:rsidRDefault="00000000">
            <w:pPr>
              <w:jc w:val="center"/>
            </w:pPr>
            <w:r>
              <w:t>543 087</w:t>
            </w:r>
          </w:p>
        </w:tc>
      </w:tr>
      <w:tr w:rsidR="00000000">
        <w:tblPrEx>
          <w:tblCellMar>
            <w:top w:w="0" w:type="dxa"/>
            <w:bottom w:w="0" w:type="dxa"/>
          </w:tblCellMar>
        </w:tblPrEx>
        <w:trPr>
          <w:jc w:val="center"/>
        </w:trPr>
        <w:tc>
          <w:tcPr>
            <w:tcW w:w="1970" w:type="dxa"/>
            <w:tcBorders>
              <w:top w:val="nil"/>
              <w:bottom w:val="nil"/>
            </w:tcBorders>
          </w:tcPr>
          <w:p w:rsidR="00000000" w:rsidRDefault="00000000">
            <w:pPr>
              <w:jc w:val="center"/>
            </w:pPr>
            <w:r>
              <w:t>1995</w:t>
            </w:r>
          </w:p>
        </w:tc>
        <w:tc>
          <w:tcPr>
            <w:tcW w:w="2019" w:type="dxa"/>
            <w:tcBorders>
              <w:top w:val="nil"/>
              <w:bottom w:val="nil"/>
            </w:tcBorders>
          </w:tcPr>
          <w:p w:rsidR="00000000" w:rsidRDefault="00000000">
            <w:pPr>
              <w:ind w:right="247"/>
              <w:jc w:val="right"/>
            </w:pPr>
            <w:r>
              <w:t>943 114.82</w:t>
            </w:r>
          </w:p>
        </w:tc>
        <w:tc>
          <w:tcPr>
            <w:tcW w:w="1639" w:type="dxa"/>
            <w:tcBorders>
              <w:top w:val="nil"/>
              <w:bottom w:val="nil"/>
            </w:tcBorders>
          </w:tcPr>
          <w:p w:rsidR="00000000" w:rsidRDefault="00000000">
            <w:pPr>
              <w:ind w:right="610"/>
              <w:jc w:val="right"/>
            </w:pPr>
            <w:r>
              <w:t>4.2</w:t>
            </w:r>
          </w:p>
        </w:tc>
        <w:tc>
          <w:tcPr>
            <w:tcW w:w="2279" w:type="dxa"/>
            <w:tcBorders>
              <w:top w:val="nil"/>
              <w:bottom w:val="nil"/>
            </w:tcBorders>
          </w:tcPr>
          <w:p w:rsidR="00000000" w:rsidRDefault="00000000">
            <w:pPr>
              <w:jc w:val="center"/>
            </w:pPr>
            <w:r>
              <w:t>705 449</w:t>
            </w:r>
          </w:p>
        </w:tc>
      </w:tr>
      <w:tr w:rsidR="00000000">
        <w:tblPrEx>
          <w:tblCellMar>
            <w:top w:w="0" w:type="dxa"/>
            <w:bottom w:w="0" w:type="dxa"/>
          </w:tblCellMar>
        </w:tblPrEx>
        <w:trPr>
          <w:jc w:val="center"/>
        </w:trPr>
        <w:tc>
          <w:tcPr>
            <w:tcW w:w="1970" w:type="dxa"/>
            <w:tcBorders>
              <w:top w:val="nil"/>
              <w:bottom w:val="nil"/>
            </w:tcBorders>
          </w:tcPr>
          <w:p w:rsidR="00000000" w:rsidRDefault="00000000">
            <w:pPr>
              <w:jc w:val="center"/>
            </w:pPr>
            <w:r>
              <w:t>1996</w:t>
            </w:r>
          </w:p>
        </w:tc>
        <w:tc>
          <w:tcPr>
            <w:tcW w:w="2019" w:type="dxa"/>
            <w:tcBorders>
              <w:top w:val="nil"/>
              <w:bottom w:val="nil"/>
            </w:tcBorders>
          </w:tcPr>
          <w:p w:rsidR="00000000" w:rsidRDefault="00000000">
            <w:pPr>
              <w:ind w:right="247"/>
              <w:jc w:val="right"/>
            </w:pPr>
            <w:r>
              <w:t>966 201.66</w:t>
            </w:r>
          </w:p>
        </w:tc>
        <w:tc>
          <w:tcPr>
            <w:tcW w:w="1639" w:type="dxa"/>
            <w:tcBorders>
              <w:top w:val="nil"/>
              <w:bottom w:val="nil"/>
            </w:tcBorders>
          </w:tcPr>
          <w:p w:rsidR="00000000" w:rsidRDefault="00000000">
            <w:pPr>
              <w:ind w:right="610"/>
              <w:jc w:val="right"/>
            </w:pPr>
            <w:r>
              <w:t>2.7</w:t>
            </w:r>
          </w:p>
        </w:tc>
        <w:tc>
          <w:tcPr>
            <w:tcW w:w="2279" w:type="dxa"/>
            <w:tcBorders>
              <w:top w:val="nil"/>
              <w:bottom w:val="nil"/>
            </w:tcBorders>
          </w:tcPr>
          <w:p w:rsidR="00000000" w:rsidRDefault="00000000">
            <w:pPr>
              <w:jc w:val="center"/>
            </w:pPr>
            <w:r>
              <w:t>775 475</w:t>
            </w:r>
          </w:p>
        </w:tc>
      </w:tr>
      <w:tr w:rsidR="00000000">
        <w:tblPrEx>
          <w:tblCellMar>
            <w:top w:w="0" w:type="dxa"/>
            <w:bottom w:w="0" w:type="dxa"/>
          </w:tblCellMar>
        </w:tblPrEx>
        <w:trPr>
          <w:jc w:val="center"/>
        </w:trPr>
        <w:tc>
          <w:tcPr>
            <w:tcW w:w="1970" w:type="dxa"/>
            <w:tcBorders>
              <w:top w:val="nil"/>
              <w:bottom w:val="nil"/>
            </w:tcBorders>
          </w:tcPr>
          <w:p w:rsidR="00000000" w:rsidRDefault="00000000">
            <w:pPr>
              <w:jc w:val="center"/>
            </w:pPr>
            <w:r>
              <w:t>1997</w:t>
            </w:r>
          </w:p>
        </w:tc>
        <w:tc>
          <w:tcPr>
            <w:tcW w:w="2019" w:type="dxa"/>
            <w:tcBorders>
              <w:top w:val="nil"/>
              <w:bottom w:val="nil"/>
            </w:tcBorders>
          </w:tcPr>
          <w:p w:rsidR="00000000" w:rsidRDefault="00000000">
            <w:pPr>
              <w:ind w:right="247"/>
              <w:jc w:val="right"/>
            </w:pPr>
            <w:r>
              <w:t>1 003 056.94</w:t>
            </w:r>
          </w:p>
        </w:tc>
        <w:tc>
          <w:tcPr>
            <w:tcW w:w="1639" w:type="dxa"/>
            <w:tcBorders>
              <w:top w:val="nil"/>
              <w:bottom w:val="nil"/>
            </w:tcBorders>
          </w:tcPr>
          <w:p w:rsidR="00000000" w:rsidRDefault="00000000">
            <w:pPr>
              <w:ind w:right="610"/>
              <w:jc w:val="right"/>
            </w:pPr>
            <w:r>
              <w:t>3.6</w:t>
            </w:r>
          </w:p>
        </w:tc>
        <w:tc>
          <w:tcPr>
            <w:tcW w:w="2279" w:type="dxa"/>
            <w:tcBorders>
              <w:top w:val="nil"/>
              <w:bottom w:val="nil"/>
            </w:tcBorders>
          </w:tcPr>
          <w:p w:rsidR="00000000" w:rsidRDefault="00000000">
            <w:pPr>
              <w:jc w:val="center"/>
            </w:pPr>
            <w:r>
              <w:t>801 662</w:t>
            </w:r>
          </w:p>
        </w:tc>
      </w:tr>
      <w:tr w:rsidR="00000000">
        <w:tblPrEx>
          <w:tblCellMar>
            <w:top w:w="0" w:type="dxa"/>
            <w:bottom w:w="0" w:type="dxa"/>
          </w:tblCellMar>
        </w:tblPrEx>
        <w:trPr>
          <w:jc w:val="center"/>
        </w:trPr>
        <w:tc>
          <w:tcPr>
            <w:tcW w:w="1970" w:type="dxa"/>
            <w:tcBorders>
              <w:top w:val="nil"/>
              <w:bottom w:val="nil"/>
            </w:tcBorders>
          </w:tcPr>
          <w:p w:rsidR="00000000" w:rsidRDefault="00000000">
            <w:pPr>
              <w:jc w:val="center"/>
            </w:pPr>
            <w:r>
              <w:t>1998</w:t>
            </w:r>
          </w:p>
        </w:tc>
        <w:tc>
          <w:tcPr>
            <w:tcW w:w="2019" w:type="dxa"/>
            <w:tcBorders>
              <w:top w:val="nil"/>
              <w:bottom w:val="nil"/>
            </w:tcBorders>
          </w:tcPr>
          <w:p w:rsidR="00000000" w:rsidRDefault="00000000">
            <w:pPr>
              <w:ind w:right="247"/>
              <w:jc w:val="right"/>
            </w:pPr>
            <w:r>
              <w:t>1 001 853.27</w:t>
            </w:r>
          </w:p>
        </w:tc>
        <w:tc>
          <w:tcPr>
            <w:tcW w:w="1639" w:type="dxa"/>
            <w:tcBorders>
              <w:top w:val="nil"/>
              <w:bottom w:val="nil"/>
            </w:tcBorders>
          </w:tcPr>
          <w:p w:rsidR="00000000" w:rsidRDefault="00000000">
            <w:pPr>
              <w:ind w:right="610"/>
              <w:jc w:val="right"/>
            </w:pPr>
            <w:r>
              <w:t>(</w:t>
            </w:r>
            <w:r>
              <w:noBreakHyphen/>
              <w:t>)0.1</w:t>
            </w:r>
          </w:p>
        </w:tc>
        <w:tc>
          <w:tcPr>
            <w:tcW w:w="2279" w:type="dxa"/>
            <w:tcBorders>
              <w:top w:val="nil"/>
              <w:bottom w:val="nil"/>
            </w:tcBorders>
          </w:tcPr>
          <w:p w:rsidR="00000000" w:rsidRDefault="00000000">
            <w:pPr>
              <w:jc w:val="center"/>
            </w:pPr>
            <w:r>
              <w:t>775 501</w:t>
            </w:r>
          </w:p>
        </w:tc>
      </w:tr>
      <w:tr w:rsidR="00000000">
        <w:tblPrEx>
          <w:tblCellMar>
            <w:top w:w="0" w:type="dxa"/>
            <w:bottom w:w="0" w:type="dxa"/>
          </w:tblCellMar>
        </w:tblPrEx>
        <w:trPr>
          <w:jc w:val="center"/>
        </w:trPr>
        <w:tc>
          <w:tcPr>
            <w:tcW w:w="1970" w:type="dxa"/>
            <w:tcBorders>
              <w:top w:val="nil"/>
            </w:tcBorders>
          </w:tcPr>
          <w:p w:rsidR="00000000" w:rsidRDefault="00000000">
            <w:pPr>
              <w:jc w:val="center"/>
            </w:pPr>
            <w:r>
              <w:t>1999</w:t>
            </w:r>
          </w:p>
        </w:tc>
        <w:tc>
          <w:tcPr>
            <w:tcW w:w="2019" w:type="dxa"/>
            <w:tcBorders>
              <w:top w:val="nil"/>
            </w:tcBorders>
          </w:tcPr>
          <w:p w:rsidR="00000000" w:rsidRDefault="00000000">
            <w:pPr>
              <w:ind w:right="247"/>
              <w:jc w:val="right"/>
            </w:pPr>
            <w:r>
              <w:t>1 010 068.47</w:t>
            </w:r>
          </w:p>
        </w:tc>
        <w:tc>
          <w:tcPr>
            <w:tcW w:w="1639" w:type="dxa"/>
            <w:tcBorders>
              <w:top w:val="nil"/>
            </w:tcBorders>
          </w:tcPr>
          <w:p w:rsidR="00000000" w:rsidRDefault="00000000">
            <w:pPr>
              <w:ind w:right="610"/>
              <w:jc w:val="right"/>
            </w:pPr>
            <w:r>
              <w:t>0.8</w:t>
            </w:r>
          </w:p>
        </w:tc>
        <w:tc>
          <w:tcPr>
            <w:tcW w:w="2279" w:type="dxa"/>
            <w:tcBorders>
              <w:top w:val="nil"/>
            </w:tcBorders>
          </w:tcPr>
          <w:p w:rsidR="00000000" w:rsidRDefault="00000000">
            <w:pPr>
              <w:jc w:val="center"/>
            </w:pPr>
            <w:r>
              <w:t>556 837</w:t>
            </w:r>
          </w:p>
        </w:tc>
      </w:tr>
    </w:tbl>
    <w:p w:rsidR="00000000" w:rsidRDefault="00000000">
      <w:pPr>
        <w:rPr>
          <w:kern w:val="16"/>
        </w:rPr>
      </w:pPr>
    </w:p>
    <w:p w:rsidR="00000000" w:rsidRDefault="00000000">
      <w:pPr>
        <w:ind w:left="1440"/>
        <w:rPr>
          <w:kern w:val="16"/>
        </w:rPr>
      </w:pPr>
      <w:r>
        <w:rPr>
          <w:kern w:val="16"/>
          <w:u w:val="single"/>
        </w:rPr>
        <w:t>Source</w:t>
      </w:r>
      <w:r>
        <w:rPr>
          <w:kern w:val="16"/>
        </w:rPr>
        <w:t xml:space="preserve">:  Central Bank of Brazil </w:t>
      </w:r>
      <w:r>
        <w:rPr>
          <w:kern w:val="16"/>
        </w:rPr>
        <w:noBreakHyphen/>
        <w:t xml:space="preserve"> BACEN.</w:t>
      </w:r>
    </w:p>
    <w:p w:rsidR="00000000" w:rsidRDefault="00000000">
      <w:pPr>
        <w:rPr>
          <w:kern w:val="16"/>
        </w:rPr>
      </w:pPr>
    </w:p>
    <w:p w:rsidR="00000000" w:rsidRDefault="00000000">
      <w:pPr>
        <w:ind w:left="720"/>
        <w:rPr>
          <w:kern w:val="16"/>
        </w:rPr>
      </w:pPr>
      <w:r>
        <w:rPr>
          <w:kern w:val="16"/>
        </w:rPr>
        <w:tab/>
      </w:r>
      <w:r>
        <w:rPr>
          <w:kern w:val="16"/>
          <w:u w:val="single"/>
        </w:rPr>
        <w:t>Note</w:t>
      </w:r>
      <w:r>
        <w:rPr>
          <w:kern w:val="16"/>
        </w:rPr>
        <w:t xml:space="preserve">:  The dollar reduction in GDP for the period between 1998 and 1999 </w:t>
      </w:r>
    </w:p>
    <w:p w:rsidR="00000000" w:rsidRDefault="00000000">
      <w:pPr>
        <w:ind w:left="720"/>
        <w:rPr>
          <w:kern w:val="16"/>
        </w:rPr>
      </w:pPr>
      <w:r>
        <w:rPr>
          <w:kern w:val="16"/>
        </w:rPr>
        <w:t>was the result of more flexible exchange rates instituted in January 1999.</w:t>
      </w:r>
    </w:p>
    <w:p w:rsidR="00000000" w:rsidRDefault="00000000">
      <w:pPr>
        <w:rPr>
          <w:kern w:val="16"/>
        </w:rPr>
      </w:pPr>
    </w:p>
    <w:p w:rsidR="00000000" w:rsidRDefault="00000000">
      <w:pPr>
        <w:pStyle w:val="Heading1"/>
      </w:pPr>
      <w:r>
        <w:br w:type="page"/>
        <w:t>Table 3</w:t>
      </w:r>
    </w:p>
    <w:p w:rsidR="00000000" w:rsidRDefault="00000000">
      <w:pPr>
        <w:pStyle w:val="Heading1"/>
      </w:pPr>
    </w:p>
    <w:p w:rsidR="00000000" w:rsidRDefault="00000000">
      <w:pPr>
        <w:pStyle w:val="Heading1"/>
      </w:pPr>
      <w:r>
        <w:t>Gross domestic product per capita</w:t>
      </w:r>
    </w:p>
    <w:p w:rsidR="00000000" w:rsidRDefault="00000000"/>
    <w:tbl>
      <w:tblPr>
        <w:tblW w:w="0" w:type="auto"/>
        <w:jc w:val="center"/>
        <w:tblInd w:w="-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1709"/>
        <w:gridCol w:w="1938"/>
        <w:gridCol w:w="1842"/>
        <w:gridCol w:w="2410"/>
      </w:tblGrid>
      <w:tr w:rsidR="00000000">
        <w:tblPrEx>
          <w:tblCellMar>
            <w:top w:w="0" w:type="dxa"/>
            <w:bottom w:w="0" w:type="dxa"/>
          </w:tblCellMar>
        </w:tblPrEx>
        <w:trPr>
          <w:jc w:val="center"/>
        </w:trPr>
        <w:tc>
          <w:tcPr>
            <w:tcW w:w="1709" w:type="dxa"/>
            <w:tcBorders>
              <w:bottom w:val="single" w:sz="4" w:space="0" w:color="auto"/>
            </w:tcBorders>
          </w:tcPr>
          <w:p w:rsidR="00000000" w:rsidRDefault="00000000">
            <w:pPr>
              <w:jc w:val="center"/>
              <w:rPr>
                <w:kern w:val="2"/>
              </w:rPr>
            </w:pPr>
            <w:r>
              <w:rPr>
                <w:kern w:val="2"/>
              </w:rPr>
              <w:t>Year</w:t>
            </w:r>
          </w:p>
        </w:tc>
        <w:tc>
          <w:tcPr>
            <w:tcW w:w="1938" w:type="dxa"/>
            <w:tcBorders>
              <w:bottom w:val="single" w:sz="4" w:space="0" w:color="auto"/>
            </w:tcBorders>
          </w:tcPr>
          <w:p w:rsidR="00000000" w:rsidRDefault="00000000">
            <w:pPr>
              <w:jc w:val="center"/>
              <w:rPr>
                <w:kern w:val="2"/>
              </w:rPr>
            </w:pPr>
            <w:r>
              <w:rPr>
                <w:kern w:val="2"/>
              </w:rPr>
              <w:t>In millions of Cr$ for 1999</w:t>
            </w:r>
          </w:p>
        </w:tc>
        <w:tc>
          <w:tcPr>
            <w:tcW w:w="1842" w:type="dxa"/>
            <w:tcBorders>
              <w:bottom w:val="single" w:sz="4" w:space="0" w:color="auto"/>
            </w:tcBorders>
          </w:tcPr>
          <w:p w:rsidR="00000000" w:rsidRDefault="00000000">
            <w:pPr>
              <w:jc w:val="center"/>
              <w:rPr>
                <w:kern w:val="2"/>
              </w:rPr>
            </w:pPr>
            <w:r>
              <w:rPr>
                <w:kern w:val="2"/>
              </w:rPr>
              <w:t>Real percentage variation</w:t>
            </w:r>
          </w:p>
        </w:tc>
        <w:tc>
          <w:tcPr>
            <w:tcW w:w="2410" w:type="dxa"/>
            <w:tcBorders>
              <w:bottom w:val="single" w:sz="4" w:space="0" w:color="auto"/>
            </w:tcBorders>
          </w:tcPr>
          <w:p w:rsidR="00000000" w:rsidRDefault="00000000">
            <w:pPr>
              <w:jc w:val="center"/>
              <w:rPr>
                <w:kern w:val="2"/>
              </w:rPr>
            </w:pPr>
            <w:r>
              <w:rPr>
                <w:kern w:val="2"/>
              </w:rPr>
              <w:t>Current prices in</w:t>
            </w:r>
          </w:p>
          <w:p w:rsidR="00000000" w:rsidRDefault="00000000">
            <w:pPr>
              <w:jc w:val="center"/>
              <w:rPr>
                <w:kern w:val="2"/>
              </w:rPr>
            </w:pPr>
            <w:r>
              <w:rPr>
                <w:kern w:val="2"/>
              </w:rPr>
              <w:t>millions of US$</w:t>
            </w:r>
          </w:p>
        </w:tc>
      </w:tr>
      <w:tr w:rsidR="00000000">
        <w:tblPrEx>
          <w:tblCellMar>
            <w:top w:w="0" w:type="dxa"/>
            <w:bottom w:w="0" w:type="dxa"/>
          </w:tblCellMar>
        </w:tblPrEx>
        <w:trPr>
          <w:jc w:val="center"/>
        </w:trPr>
        <w:tc>
          <w:tcPr>
            <w:tcW w:w="1709" w:type="dxa"/>
            <w:tcBorders>
              <w:bottom w:val="nil"/>
            </w:tcBorders>
          </w:tcPr>
          <w:p w:rsidR="00000000" w:rsidRDefault="00000000">
            <w:pPr>
              <w:jc w:val="center"/>
              <w:rPr>
                <w:kern w:val="2"/>
              </w:rPr>
            </w:pPr>
            <w:r>
              <w:rPr>
                <w:kern w:val="2"/>
              </w:rPr>
              <w:t>1990</w:t>
            </w:r>
          </w:p>
        </w:tc>
        <w:tc>
          <w:tcPr>
            <w:tcW w:w="1938" w:type="dxa"/>
            <w:tcBorders>
              <w:bottom w:val="nil"/>
            </w:tcBorders>
          </w:tcPr>
          <w:p w:rsidR="00000000" w:rsidRDefault="00000000">
            <w:pPr>
              <w:jc w:val="center"/>
              <w:rPr>
                <w:kern w:val="2"/>
              </w:rPr>
            </w:pPr>
            <w:r>
              <w:rPr>
                <w:kern w:val="2"/>
              </w:rPr>
              <w:t>5 627.67</w:t>
            </w:r>
          </w:p>
        </w:tc>
        <w:tc>
          <w:tcPr>
            <w:tcW w:w="1842" w:type="dxa"/>
            <w:tcBorders>
              <w:bottom w:val="nil"/>
            </w:tcBorders>
          </w:tcPr>
          <w:p w:rsidR="00000000" w:rsidRDefault="00000000">
            <w:pPr>
              <w:ind w:right="665"/>
              <w:jc w:val="right"/>
              <w:rPr>
                <w:kern w:val="2"/>
              </w:rPr>
            </w:pPr>
            <w:r>
              <w:rPr>
                <w:kern w:val="2"/>
              </w:rPr>
              <w:t>(</w:t>
            </w:r>
            <w:r>
              <w:rPr>
                <w:kern w:val="2"/>
              </w:rPr>
              <w:noBreakHyphen/>
              <w:t>)5.5</w:t>
            </w:r>
          </w:p>
        </w:tc>
        <w:tc>
          <w:tcPr>
            <w:tcW w:w="2410" w:type="dxa"/>
            <w:tcBorders>
              <w:bottom w:val="nil"/>
            </w:tcBorders>
          </w:tcPr>
          <w:p w:rsidR="00000000" w:rsidRDefault="00000000">
            <w:pPr>
              <w:jc w:val="center"/>
              <w:rPr>
                <w:kern w:val="2"/>
              </w:rPr>
            </w:pPr>
            <w:r>
              <w:rPr>
                <w:kern w:val="2"/>
              </w:rPr>
              <w:t>3 257.09</w:t>
            </w:r>
          </w:p>
        </w:tc>
      </w:tr>
      <w:tr w:rsidR="00000000">
        <w:tblPrEx>
          <w:tblCellMar>
            <w:top w:w="0" w:type="dxa"/>
            <w:bottom w:w="0" w:type="dxa"/>
          </w:tblCellMar>
        </w:tblPrEx>
        <w:trPr>
          <w:jc w:val="center"/>
        </w:trPr>
        <w:tc>
          <w:tcPr>
            <w:tcW w:w="1709" w:type="dxa"/>
            <w:tcBorders>
              <w:top w:val="nil"/>
              <w:bottom w:val="nil"/>
            </w:tcBorders>
          </w:tcPr>
          <w:p w:rsidR="00000000" w:rsidRDefault="00000000">
            <w:pPr>
              <w:jc w:val="center"/>
              <w:rPr>
                <w:kern w:val="2"/>
              </w:rPr>
            </w:pPr>
            <w:r>
              <w:rPr>
                <w:kern w:val="2"/>
              </w:rPr>
              <w:t>1991</w:t>
            </w:r>
          </w:p>
        </w:tc>
        <w:tc>
          <w:tcPr>
            <w:tcW w:w="1938" w:type="dxa"/>
            <w:tcBorders>
              <w:top w:val="nil"/>
              <w:bottom w:val="nil"/>
            </w:tcBorders>
          </w:tcPr>
          <w:p w:rsidR="00000000" w:rsidRDefault="00000000">
            <w:pPr>
              <w:jc w:val="center"/>
              <w:rPr>
                <w:kern w:val="2"/>
              </w:rPr>
            </w:pPr>
            <w:r>
              <w:rPr>
                <w:kern w:val="2"/>
              </w:rPr>
              <w:t>5 595.66</w:t>
            </w:r>
          </w:p>
        </w:tc>
        <w:tc>
          <w:tcPr>
            <w:tcW w:w="1842" w:type="dxa"/>
            <w:tcBorders>
              <w:top w:val="nil"/>
              <w:bottom w:val="nil"/>
            </w:tcBorders>
          </w:tcPr>
          <w:p w:rsidR="00000000" w:rsidRDefault="00000000">
            <w:pPr>
              <w:ind w:right="665"/>
              <w:jc w:val="right"/>
              <w:rPr>
                <w:kern w:val="2"/>
              </w:rPr>
            </w:pPr>
            <w:r>
              <w:rPr>
                <w:kern w:val="2"/>
              </w:rPr>
              <w:t>(</w:t>
            </w:r>
            <w:r>
              <w:rPr>
                <w:kern w:val="2"/>
              </w:rPr>
              <w:noBreakHyphen/>
              <w:t>)0.6</w:t>
            </w:r>
          </w:p>
        </w:tc>
        <w:tc>
          <w:tcPr>
            <w:tcW w:w="2410" w:type="dxa"/>
            <w:tcBorders>
              <w:top w:val="nil"/>
              <w:bottom w:val="nil"/>
            </w:tcBorders>
          </w:tcPr>
          <w:p w:rsidR="00000000" w:rsidRDefault="00000000">
            <w:pPr>
              <w:jc w:val="center"/>
              <w:rPr>
                <w:kern w:val="2"/>
              </w:rPr>
            </w:pPr>
            <w:r>
              <w:rPr>
                <w:kern w:val="2"/>
              </w:rPr>
              <w:t>2 770.88</w:t>
            </w:r>
          </w:p>
        </w:tc>
      </w:tr>
      <w:tr w:rsidR="00000000">
        <w:tblPrEx>
          <w:tblCellMar>
            <w:top w:w="0" w:type="dxa"/>
            <w:bottom w:w="0" w:type="dxa"/>
          </w:tblCellMar>
        </w:tblPrEx>
        <w:trPr>
          <w:jc w:val="center"/>
        </w:trPr>
        <w:tc>
          <w:tcPr>
            <w:tcW w:w="1709" w:type="dxa"/>
            <w:tcBorders>
              <w:top w:val="nil"/>
              <w:bottom w:val="nil"/>
            </w:tcBorders>
          </w:tcPr>
          <w:p w:rsidR="00000000" w:rsidRDefault="00000000">
            <w:pPr>
              <w:jc w:val="center"/>
              <w:rPr>
                <w:kern w:val="2"/>
              </w:rPr>
            </w:pPr>
            <w:r>
              <w:rPr>
                <w:kern w:val="2"/>
              </w:rPr>
              <w:t>1992</w:t>
            </w:r>
          </w:p>
        </w:tc>
        <w:tc>
          <w:tcPr>
            <w:tcW w:w="1938" w:type="dxa"/>
            <w:tcBorders>
              <w:top w:val="nil"/>
              <w:bottom w:val="nil"/>
            </w:tcBorders>
          </w:tcPr>
          <w:p w:rsidR="00000000" w:rsidRDefault="00000000">
            <w:pPr>
              <w:jc w:val="center"/>
              <w:rPr>
                <w:kern w:val="2"/>
              </w:rPr>
            </w:pPr>
            <w:r>
              <w:rPr>
                <w:kern w:val="2"/>
              </w:rPr>
              <w:t>5 480.25</w:t>
            </w:r>
          </w:p>
        </w:tc>
        <w:tc>
          <w:tcPr>
            <w:tcW w:w="1842" w:type="dxa"/>
            <w:tcBorders>
              <w:top w:val="nil"/>
              <w:bottom w:val="nil"/>
            </w:tcBorders>
          </w:tcPr>
          <w:p w:rsidR="00000000" w:rsidRDefault="00000000">
            <w:pPr>
              <w:ind w:right="665"/>
              <w:jc w:val="right"/>
              <w:rPr>
                <w:kern w:val="2"/>
              </w:rPr>
            </w:pPr>
            <w:r>
              <w:rPr>
                <w:kern w:val="2"/>
              </w:rPr>
              <w:t>(</w:t>
            </w:r>
            <w:r>
              <w:rPr>
                <w:kern w:val="2"/>
              </w:rPr>
              <w:noBreakHyphen/>
              <w:t>)2.1</w:t>
            </w:r>
          </w:p>
        </w:tc>
        <w:tc>
          <w:tcPr>
            <w:tcW w:w="2410" w:type="dxa"/>
            <w:tcBorders>
              <w:top w:val="nil"/>
              <w:bottom w:val="nil"/>
            </w:tcBorders>
          </w:tcPr>
          <w:p w:rsidR="00000000" w:rsidRDefault="00000000">
            <w:pPr>
              <w:jc w:val="center"/>
              <w:rPr>
                <w:kern w:val="2"/>
              </w:rPr>
            </w:pPr>
            <w:r>
              <w:rPr>
                <w:kern w:val="2"/>
              </w:rPr>
              <w:t>2 604.82</w:t>
            </w:r>
          </w:p>
        </w:tc>
      </w:tr>
      <w:tr w:rsidR="00000000">
        <w:tblPrEx>
          <w:tblCellMar>
            <w:top w:w="0" w:type="dxa"/>
            <w:bottom w:w="0" w:type="dxa"/>
          </w:tblCellMar>
        </w:tblPrEx>
        <w:trPr>
          <w:jc w:val="center"/>
        </w:trPr>
        <w:tc>
          <w:tcPr>
            <w:tcW w:w="1709" w:type="dxa"/>
            <w:tcBorders>
              <w:top w:val="nil"/>
              <w:bottom w:val="nil"/>
            </w:tcBorders>
          </w:tcPr>
          <w:p w:rsidR="00000000" w:rsidRDefault="00000000">
            <w:pPr>
              <w:jc w:val="center"/>
              <w:rPr>
                <w:kern w:val="2"/>
              </w:rPr>
            </w:pPr>
            <w:r>
              <w:rPr>
                <w:kern w:val="2"/>
              </w:rPr>
              <w:t>1993</w:t>
            </w:r>
          </w:p>
        </w:tc>
        <w:tc>
          <w:tcPr>
            <w:tcW w:w="1938" w:type="dxa"/>
            <w:tcBorders>
              <w:top w:val="nil"/>
              <w:bottom w:val="nil"/>
            </w:tcBorders>
          </w:tcPr>
          <w:p w:rsidR="00000000" w:rsidRDefault="00000000">
            <w:pPr>
              <w:jc w:val="center"/>
              <w:rPr>
                <w:kern w:val="2"/>
              </w:rPr>
            </w:pPr>
            <w:r>
              <w:rPr>
                <w:kern w:val="2"/>
              </w:rPr>
              <w:t>5 664.20</w:t>
            </w:r>
          </w:p>
        </w:tc>
        <w:tc>
          <w:tcPr>
            <w:tcW w:w="1842" w:type="dxa"/>
            <w:tcBorders>
              <w:top w:val="nil"/>
              <w:bottom w:val="nil"/>
            </w:tcBorders>
          </w:tcPr>
          <w:p w:rsidR="00000000" w:rsidRDefault="00000000">
            <w:pPr>
              <w:ind w:right="665"/>
              <w:jc w:val="right"/>
              <w:rPr>
                <w:kern w:val="2"/>
              </w:rPr>
            </w:pPr>
            <w:r>
              <w:rPr>
                <w:kern w:val="2"/>
              </w:rPr>
              <w:t>3.4</w:t>
            </w:r>
          </w:p>
        </w:tc>
        <w:tc>
          <w:tcPr>
            <w:tcW w:w="2410" w:type="dxa"/>
            <w:tcBorders>
              <w:top w:val="nil"/>
              <w:bottom w:val="nil"/>
            </w:tcBorders>
          </w:tcPr>
          <w:p w:rsidR="00000000" w:rsidRDefault="00000000">
            <w:pPr>
              <w:jc w:val="center"/>
              <w:rPr>
                <w:kern w:val="2"/>
              </w:rPr>
            </w:pPr>
            <w:r>
              <w:rPr>
                <w:kern w:val="2"/>
              </w:rPr>
              <w:t>2 846.86</w:t>
            </w:r>
          </w:p>
        </w:tc>
      </w:tr>
      <w:tr w:rsidR="00000000">
        <w:tblPrEx>
          <w:tblCellMar>
            <w:top w:w="0" w:type="dxa"/>
            <w:bottom w:w="0" w:type="dxa"/>
          </w:tblCellMar>
        </w:tblPrEx>
        <w:trPr>
          <w:jc w:val="center"/>
        </w:trPr>
        <w:tc>
          <w:tcPr>
            <w:tcW w:w="1709" w:type="dxa"/>
            <w:tcBorders>
              <w:top w:val="nil"/>
              <w:bottom w:val="nil"/>
            </w:tcBorders>
          </w:tcPr>
          <w:p w:rsidR="00000000" w:rsidRDefault="00000000">
            <w:pPr>
              <w:jc w:val="center"/>
              <w:rPr>
                <w:kern w:val="2"/>
              </w:rPr>
            </w:pPr>
            <w:r>
              <w:rPr>
                <w:kern w:val="2"/>
              </w:rPr>
              <w:t>1994</w:t>
            </w:r>
          </w:p>
        </w:tc>
        <w:tc>
          <w:tcPr>
            <w:tcW w:w="1938" w:type="dxa"/>
            <w:tcBorders>
              <w:top w:val="nil"/>
              <w:bottom w:val="nil"/>
            </w:tcBorders>
          </w:tcPr>
          <w:p w:rsidR="00000000" w:rsidRDefault="00000000">
            <w:pPr>
              <w:jc w:val="center"/>
              <w:rPr>
                <w:kern w:val="2"/>
              </w:rPr>
            </w:pPr>
            <w:r>
              <w:rPr>
                <w:kern w:val="2"/>
              </w:rPr>
              <w:t>5 909.03</w:t>
            </w:r>
          </w:p>
        </w:tc>
        <w:tc>
          <w:tcPr>
            <w:tcW w:w="1842" w:type="dxa"/>
            <w:tcBorders>
              <w:top w:val="nil"/>
              <w:bottom w:val="nil"/>
            </w:tcBorders>
          </w:tcPr>
          <w:p w:rsidR="00000000" w:rsidRDefault="00000000">
            <w:pPr>
              <w:ind w:right="665"/>
              <w:jc w:val="right"/>
              <w:rPr>
                <w:kern w:val="2"/>
              </w:rPr>
            </w:pPr>
            <w:r>
              <w:rPr>
                <w:kern w:val="2"/>
              </w:rPr>
              <w:t>4.3</w:t>
            </w:r>
          </w:p>
        </w:tc>
        <w:tc>
          <w:tcPr>
            <w:tcW w:w="2410" w:type="dxa"/>
            <w:tcBorders>
              <w:top w:val="nil"/>
              <w:bottom w:val="nil"/>
            </w:tcBorders>
          </w:tcPr>
          <w:p w:rsidR="00000000" w:rsidRDefault="00000000">
            <w:pPr>
              <w:jc w:val="center"/>
              <w:rPr>
                <w:kern w:val="2"/>
              </w:rPr>
            </w:pPr>
            <w:r>
              <w:rPr>
                <w:kern w:val="2"/>
              </w:rPr>
              <w:t>3 546.27</w:t>
            </w:r>
          </w:p>
        </w:tc>
      </w:tr>
      <w:tr w:rsidR="00000000">
        <w:tblPrEx>
          <w:tblCellMar>
            <w:top w:w="0" w:type="dxa"/>
            <w:bottom w:w="0" w:type="dxa"/>
          </w:tblCellMar>
        </w:tblPrEx>
        <w:trPr>
          <w:jc w:val="center"/>
        </w:trPr>
        <w:tc>
          <w:tcPr>
            <w:tcW w:w="1709" w:type="dxa"/>
            <w:tcBorders>
              <w:top w:val="nil"/>
              <w:bottom w:val="nil"/>
            </w:tcBorders>
          </w:tcPr>
          <w:p w:rsidR="00000000" w:rsidRDefault="00000000">
            <w:pPr>
              <w:jc w:val="center"/>
              <w:rPr>
                <w:kern w:val="2"/>
              </w:rPr>
            </w:pPr>
            <w:r>
              <w:rPr>
                <w:kern w:val="2"/>
              </w:rPr>
              <w:t>1995</w:t>
            </w:r>
          </w:p>
        </w:tc>
        <w:tc>
          <w:tcPr>
            <w:tcW w:w="1938" w:type="dxa"/>
            <w:tcBorders>
              <w:top w:val="nil"/>
              <w:bottom w:val="nil"/>
            </w:tcBorders>
          </w:tcPr>
          <w:p w:rsidR="00000000" w:rsidRDefault="00000000">
            <w:pPr>
              <w:jc w:val="center"/>
              <w:rPr>
                <w:kern w:val="2"/>
              </w:rPr>
            </w:pPr>
            <w:r>
              <w:rPr>
                <w:kern w:val="2"/>
              </w:rPr>
              <w:t>6 072.11</w:t>
            </w:r>
          </w:p>
        </w:tc>
        <w:tc>
          <w:tcPr>
            <w:tcW w:w="1842" w:type="dxa"/>
            <w:tcBorders>
              <w:top w:val="nil"/>
              <w:bottom w:val="nil"/>
            </w:tcBorders>
          </w:tcPr>
          <w:p w:rsidR="00000000" w:rsidRDefault="00000000">
            <w:pPr>
              <w:ind w:right="665"/>
              <w:jc w:val="right"/>
              <w:rPr>
                <w:kern w:val="2"/>
              </w:rPr>
            </w:pPr>
            <w:r>
              <w:rPr>
                <w:kern w:val="2"/>
              </w:rPr>
              <w:t>2.8</w:t>
            </w:r>
          </w:p>
        </w:tc>
        <w:tc>
          <w:tcPr>
            <w:tcW w:w="2410" w:type="dxa"/>
            <w:tcBorders>
              <w:top w:val="nil"/>
              <w:bottom w:val="nil"/>
            </w:tcBorders>
          </w:tcPr>
          <w:p w:rsidR="00000000" w:rsidRDefault="00000000">
            <w:pPr>
              <w:jc w:val="center"/>
              <w:rPr>
                <w:kern w:val="2"/>
              </w:rPr>
            </w:pPr>
            <w:r>
              <w:rPr>
                <w:kern w:val="2"/>
              </w:rPr>
              <w:t>4 541.94</w:t>
            </w:r>
          </w:p>
        </w:tc>
      </w:tr>
      <w:tr w:rsidR="00000000">
        <w:tblPrEx>
          <w:tblCellMar>
            <w:top w:w="0" w:type="dxa"/>
            <w:bottom w:w="0" w:type="dxa"/>
          </w:tblCellMar>
        </w:tblPrEx>
        <w:trPr>
          <w:jc w:val="center"/>
        </w:trPr>
        <w:tc>
          <w:tcPr>
            <w:tcW w:w="1709" w:type="dxa"/>
            <w:tcBorders>
              <w:top w:val="nil"/>
              <w:bottom w:val="nil"/>
            </w:tcBorders>
          </w:tcPr>
          <w:p w:rsidR="00000000" w:rsidRDefault="00000000">
            <w:pPr>
              <w:jc w:val="center"/>
              <w:rPr>
                <w:kern w:val="2"/>
              </w:rPr>
            </w:pPr>
            <w:r>
              <w:rPr>
                <w:kern w:val="2"/>
              </w:rPr>
              <w:t>1996</w:t>
            </w:r>
          </w:p>
        </w:tc>
        <w:tc>
          <w:tcPr>
            <w:tcW w:w="1938" w:type="dxa"/>
            <w:tcBorders>
              <w:top w:val="nil"/>
              <w:bottom w:val="nil"/>
            </w:tcBorders>
          </w:tcPr>
          <w:p w:rsidR="00000000" w:rsidRDefault="00000000">
            <w:pPr>
              <w:jc w:val="center"/>
              <w:rPr>
                <w:kern w:val="2"/>
              </w:rPr>
            </w:pPr>
            <w:r>
              <w:rPr>
                <w:kern w:val="2"/>
              </w:rPr>
              <w:t>6 148.01</w:t>
            </w:r>
          </w:p>
        </w:tc>
        <w:tc>
          <w:tcPr>
            <w:tcW w:w="1842" w:type="dxa"/>
            <w:tcBorders>
              <w:top w:val="nil"/>
              <w:bottom w:val="nil"/>
            </w:tcBorders>
          </w:tcPr>
          <w:p w:rsidR="00000000" w:rsidRDefault="00000000">
            <w:pPr>
              <w:ind w:right="665"/>
              <w:jc w:val="right"/>
              <w:rPr>
                <w:kern w:val="2"/>
              </w:rPr>
            </w:pPr>
            <w:r>
              <w:rPr>
                <w:kern w:val="2"/>
              </w:rPr>
              <w:t>1.2</w:t>
            </w:r>
          </w:p>
        </w:tc>
        <w:tc>
          <w:tcPr>
            <w:tcW w:w="2410" w:type="dxa"/>
            <w:tcBorders>
              <w:top w:val="nil"/>
              <w:bottom w:val="nil"/>
            </w:tcBorders>
          </w:tcPr>
          <w:p w:rsidR="00000000" w:rsidRDefault="00000000">
            <w:pPr>
              <w:jc w:val="center"/>
              <w:rPr>
                <w:kern w:val="2"/>
              </w:rPr>
            </w:pPr>
            <w:r>
              <w:rPr>
                <w:kern w:val="2"/>
              </w:rPr>
              <w:t>4 924.21</w:t>
            </w:r>
          </w:p>
        </w:tc>
      </w:tr>
      <w:tr w:rsidR="00000000">
        <w:tblPrEx>
          <w:tblCellMar>
            <w:top w:w="0" w:type="dxa"/>
            <w:bottom w:w="0" w:type="dxa"/>
          </w:tblCellMar>
        </w:tblPrEx>
        <w:trPr>
          <w:jc w:val="center"/>
        </w:trPr>
        <w:tc>
          <w:tcPr>
            <w:tcW w:w="1709" w:type="dxa"/>
            <w:tcBorders>
              <w:top w:val="nil"/>
              <w:bottom w:val="nil"/>
            </w:tcBorders>
          </w:tcPr>
          <w:p w:rsidR="00000000" w:rsidRDefault="00000000">
            <w:pPr>
              <w:jc w:val="center"/>
              <w:rPr>
                <w:kern w:val="2"/>
              </w:rPr>
            </w:pPr>
            <w:r>
              <w:rPr>
                <w:kern w:val="2"/>
              </w:rPr>
              <w:t>1997</w:t>
            </w:r>
          </w:p>
        </w:tc>
        <w:tc>
          <w:tcPr>
            <w:tcW w:w="1938" w:type="dxa"/>
            <w:tcBorders>
              <w:top w:val="nil"/>
              <w:bottom w:val="nil"/>
            </w:tcBorders>
          </w:tcPr>
          <w:p w:rsidR="00000000" w:rsidRDefault="00000000">
            <w:pPr>
              <w:jc w:val="center"/>
              <w:rPr>
                <w:kern w:val="2"/>
              </w:rPr>
            </w:pPr>
            <w:r>
              <w:rPr>
                <w:kern w:val="2"/>
              </w:rPr>
              <w:t>6 283.40</w:t>
            </w:r>
          </w:p>
        </w:tc>
        <w:tc>
          <w:tcPr>
            <w:tcW w:w="1842" w:type="dxa"/>
            <w:tcBorders>
              <w:top w:val="nil"/>
              <w:bottom w:val="nil"/>
            </w:tcBorders>
          </w:tcPr>
          <w:p w:rsidR="00000000" w:rsidRDefault="00000000">
            <w:pPr>
              <w:ind w:right="665"/>
              <w:jc w:val="right"/>
              <w:rPr>
                <w:kern w:val="2"/>
              </w:rPr>
            </w:pPr>
            <w:r>
              <w:rPr>
                <w:kern w:val="2"/>
              </w:rPr>
              <w:t>2.2</w:t>
            </w:r>
          </w:p>
        </w:tc>
        <w:tc>
          <w:tcPr>
            <w:tcW w:w="2410" w:type="dxa"/>
            <w:tcBorders>
              <w:top w:val="nil"/>
              <w:bottom w:val="nil"/>
            </w:tcBorders>
          </w:tcPr>
          <w:p w:rsidR="00000000" w:rsidRDefault="00000000">
            <w:pPr>
              <w:jc w:val="center"/>
              <w:rPr>
                <w:kern w:val="2"/>
              </w:rPr>
            </w:pPr>
            <w:r>
              <w:rPr>
                <w:kern w:val="2"/>
              </w:rPr>
              <w:t>5 021.81</w:t>
            </w:r>
          </w:p>
        </w:tc>
      </w:tr>
      <w:tr w:rsidR="00000000">
        <w:tblPrEx>
          <w:tblCellMar>
            <w:top w:w="0" w:type="dxa"/>
            <w:bottom w:w="0" w:type="dxa"/>
          </w:tblCellMar>
        </w:tblPrEx>
        <w:trPr>
          <w:jc w:val="center"/>
        </w:trPr>
        <w:tc>
          <w:tcPr>
            <w:tcW w:w="1709" w:type="dxa"/>
            <w:tcBorders>
              <w:top w:val="nil"/>
              <w:bottom w:val="nil"/>
            </w:tcBorders>
          </w:tcPr>
          <w:p w:rsidR="00000000" w:rsidRDefault="00000000">
            <w:pPr>
              <w:jc w:val="center"/>
              <w:rPr>
                <w:kern w:val="2"/>
              </w:rPr>
            </w:pPr>
            <w:r>
              <w:rPr>
                <w:kern w:val="2"/>
              </w:rPr>
              <w:t>1998</w:t>
            </w:r>
          </w:p>
        </w:tc>
        <w:tc>
          <w:tcPr>
            <w:tcW w:w="1938" w:type="dxa"/>
            <w:tcBorders>
              <w:top w:val="nil"/>
              <w:bottom w:val="nil"/>
            </w:tcBorders>
          </w:tcPr>
          <w:p w:rsidR="00000000" w:rsidRDefault="00000000">
            <w:pPr>
              <w:jc w:val="center"/>
              <w:rPr>
                <w:kern w:val="2"/>
              </w:rPr>
            </w:pPr>
            <w:r>
              <w:rPr>
                <w:kern w:val="2"/>
              </w:rPr>
              <w:t>9 192.31</w:t>
            </w:r>
          </w:p>
        </w:tc>
        <w:tc>
          <w:tcPr>
            <w:tcW w:w="1842" w:type="dxa"/>
            <w:tcBorders>
              <w:top w:val="nil"/>
              <w:bottom w:val="nil"/>
            </w:tcBorders>
          </w:tcPr>
          <w:p w:rsidR="00000000" w:rsidRDefault="00000000">
            <w:pPr>
              <w:ind w:right="665"/>
              <w:jc w:val="right"/>
              <w:rPr>
                <w:kern w:val="2"/>
              </w:rPr>
            </w:pPr>
            <w:r>
              <w:rPr>
                <w:kern w:val="2"/>
              </w:rPr>
              <w:t>(</w:t>
            </w:r>
            <w:r>
              <w:rPr>
                <w:kern w:val="2"/>
              </w:rPr>
              <w:noBreakHyphen/>
              <w:t>)1.4</w:t>
            </w:r>
          </w:p>
        </w:tc>
        <w:tc>
          <w:tcPr>
            <w:tcW w:w="2410" w:type="dxa"/>
            <w:tcBorders>
              <w:top w:val="nil"/>
              <w:bottom w:val="nil"/>
            </w:tcBorders>
          </w:tcPr>
          <w:p w:rsidR="00000000" w:rsidRDefault="00000000">
            <w:pPr>
              <w:jc w:val="center"/>
              <w:rPr>
                <w:kern w:val="2"/>
              </w:rPr>
            </w:pPr>
            <w:r>
              <w:rPr>
                <w:kern w:val="2"/>
              </w:rPr>
              <w:t>4 793.26</w:t>
            </w:r>
          </w:p>
        </w:tc>
      </w:tr>
      <w:tr w:rsidR="00000000">
        <w:tblPrEx>
          <w:tblCellMar>
            <w:top w:w="0" w:type="dxa"/>
            <w:bottom w:w="0" w:type="dxa"/>
          </w:tblCellMar>
        </w:tblPrEx>
        <w:trPr>
          <w:jc w:val="center"/>
        </w:trPr>
        <w:tc>
          <w:tcPr>
            <w:tcW w:w="1709" w:type="dxa"/>
            <w:tcBorders>
              <w:top w:val="nil"/>
            </w:tcBorders>
          </w:tcPr>
          <w:p w:rsidR="00000000" w:rsidRDefault="00000000">
            <w:pPr>
              <w:jc w:val="center"/>
              <w:rPr>
                <w:kern w:val="2"/>
              </w:rPr>
            </w:pPr>
            <w:r>
              <w:rPr>
                <w:kern w:val="2"/>
              </w:rPr>
              <w:t>1999</w:t>
            </w:r>
          </w:p>
        </w:tc>
        <w:tc>
          <w:tcPr>
            <w:tcW w:w="1938" w:type="dxa"/>
            <w:tcBorders>
              <w:top w:val="nil"/>
            </w:tcBorders>
          </w:tcPr>
          <w:p w:rsidR="00000000" w:rsidRDefault="00000000">
            <w:pPr>
              <w:jc w:val="center"/>
              <w:rPr>
                <w:kern w:val="2"/>
              </w:rPr>
            </w:pPr>
            <w:r>
              <w:rPr>
                <w:kern w:val="2"/>
              </w:rPr>
              <w:t>6 160.92</w:t>
            </w:r>
          </w:p>
        </w:tc>
        <w:tc>
          <w:tcPr>
            <w:tcW w:w="1842" w:type="dxa"/>
            <w:tcBorders>
              <w:top w:val="nil"/>
            </w:tcBorders>
          </w:tcPr>
          <w:p w:rsidR="00000000" w:rsidRDefault="00000000">
            <w:pPr>
              <w:ind w:right="665"/>
              <w:jc w:val="right"/>
              <w:rPr>
                <w:kern w:val="2"/>
              </w:rPr>
            </w:pPr>
            <w:r>
              <w:rPr>
                <w:kern w:val="2"/>
              </w:rPr>
              <w:t>(</w:t>
            </w:r>
            <w:r>
              <w:rPr>
                <w:kern w:val="2"/>
              </w:rPr>
              <w:noBreakHyphen/>
              <w:t>)0.5</w:t>
            </w:r>
          </w:p>
        </w:tc>
        <w:tc>
          <w:tcPr>
            <w:tcW w:w="2410" w:type="dxa"/>
            <w:tcBorders>
              <w:top w:val="nil"/>
            </w:tcBorders>
          </w:tcPr>
          <w:p w:rsidR="00000000" w:rsidRDefault="00000000">
            <w:pPr>
              <w:jc w:val="center"/>
              <w:rPr>
                <w:kern w:val="2"/>
              </w:rPr>
            </w:pPr>
            <w:r>
              <w:rPr>
                <w:kern w:val="2"/>
              </w:rPr>
              <w:t>3 396.43</w:t>
            </w:r>
          </w:p>
        </w:tc>
      </w:tr>
    </w:tbl>
    <w:p w:rsidR="00000000" w:rsidRDefault="00000000">
      <w:pPr>
        <w:rPr>
          <w:kern w:val="16"/>
          <w:u w:val="single"/>
        </w:rPr>
      </w:pPr>
    </w:p>
    <w:p w:rsidR="00000000" w:rsidRDefault="00000000">
      <w:pPr>
        <w:ind w:left="1440"/>
        <w:rPr>
          <w:kern w:val="16"/>
        </w:rPr>
      </w:pPr>
      <w:r>
        <w:rPr>
          <w:kern w:val="16"/>
          <w:u w:val="single"/>
        </w:rPr>
        <w:t>Source</w:t>
      </w:r>
      <w:r>
        <w:rPr>
          <w:kern w:val="16"/>
        </w:rPr>
        <w:t xml:space="preserve">:  Central Bank of Brazil </w:t>
      </w:r>
      <w:r>
        <w:rPr>
          <w:kern w:val="16"/>
        </w:rPr>
        <w:noBreakHyphen/>
        <w:t xml:space="preserve"> BACEN.</w:t>
      </w:r>
    </w:p>
    <w:p w:rsidR="00000000" w:rsidRDefault="00000000">
      <w:pPr>
        <w:rPr>
          <w:kern w:val="16"/>
        </w:rPr>
      </w:pPr>
    </w:p>
    <w:p w:rsidR="00000000" w:rsidRDefault="00000000">
      <w:pPr>
        <w:ind w:left="720"/>
        <w:rPr>
          <w:kern w:val="16"/>
        </w:rPr>
      </w:pPr>
      <w:r>
        <w:rPr>
          <w:kern w:val="16"/>
        </w:rPr>
        <w:tab/>
      </w:r>
      <w:r>
        <w:rPr>
          <w:kern w:val="16"/>
          <w:u w:val="single"/>
        </w:rPr>
        <w:t>Note</w:t>
      </w:r>
      <w:r>
        <w:rPr>
          <w:kern w:val="16"/>
        </w:rPr>
        <w:t xml:space="preserve">:  the reduction in dollar </w:t>
      </w:r>
      <w:r>
        <w:rPr>
          <w:iCs/>
          <w:kern w:val="16"/>
        </w:rPr>
        <w:t>per capita</w:t>
      </w:r>
      <w:r>
        <w:rPr>
          <w:kern w:val="16"/>
        </w:rPr>
        <w:t xml:space="preserve"> GDP for the 1998 and 1999 period </w:t>
      </w:r>
    </w:p>
    <w:p w:rsidR="00000000" w:rsidRDefault="00000000">
      <w:pPr>
        <w:ind w:left="720"/>
        <w:rPr>
          <w:kern w:val="16"/>
        </w:rPr>
      </w:pPr>
      <w:r>
        <w:rPr>
          <w:kern w:val="16"/>
        </w:rPr>
        <w:t>was the result of the changes in the foreign exchange rate instituted in January 1999.</w:t>
      </w:r>
    </w:p>
    <w:p w:rsidR="00000000" w:rsidRDefault="00000000">
      <w:pPr>
        <w:rPr>
          <w:kern w:val="16"/>
        </w:rPr>
      </w:pPr>
    </w:p>
    <w:p w:rsidR="00000000" w:rsidRDefault="00000000">
      <w:pPr>
        <w:pStyle w:val="Heading1"/>
      </w:pPr>
      <w:r>
        <w:t>Table 4</w:t>
      </w:r>
    </w:p>
    <w:p w:rsidR="00000000" w:rsidRDefault="00000000">
      <w:pPr>
        <w:pStyle w:val="Heading1"/>
      </w:pPr>
    </w:p>
    <w:p w:rsidR="00000000" w:rsidRDefault="00000000">
      <w:pPr>
        <w:pStyle w:val="Heading1"/>
      </w:pPr>
      <w:r>
        <w:t>Foreign direct investments (net)</w:t>
      </w:r>
    </w:p>
    <w:p w:rsidR="00000000" w:rsidRDefault="00000000">
      <w:pPr>
        <w:rPr>
          <w:kern w:val="2"/>
        </w:rPr>
      </w:pPr>
    </w:p>
    <w:p w:rsidR="00000000" w:rsidRDefault="00000000">
      <w:pPr>
        <w:pStyle w:val="Heading1"/>
        <w:rPr>
          <w:kern w:val="2"/>
        </w:rPr>
      </w:pPr>
      <w:r>
        <w:rPr>
          <w:kern w:val="2"/>
        </w:rPr>
        <w:t>US$ billions</w:t>
      </w:r>
    </w:p>
    <w:p w:rsidR="00000000" w:rsidRDefault="00000000">
      <w:pPr>
        <w:rPr>
          <w:kern w:val="2"/>
        </w:rPr>
      </w:pPr>
    </w:p>
    <w:tbl>
      <w:tblPr>
        <w:tblW w:w="0" w:type="auto"/>
        <w:jc w:val="center"/>
        <w:tblInd w:w="-8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1733"/>
        <w:gridCol w:w="2421"/>
        <w:gridCol w:w="2235"/>
        <w:gridCol w:w="1440"/>
      </w:tblGrid>
      <w:tr w:rsidR="00000000">
        <w:tblPrEx>
          <w:tblCellMar>
            <w:top w:w="0" w:type="dxa"/>
            <w:bottom w:w="0" w:type="dxa"/>
          </w:tblCellMar>
        </w:tblPrEx>
        <w:trPr>
          <w:jc w:val="center"/>
        </w:trPr>
        <w:tc>
          <w:tcPr>
            <w:tcW w:w="1733" w:type="dxa"/>
            <w:tcBorders>
              <w:bottom w:val="single" w:sz="4" w:space="0" w:color="auto"/>
            </w:tcBorders>
          </w:tcPr>
          <w:p w:rsidR="00000000" w:rsidRDefault="00000000">
            <w:pPr>
              <w:jc w:val="center"/>
              <w:rPr>
                <w:kern w:val="2"/>
              </w:rPr>
            </w:pPr>
            <w:r>
              <w:rPr>
                <w:kern w:val="2"/>
              </w:rPr>
              <w:t>Period</w:t>
            </w:r>
          </w:p>
        </w:tc>
        <w:tc>
          <w:tcPr>
            <w:tcW w:w="2421" w:type="dxa"/>
            <w:tcBorders>
              <w:bottom w:val="single" w:sz="4" w:space="0" w:color="auto"/>
            </w:tcBorders>
          </w:tcPr>
          <w:p w:rsidR="00000000" w:rsidRDefault="00000000">
            <w:pPr>
              <w:jc w:val="center"/>
              <w:rPr>
                <w:kern w:val="2"/>
              </w:rPr>
            </w:pPr>
            <w:r>
              <w:rPr>
                <w:kern w:val="2"/>
              </w:rPr>
              <w:t>Direct investments in the private sector</w:t>
            </w:r>
          </w:p>
        </w:tc>
        <w:tc>
          <w:tcPr>
            <w:tcW w:w="2235" w:type="dxa"/>
            <w:tcBorders>
              <w:bottom w:val="single" w:sz="4" w:space="0" w:color="auto"/>
            </w:tcBorders>
          </w:tcPr>
          <w:p w:rsidR="00000000" w:rsidRDefault="00000000">
            <w:pPr>
              <w:jc w:val="center"/>
              <w:rPr>
                <w:kern w:val="2"/>
              </w:rPr>
            </w:pPr>
            <w:r>
              <w:rPr>
                <w:kern w:val="2"/>
              </w:rPr>
              <w:t>Direct investments in the privatization programme</w:t>
            </w:r>
          </w:p>
        </w:tc>
        <w:tc>
          <w:tcPr>
            <w:tcW w:w="1440" w:type="dxa"/>
            <w:tcBorders>
              <w:bottom w:val="single" w:sz="4" w:space="0" w:color="auto"/>
            </w:tcBorders>
          </w:tcPr>
          <w:p w:rsidR="00000000" w:rsidRDefault="00000000">
            <w:pPr>
              <w:jc w:val="center"/>
              <w:rPr>
                <w:kern w:val="2"/>
              </w:rPr>
            </w:pPr>
            <w:r>
              <w:rPr>
                <w:kern w:val="2"/>
              </w:rPr>
              <w:t>Total</w:t>
            </w:r>
          </w:p>
        </w:tc>
      </w:tr>
      <w:tr w:rsidR="00000000">
        <w:tblPrEx>
          <w:tblCellMar>
            <w:top w:w="0" w:type="dxa"/>
            <w:bottom w:w="0" w:type="dxa"/>
          </w:tblCellMar>
        </w:tblPrEx>
        <w:trPr>
          <w:jc w:val="center"/>
        </w:trPr>
        <w:tc>
          <w:tcPr>
            <w:tcW w:w="1733" w:type="dxa"/>
            <w:tcBorders>
              <w:bottom w:val="nil"/>
            </w:tcBorders>
          </w:tcPr>
          <w:p w:rsidR="00000000" w:rsidRDefault="00000000">
            <w:pPr>
              <w:jc w:val="center"/>
              <w:rPr>
                <w:kern w:val="2"/>
              </w:rPr>
            </w:pPr>
            <w:r>
              <w:rPr>
                <w:kern w:val="2"/>
              </w:rPr>
              <w:t>1995</w:t>
            </w:r>
          </w:p>
        </w:tc>
        <w:tc>
          <w:tcPr>
            <w:tcW w:w="2421" w:type="dxa"/>
            <w:tcBorders>
              <w:bottom w:val="nil"/>
            </w:tcBorders>
          </w:tcPr>
          <w:p w:rsidR="00000000" w:rsidRDefault="00000000">
            <w:pPr>
              <w:ind w:right="839"/>
              <w:jc w:val="right"/>
              <w:rPr>
                <w:kern w:val="2"/>
              </w:rPr>
            </w:pPr>
            <w:r>
              <w:rPr>
                <w:kern w:val="2"/>
              </w:rPr>
              <w:t>4.3</w:t>
            </w:r>
          </w:p>
        </w:tc>
        <w:tc>
          <w:tcPr>
            <w:tcW w:w="2235" w:type="dxa"/>
            <w:tcBorders>
              <w:bottom w:val="nil"/>
            </w:tcBorders>
          </w:tcPr>
          <w:p w:rsidR="00000000" w:rsidRDefault="00000000">
            <w:pPr>
              <w:ind w:right="948"/>
              <w:jc w:val="right"/>
              <w:rPr>
                <w:kern w:val="2"/>
              </w:rPr>
            </w:pPr>
            <w:r>
              <w:rPr>
                <w:kern w:val="2"/>
              </w:rPr>
              <w:noBreakHyphen/>
              <w:t> </w:t>
            </w:r>
          </w:p>
        </w:tc>
        <w:tc>
          <w:tcPr>
            <w:tcW w:w="1440" w:type="dxa"/>
            <w:tcBorders>
              <w:bottom w:val="nil"/>
            </w:tcBorders>
          </w:tcPr>
          <w:p w:rsidR="00000000" w:rsidRDefault="00000000">
            <w:pPr>
              <w:ind w:right="445"/>
              <w:jc w:val="right"/>
              <w:rPr>
                <w:kern w:val="2"/>
              </w:rPr>
            </w:pPr>
            <w:r>
              <w:rPr>
                <w:kern w:val="2"/>
              </w:rPr>
              <w:t>4.3</w:t>
            </w:r>
          </w:p>
        </w:tc>
      </w:tr>
      <w:tr w:rsidR="00000000">
        <w:tblPrEx>
          <w:tblCellMar>
            <w:top w:w="0" w:type="dxa"/>
            <w:bottom w:w="0" w:type="dxa"/>
          </w:tblCellMar>
        </w:tblPrEx>
        <w:trPr>
          <w:jc w:val="center"/>
        </w:trPr>
        <w:tc>
          <w:tcPr>
            <w:tcW w:w="1733" w:type="dxa"/>
            <w:tcBorders>
              <w:top w:val="nil"/>
              <w:bottom w:val="nil"/>
            </w:tcBorders>
          </w:tcPr>
          <w:p w:rsidR="00000000" w:rsidRDefault="00000000">
            <w:pPr>
              <w:jc w:val="center"/>
              <w:rPr>
                <w:kern w:val="2"/>
              </w:rPr>
            </w:pPr>
            <w:r>
              <w:rPr>
                <w:kern w:val="2"/>
              </w:rPr>
              <w:t>1996</w:t>
            </w:r>
          </w:p>
        </w:tc>
        <w:tc>
          <w:tcPr>
            <w:tcW w:w="2421" w:type="dxa"/>
            <w:tcBorders>
              <w:top w:val="nil"/>
              <w:bottom w:val="nil"/>
            </w:tcBorders>
          </w:tcPr>
          <w:p w:rsidR="00000000" w:rsidRDefault="00000000">
            <w:pPr>
              <w:ind w:right="839"/>
              <w:jc w:val="right"/>
              <w:rPr>
                <w:kern w:val="2"/>
              </w:rPr>
            </w:pPr>
            <w:r>
              <w:rPr>
                <w:kern w:val="2"/>
              </w:rPr>
              <w:t>7.3</w:t>
            </w:r>
          </w:p>
        </w:tc>
        <w:tc>
          <w:tcPr>
            <w:tcW w:w="2235" w:type="dxa"/>
            <w:tcBorders>
              <w:top w:val="nil"/>
              <w:bottom w:val="nil"/>
            </w:tcBorders>
          </w:tcPr>
          <w:p w:rsidR="00000000" w:rsidRDefault="00000000">
            <w:pPr>
              <w:ind w:right="948"/>
              <w:jc w:val="right"/>
              <w:rPr>
                <w:kern w:val="2"/>
              </w:rPr>
            </w:pPr>
            <w:r>
              <w:rPr>
                <w:kern w:val="2"/>
              </w:rPr>
              <w:t>2.6</w:t>
            </w:r>
          </w:p>
        </w:tc>
        <w:tc>
          <w:tcPr>
            <w:tcW w:w="1440" w:type="dxa"/>
            <w:tcBorders>
              <w:top w:val="nil"/>
              <w:bottom w:val="nil"/>
            </w:tcBorders>
          </w:tcPr>
          <w:p w:rsidR="00000000" w:rsidRDefault="00000000">
            <w:pPr>
              <w:ind w:right="445"/>
              <w:jc w:val="right"/>
              <w:rPr>
                <w:kern w:val="2"/>
              </w:rPr>
            </w:pPr>
            <w:r>
              <w:rPr>
                <w:kern w:val="2"/>
              </w:rPr>
              <w:t>9.9</w:t>
            </w:r>
          </w:p>
        </w:tc>
      </w:tr>
      <w:tr w:rsidR="00000000">
        <w:tblPrEx>
          <w:tblCellMar>
            <w:top w:w="0" w:type="dxa"/>
            <w:bottom w:w="0" w:type="dxa"/>
          </w:tblCellMar>
        </w:tblPrEx>
        <w:trPr>
          <w:jc w:val="center"/>
        </w:trPr>
        <w:tc>
          <w:tcPr>
            <w:tcW w:w="1733" w:type="dxa"/>
            <w:tcBorders>
              <w:top w:val="nil"/>
              <w:bottom w:val="nil"/>
            </w:tcBorders>
          </w:tcPr>
          <w:p w:rsidR="00000000" w:rsidRDefault="00000000">
            <w:pPr>
              <w:jc w:val="center"/>
              <w:rPr>
                <w:kern w:val="2"/>
              </w:rPr>
            </w:pPr>
            <w:r>
              <w:rPr>
                <w:kern w:val="2"/>
              </w:rPr>
              <w:t>1997</w:t>
            </w:r>
          </w:p>
        </w:tc>
        <w:tc>
          <w:tcPr>
            <w:tcW w:w="2421" w:type="dxa"/>
            <w:tcBorders>
              <w:top w:val="nil"/>
              <w:bottom w:val="nil"/>
            </w:tcBorders>
          </w:tcPr>
          <w:p w:rsidR="00000000" w:rsidRDefault="00000000">
            <w:pPr>
              <w:ind w:right="839"/>
              <w:jc w:val="right"/>
              <w:rPr>
                <w:kern w:val="2"/>
              </w:rPr>
            </w:pPr>
            <w:r>
              <w:rPr>
                <w:kern w:val="2"/>
              </w:rPr>
              <w:t>11.8</w:t>
            </w:r>
          </w:p>
        </w:tc>
        <w:tc>
          <w:tcPr>
            <w:tcW w:w="2235" w:type="dxa"/>
            <w:tcBorders>
              <w:top w:val="nil"/>
              <w:bottom w:val="nil"/>
            </w:tcBorders>
          </w:tcPr>
          <w:p w:rsidR="00000000" w:rsidRDefault="00000000">
            <w:pPr>
              <w:ind w:right="948"/>
              <w:jc w:val="right"/>
              <w:rPr>
                <w:kern w:val="2"/>
              </w:rPr>
            </w:pPr>
            <w:r>
              <w:rPr>
                <w:kern w:val="2"/>
              </w:rPr>
              <w:t>5.2</w:t>
            </w:r>
          </w:p>
        </w:tc>
        <w:tc>
          <w:tcPr>
            <w:tcW w:w="1440" w:type="dxa"/>
            <w:tcBorders>
              <w:top w:val="nil"/>
              <w:bottom w:val="nil"/>
            </w:tcBorders>
          </w:tcPr>
          <w:p w:rsidR="00000000" w:rsidRDefault="00000000">
            <w:pPr>
              <w:ind w:right="445"/>
              <w:jc w:val="right"/>
              <w:rPr>
                <w:kern w:val="2"/>
              </w:rPr>
            </w:pPr>
            <w:r>
              <w:rPr>
                <w:kern w:val="2"/>
              </w:rPr>
              <w:t>17.0</w:t>
            </w:r>
          </w:p>
        </w:tc>
      </w:tr>
      <w:tr w:rsidR="00000000">
        <w:tblPrEx>
          <w:tblCellMar>
            <w:top w:w="0" w:type="dxa"/>
            <w:bottom w:w="0" w:type="dxa"/>
          </w:tblCellMar>
        </w:tblPrEx>
        <w:trPr>
          <w:jc w:val="center"/>
        </w:trPr>
        <w:tc>
          <w:tcPr>
            <w:tcW w:w="1733" w:type="dxa"/>
            <w:tcBorders>
              <w:top w:val="nil"/>
              <w:bottom w:val="nil"/>
            </w:tcBorders>
          </w:tcPr>
          <w:p w:rsidR="00000000" w:rsidRDefault="00000000">
            <w:pPr>
              <w:jc w:val="center"/>
              <w:rPr>
                <w:kern w:val="2"/>
              </w:rPr>
            </w:pPr>
            <w:r>
              <w:rPr>
                <w:kern w:val="2"/>
              </w:rPr>
              <w:t>1998</w:t>
            </w:r>
          </w:p>
        </w:tc>
        <w:tc>
          <w:tcPr>
            <w:tcW w:w="2421" w:type="dxa"/>
            <w:tcBorders>
              <w:top w:val="nil"/>
              <w:bottom w:val="nil"/>
            </w:tcBorders>
          </w:tcPr>
          <w:p w:rsidR="00000000" w:rsidRDefault="00000000">
            <w:pPr>
              <w:ind w:right="839"/>
              <w:jc w:val="right"/>
              <w:rPr>
                <w:kern w:val="2"/>
              </w:rPr>
            </w:pPr>
            <w:r>
              <w:rPr>
                <w:kern w:val="2"/>
              </w:rPr>
              <w:t>20.0</w:t>
            </w:r>
          </w:p>
        </w:tc>
        <w:tc>
          <w:tcPr>
            <w:tcW w:w="2235" w:type="dxa"/>
            <w:tcBorders>
              <w:top w:val="nil"/>
              <w:bottom w:val="nil"/>
            </w:tcBorders>
          </w:tcPr>
          <w:p w:rsidR="00000000" w:rsidRDefault="00000000">
            <w:pPr>
              <w:ind w:right="948"/>
              <w:jc w:val="right"/>
              <w:rPr>
                <w:kern w:val="2"/>
              </w:rPr>
            </w:pPr>
            <w:r>
              <w:rPr>
                <w:kern w:val="2"/>
              </w:rPr>
              <w:t>6.1</w:t>
            </w:r>
          </w:p>
        </w:tc>
        <w:tc>
          <w:tcPr>
            <w:tcW w:w="1440" w:type="dxa"/>
            <w:tcBorders>
              <w:top w:val="nil"/>
              <w:bottom w:val="nil"/>
            </w:tcBorders>
          </w:tcPr>
          <w:p w:rsidR="00000000" w:rsidRDefault="00000000">
            <w:pPr>
              <w:ind w:right="445"/>
              <w:jc w:val="right"/>
              <w:rPr>
                <w:kern w:val="2"/>
              </w:rPr>
            </w:pPr>
            <w:r>
              <w:rPr>
                <w:kern w:val="2"/>
              </w:rPr>
              <w:t>26.1</w:t>
            </w:r>
          </w:p>
        </w:tc>
      </w:tr>
      <w:tr w:rsidR="00000000">
        <w:tblPrEx>
          <w:tblCellMar>
            <w:top w:w="0" w:type="dxa"/>
            <w:bottom w:w="0" w:type="dxa"/>
          </w:tblCellMar>
        </w:tblPrEx>
        <w:trPr>
          <w:jc w:val="center"/>
        </w:trPr>
        <w:tc>
          <w:tcPr>
            <w:tcW w:w="1733" w:type="dxa"/>
            <w:tcBorders>
              <w:top w:val="nil"/>
            </w:tcBorders>
          </w:tcPr>
          <w:p w:rsidR="00000000" w:rsidRDefault="00000000">
            <w:pPr>
              <w:jc w:val="center"/>
              <w:rPr>
                <w:kern w:val="2"/>
              </w:rPr>
            </w:pPr>
            <w:r>
              <w:rPr>
                <w:kern w:val="2"/>
              </w:rPr>
              <w:t>1999</w:t>
            </w:r>
          </w:p>
        </w:tc>
        <w:tc>
          <w:tcPr>
            <w:tcW w:w="2421" w:type="dxa"/>
            <w:tcBorders>
              <w:top w:val="nil"/>
            </w:tcBorders>
          </w:tcPr>
          <w:p w:rsidR="00000000" w:rsidRDefault="00000000">
            <w:pPr>
              <w:ind w:right="839"/>
              <w:jc w:val="right"/>
              <w:rPr>
                <w:kern w:val="2"/>
              </w:rPr>
            </w:pPr>
            <w:r>
              <w:rPr>
                <w:kern w:val="2"/>
              </w:rPr>
              <w:t>21.2</w:t>
            </w:r>
          </w:p>
        </w:tc>
        <w:tc>
          <w:tcPr>
            <w:tcW w:w="2235" w:type="dxa"/>
            <w:tcBorders>
              <w:top w:val="nil"/>
            </w:tcBorders>
          </w:tcPr>
          <w:p w:rsidR="00000000" w:rsidRDefault="00000000">
            <w:pPr>
              <w:ind w:right="948"/>
              <w:jc w:val="right"/>
              <w:rPr>
                <w:kern w:val="2"/>
              </w:rPr>
            </w:pPr>
            <w:r>
              <w:rPr>
                <w:kern w:val="2"/>
              </w:rPr>
              <w:t>8.8</w:t>
            </w:r>
          </w:p>
        </w:tc>
        <w:tc>
          <w:tcPr>
            <w:tcW w:w="1440" w:type="dxa"/>
            <w:tcBorders>
              <w:top w:val="nil"/>
            </w:tcBorders>
          </w:tcPr>
          <w:p w:rsidR="00000000" w:rsidRDefault="00000000">
            <w:pPr>
              <w:ind w:right="445"/>
              <w:jc w:val="right"/>
              <w:rPr>
                <w:kern w:val="2"/>
              </w:rPr>
            </w:pPr>
            <w:r>
              <w:rPr>
                <w:kern w:val="2"/>
              </w:rPr>
              <w:t>30.0</w:t>
            </w:r>
          </w:p>
        </w:tc>
      </w:tr>
    </w:tbl>
    <w:p w:rsidR="00000000" w:rsidRDefault="00000000">
      <w:pPr>
        <w:rPr>
          <w:kern w:val="2"/>
        </w:rPr>
      </w:pPr>
    </w:p>
    <w:p w:rsidR="00000000" w:rsidRDefault="00000000">
      <w:pPr>
        <w:ind w:left="1440"/>
        <w:rPr>
          <w:kern w:val="2"/>
        </w:rPr>
      </w:pPr>
      <w:r>
        <w:rPr>
          <w:kern w:val="2"/>
          <w:u w:val="single"/>
        </w:rPr>
        <w:t>Source</w:t>
      </w:r>
      <w:r>
        <w:rPr>
          <w:kern w:val="2"/>
        </w:rPr>
        <w:t xml:space="preserve">:  Central Bank of Brazil </w:t>
      </w:r>
      <w:r>
        <w:rPr>
          <w:kern w:val="2"/>
        </w:rPr>
        <w:noBreakHyphen/>
        <w:t xml:space="preserve"> BACEN.</w:t>
      </w:r>
    </w:p>
    <w:p w:rsidR="00000000" w:rsidRDefault="00000000">
      <w:pPr>
        <w:rPr>
          <w:kern w:val="2"/>
        </w:rPr>
      </w:pPr>
    </w:p>
    <w:p w:rsidR="00000000" w:rsidRDefault="00000000">
      <w:pPr>
        <w:ind w:left="720"/>
        <w:rPr>
          <w:kern w:val="2"/>
        </w:rPr>
      </w:pPr>
      <w:r>
        <w:rPr>
          <w:kern w:val="2"/>
        </w:rPr>
        <w:tab/>
      </w:r>
      <w:r>
        <w:rPr>
          <w:kern w:val="2"/>
          <w:u w:val="single"/>
        </w:rPr>
        <w:t>Note</w:t>
      </w:r>
      <w:r>
        <w:rPr>
          <w:kern w:val="2"/>
        </w:rPr>
        <w:t>:  This table also includes operations in local currency, commodities conversions and reinvestments.</w:t>
      </w:r>
    </w:p>
    <w:p w:rsidR="00000000" w:rsidRDefault="00000000">
      <w:pPr>
        <w:rPr>
          <w:kern w:val="2"/>
        </w:rPr>
      </w:pPr>
    </w:p>
    <w:p w:rsidR="00000000" w:rsidRDefault="00000000">
      <w:pPr>
        <w:pStyle w:val="Heading1"/>
      </w:pPr>
      <w:r>
        <w:br w:type="page"/>
        <w:t>Table 5</w:t>
      </w:r>
    </w:p>
    <w:p w:rsidR="00000000" w:rsidRDefault="00000000">
      <w:pPr>
        <w:pStyle w:val="Heading1"/>
      </w:pPr>
    </w:p>
    <w:p w:rsidR="00000000" w:rsidRDefault="00000000">
      <w:pPr>
        <w:pStyle w:val="Heading1"/>
      </w:pPr>
      <w:r>
        <w:t>National privatization programme:  1991</w:t>
      </w:r>
      <w:r>
        <w:noBreakHyphen/>
        <w:t>1999</w:t>
      </w:r>
    </w:p>
    <w:p w:rsidR="00000000" w:rsidRDefault="00000000">
      <w:pPr>
        <w:pStyle w:val="Heading1"/>
      </w:pPr>
    </w:p>
    <w:p w:rsidR="00000000" w:rsidRDefault="00000000">
      <w:pPr>
        <w:pStyle w:val="Heading1"/>
      </w:pPr>
      <w:r>
        <w:t>(US$ millions)</w:t>
      </w:r>
    </w:p>
    <w:p w:rsidR="00000000" w:rsidRDefault="00000000"/>
    <w:tbl>
      <w:tblPr>
        <w:tblW w:w="0" w:type="auto"/>
        <w:jc w:val="center"/>
        <w:tblInd w:w="-1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2581"/>
        <w:gridCol w:w="1314"/>
        <w:gridCol w:w="1275"/>
        <w:gridCol w:w="1418"/>
        <w:gridCol w:w="1200"/>
      </w:tblGrid>
      <w:tr w:rsidR="00000000">
        <w:tblPrEx>
          <w:tblCellMar>
            <w:top w:w="0" w:type="dxa"/>
            <w:bottom w:w="0" w:type="dxa"/>
          </w:tblCellMar>
        </w:tblPrEx>
        <w:trPr>
          <w:jc w:val="center"/>
        </w:trPr>
        <w:tc>
          <w:tcPr>
            <w:tcW w:w="2581" w:type="dxa"/>
            <w:tcBorders>
              <w:bottom w:val="single" w:sz="4" w:space="0" w:color="auto"/>
            </w:tcBorders>
          </w:tcPr>
          <w:p w:rsidR="00000000" w:rsidRDefault="00000000">
            <w:pPr>
              <w:jc w:val="center"/>
              <w:rPr>
                <w:kern w:val="2"/>
              </w:rPr>
            </w:pPr>
            <w:r>
              <w:rPr>
                <w:kern w:val="2"/>
              </w:rPr>
              <w:t>Sector</w:t>
            </w:r>
          </w:p>
        </w:tc>
        <w:tc>
          <w:tcPr>
            <w:tcW w:w="1314" w:type="dxa"/>
            <w:tcBorders>
              <w:bottom w:val="single" w:sz="4" w:space="0" w:color="auto"/>
            </w:tcBorders>
          </w:tcPr>
          <w:p w:rsidR="00000000" w:rsidRDefault="00000000">
            <w:pPr>
              <w:jc w:val="center"/>
              <w:rPr>
                <w:kern w:val="2"/>
              </w:rPr>
            </w:pPr>
            <w:r>
              <w:rPr>
                <w:kern w:val="2"/>
              </w:rPr>
              <w:t>Companies</w:t>
            </w:r>
          </w:p>
        </w:tc>
        <w:tc>
          <w:tcPr>
            <w:tcW w:w="1275" w:type="dxa"/>
            <w:tcBorders>
              <w:bottom w:val="single" w:sz="4" w:space="0" w:color="auto"/>
            </w:tcBorders>
          </w:tcPr>
          <w:p w:rsidR="00000000" w:rsidRDefault="00000000">
            <w:pPr>
              <w:jc w:val="center"/>
              <w:rPr>
                <w:kern w:val="2"/>
              </w:rPr>
            </w:pPr>
            <w:r>
              <w:rPr>
                <w:kern w:val="2"/>
              </w:rPr>
              <w:t>Sale</w:t>
            </w:r>
          </w:p>
        </w:tc>
        <w:tc>
          <w:tcPr>
            <w:tcW w:w="1418" w:type="dxa"/>
            <w:tcBorders>
              <w:bottom w:val="single" w:sz="4" w:space="0" w:color="auto"/>
            </w:tcBorders>
          </w:tcPr>
          <w:p w:rsidR="00000000" w:rsidRDefault="00000000">
            <w:pPr>
              <w:jc w:val="center"/>
              <w:rPr>
                <w:kern w:val="2"/>
              </w:rPr>
            </w:pPr>
            <w:r>
              <w:rPr>
                <w:kern w:val="2"/>
              </w:rPr>
              <w:t>Debts transferred</w:t>
            </w:r>
          </w:p>
        </w:tc>
        <w:tc>
          <w:tcPr>
            <w:tcW w:w="1200" w:type="dxa"/>
            <w:tcBorders>
              <w:bottom w:val="single" w:sz="4" w:space="0" w:color="auto"/>
            </w:tcBorders>
          </w:tcPr>
          <w:p w:rsidR="00000000" w:rsidRDefault="00000000">
            <w:pPr>
              <w:jc w:val="center"/>
              <w:rPr>
                <w:kern w:val="2"/>
              </w:rPr>
            </w:pPr>
            <w:r>
              <w:rPr>
                <w:kern w:val="2"/>
              </w:rPr>
              <w:t>Total</w:t>
            </w:r>
          </w:p>
        </w:tc>
      </w:tr>
      <w:tr w:rsidR="00000000">
        <w:tblPrEx>
          <w:tblCellMar>
            <w:top w:w="0" w:type="dxa"/>
            <w:bottom w:w="0" w:type="dxa"/>
          </w:tblCellMar>
        </w:tblPrEx>
        <w:trPr>
          <w:jc w:val="center"/>
        </w:trPr>
        <w:tc>
          <w:tcPr>
            <w:tcW w:w="2581" w:type="dxa"/>
            <w:tcBorders>
              <w:bottom w:val="nil"/>
            </w:tcBorders>
          </w:tcPr>
          <w:p w:rsidR="00000000" w:rsidRDefault="00000000">
            <w:pPr>
              <w:rPr>
                <w:kern w:val="2"/>
              </w:rPr>
            </w:pPr>
            <w:r>
              <w:rPr>
                <w:kern w:val="2"/>
              </w:rPr>
              <w:t>Steel</w:t>
            </w:r>
          </w:p>
        </w:tc>
        <w:tc>
          <w:tcPr>
            <w:tcW w:w="1314" w:type="dxa"/>
            <w:tcBorders>
              <w:bottom w:val="nil"/>
            </w:tcBorders>
          </w:tcPr>
          <w:p w:rsidR="00000000" w:rsidRDefault="00000000">
            <w:pPr>
              <w:ind w:right="418"/>
              <w:jc w:val="right"/>
              <w:rPr>
                <w:kern w:val="2"/>
              </w:rPr>
            </w:pPr>
            <w:r>
              <w:rPr>
                <w:kern w:val="2"/>
              </w:rPr>
              <w:t>8</w:t>
            </w:r>
          </w:p>
        </w:tc>
        <w:tc>
          <w:tcPr>
            <w:tcW w:w="1275" w:type="dxa"/>
            <w:tcBorders>
              <w:bottom w:val="nil"/>
            </w:tcBorders>
          </w:tcPr>
          <w:p w:rsidR="00000000" w:rsidRDefault="00000000">
            <w:pPr>
              <w:ind w:right="276"/>
              <w:jc w:val="right"/>
              <w:rPr>
                <w:kern w:val="2"/>
              </w:rPr>
            </w:pPr>
            <w:r>
              <w:rPr>
                <w:kern w:val="2"/>
              </w:rPr>
              <w:t>5 562</w:t>
            </w:r>
          </w:p>
        </w:tc>
        <w:tc>
          <w:tcPr>
            <w:tcW w:w="1418" w:type="dxa"/>
            <w:tcBorders>
              <w:bottom w:val="nil"/>
            </w:tcBorders>
          </w:tcPr>
          <w:p w:rsidR="00000000" w:rsidRDefault="00000000">
            <w:pPr>
              <w:ind w:right="276"/>
              <w:jc w:val="right"/>
              <w:rPr>
                <w:kern w:val="2"/>
              </w:rPr>
            </w:pPr>
            <w:r>
              <w:rPr>
                <w:kern w:val="2"/>
              </w:rPr>
              <w:t>2 626</w:t>
            </w:r>
          </w:p>
        </w:tc>
        <w:tc>
          <w:tcPr>
            <w:tcW w:w="1200" w:type="dxa"/>
            <w:tcBorders>
              <w:bottom w:val="nil"/>
            </w:tcBorders>
          </w:tcPr>
          <w:p w:rsidR="00000000" w:rsidRDefault="00000000">
            <w:pPr>
              <w:ind w:right="158"/>
              <w:jc w:val="right"/>
              <w:rPr>
                <w:kern w:val="2"/>
              </w:rPr>
            </w:pPr>
            <w:r>
              <w:rPr>
                <w:kern w:val="2"/>
              </w:rPr>
              <w:t>8 188</w:t>
            </w:r>
          </w:p>
        </w:tc>
      </w:tr>
      <w:tr w:rsidR="00000000">
        <w:tblPrEx>
          <w:tblCellMar>
            <w:top w:w="0" w:type="dxa"/>
            <w:bottom w:w="0" w:type="dxa"/>
          </w:tblCellMar>
        </w:tblPrEx>
        <w:trPr>
          <w:jc w:val="center"/>
        </w:trPr>
        <w:tc>
          <w:tcPr>
            <w:tcW w:w="2581" w:type="dxa"/>
            <w:tcBorders>
              <w:top w:val="nil"/>
              <w:bottom w:val="nil"/>
            </w:tcBorders>
          </w:tcPr>
          <w:p w:rsidR="00000000" w:rsidRDefault="00000000">
            <w:pPr>
              <w:rPr>
                <w:kern w:val="2"/>
              </w:rPr>
            </w:pPr>
            <w:r>
              <w:rPr>
                <w:kern w:val="2"/>
              </w:rPr>
              <w:t>Petrochemicals</w:t>
            </w:r>
          </w:p>
        </w:tc>
        <w:tc>
          <w:tcPr>
            <w:tcW w:w="1314" w:type="dxa"/>
            <w:tcBorders>
              <w:top w:val="nil"/>
              <w:bottom w:val="nil"/>
            </w:tcBorders>
          </w:tcPr>
          <w:p w:rsidR="00000000" w:rsidRDefault="00000000">
            <w:pPr>
              <w:ind w:right="418"/>
              <w:jc w:val="right"/>
              <w:rPr>
                <w:kern w:val="2"/>
              </w:rPr>
            </w:pPr>
            <w:r>
              <w:rPr>
                <w:kern w:val="2"/>
              </w:rPr>
              <w:t>27</w:t>
            </w:r>
          </w:p>
        </w:tc>
        <w:tc>
          <w:tcPr>
            <w:tcW w:w="1275" w:type="dxa"/>
            <w:tcBorders>
              <w:top w:val="nil"/>
              <w:bottom w:val="nil"/>
            </w:tcBorders>
          </w:tcPr>
          <w:p w:rsidR="00000000" w:rsidRDefault="00000000">
            <w:pPr>
              <w:ind w:right="276"/>
              <w:jc w:val="right"/>
              <w:rPr>
                <w:kern w:val="2"/>
              </w:rPr>
            </w:pPr>
            <w:r>
              <w:rPr>
                <w:kern w:val="2"/>
              </w:rPr>
              <w:t>2 698</w:t>
            </w:r>
          </w:p>
        </w:tc>
        <w:tc>
          <w:tcPr>
            <w:tcW w:w="1418" w:type="dxa"/>
            <w:tcBorders>
              <w:top w:val="nil"/>
              <w:bottom w:val="nil"/>
            </w:tcBorders>
          </w:tcPr>
          <w:p w:rsidR="00000000" w:rsidRDefault="00000000">
            <w:pPr>
              <w:ind w:right="276"/>
              <w:jc w:val="right"/>
              <w:rPr>
                <w:kern w:val="2"/>
              </w:rPr>
            </w:pPr>
            <w:r>
              <w:rPr>
                <w:kern w:val="2"/>
              </w:rPr>
              <w:t>1 003</w:t>
            </w:r>
          </w:p>
        </w:tc>
        <w:tc>
          <w:tcPr>
            <w:tcW w:w="1200" w:type="dxa"/>
            <w:tcBorders>
              <w:top w:val="nil"/>
              <w:bottom w:val="nil"/>
            </w:tcBorders>
          </w:tcPr>
          <w:p w:rsidR="00000000" w:rsidRDefault="00000000">
            <w:pPr>
              <w:ind w:right="158"/>
              <w:jc w:val="right"/>
              <w:rPr>
                <w:kern w:val="2"/>
              </w:rPr>
            </w:pPr>
            <w:r>
              <w:rPr>
                <w:kern w:val="2"/>
              </w:rPr>
              <w:t>3 701</w:t>
            </w:r>
          </w:p>
        </w:tc>
      </w:tr>
      <w:tr w:rsidR="00000000">
        <w:tblPrEx>
          <w:tblCellMar>
            <w:top w:w="0" w:type="dxa"/>
            <w:bottom w:w="0" w:type="dxa"/>
          </w:tblCellMar>
        </w:tblPrEx>
        <w:trPr>
          <w:jc w:val="center"/>
        </w:trPr>
        <w:tc>
          <w:tcPr>
            <w:tcW w:w="2581" w:type="dxa"/>
            <w:tcBorders>
              <w:top w:val="nil"/>
              <w:bottom w:val="nil"/>
            </w:tcBorders>
          </w:tcPr>
          <w:p w:rsidR="00000000" w:rsidRDefault="00000000">
            <w:pPr>
              <w:rPr>
                <w:kern w:val="2"/>
              </w:rPr>
            </w:pPr>
            <w:r>
              <w:rPr>
                <w:kern w:val="2"/>
              </w:rPr>
              <w:t>Railways</w:t>
            </w:r>
          </w:p>
        </w:tc>
        <w:tc>
          <w:tcPr>
            <w:tcW w:w="1314" w:type="dxa"/>
            <w:tcBorders>
              <w:top w:val="nil"/>
              <w:bottom w:val="nil"/>
            </w:tcBorders>
          </w:tcPr>
          <w:p w:rsidR="00000000" w:rsidRDefault="00000000">
            <w:pPr>
              <w:ind w:right="418"/>
              <w:jc w:val="right"/>
              <w:rPr>
                <w:kern w:val="2"/>
              </w:rPr>
            </w:pPr>
            <w:r>
              <w:rPr>
                <w:kern w:val="2"/>
              </w:rPr>
              <w:t>7</w:t>
            </w:r>
          </w:p>
        </w:tc>
        <w:tc>
          <w:tcPr>
            <w:tcW w:w="1275" w:type="dxa"/>
            <w:tcBorders>
              <w:top w:val="nil"/>
              <w:bottom w:val="nil"/>
            </w:tcBorders>
          </w:tcPr>
          <w:p w:rsidR="00000000" w:rsidRDefault="00000000">
            <w:pPr>
              <w:ind w:right="276"/>
              <w:jc w:val="right"/>
              <w:rPr>
                <w:kern w:val="2"/>
              </w:rPr>
            </w:pPr>
            <w:r>
              <w:rPr>
                <w:kern w:val="2"/>
              </w:rPr>
              <w:t>1 698</w:t>
            </w:r>
          </w:p>
        </w:tc>
        <w:tc>
          <w:tcPr>
            <w:tcW w:w="1418" w:type="dxa"/>
            <w:tcBorders>
              <w:top w:val="nil"/>
              <w:bottom w:val="nil"/>
            </w:tcBorders>
          </w:tcPr>
          <w:p w:rsidR="00000000" w:rsidRDefault="00000000">
            <w:pPr>
              <w:ind w:right="276"/>
              <w:jc w:val="right"/>
              <w:rPr>
                <w:kern w:val="2"/>
              </w:rPr>
            </w:pPr>
            <w:r>
              <w:rPr>
                <w:kern w:val="2"/>
              </w:rPr>
              <w:t>0</w:t>
            </w:r>
          </w:p>
        </w:tc>
        <w:tc>
          <w:tcPr>
            <w:tcW w:w="1200" w:type="dxa"/>
            <w:tcBorders>
              <w:top w:val="nil"/>
              <w:bottom w:val="nil"/>
            </w:tcBorders>
          </w:tcPr>
          <w:p w:rsidR="00000000" w:rsidRDefault="00000000">
            <w:pPr>
              <w:ind w:right="158"/>
              <w:jc w:val="right"/>
              <w:rPr>
                <w:kern w:val="2"/>
              </w:rPr>
            </w:pPr>
            <w:r>
              <w:rPr>
                <w:kern w:val="2"/>
              </w:rPr>
              <w:t>1 698</w:t>
            </w:r>
          </w:p>
        </w:tc>
      </w:tr>
      <w:tr w:rsidR="00000000">
        <w:tblPrEx>
          <w:tblCellMar>
            <w:top w:w="0" w:type="dxa"/>
            <w:bottom w:w="0" w:type="dxa"/>
          </w:tblCellMar>
        </w:tblPrEx>
        <w:trPr>
          <w:jc w:val="center"/>
        </w:trPr>
        <w:tc>
          <w:tcPr>
            <w:tcW w:w="2581" w:type="dxa"/>
            <w:tcBorders>
              <w:top w:val="nil"/>
              <w:bottom w:val="nil"/>
            </w:tcBorders>
          </w:tcPr>
          <w:p w:rsidR="00000000" w:rsidRDefault="00000000">
            <w:pPr>
              <w:rPr>
                <w:kern w:val="2"/>
              </w:rPr>
            </w:pPr>
            <w:r>
              <w:rPr>
                <w:kern w:val="2"/>
              </w:rPr>
              <w:t>Mining</w:t>
            </w:r>
          </w:p>
        </w:tc>
        <w:tc>
          <w:tcPr>
            <w:tcW w:w="1314" w:type="dxa"/>
            <w:tcBorders>
              <w:top w:val="nil"/>
              <w:bottom w:val="nil"/>
            </w:tcBorders>
          </w:tcPr>
          <w:p w:rsidR="00000000" w:rsidRDefault="00000000">
            <w:pPr>
              <w:ind w:right="418"/>
              <w:jc w:val="right"/>
              <w:rPr>
                <w:kern w:val="2"/>
              </w:rPr>
            </w:pPr>
            <w:r>
              <w:rPr>
                <w:kern w:val="2"/>
              </w:rPr>
              <w:t>2</w:t>
            </w:r>
          </w:p>
        </w:tc>
        <w:tc>
          <w:tcPr>
            <w:tcW w:w="1275" w:type="dxa"/>
            <w:tcBorders>
              <w:top w:val="nil"/>
              <w:bottom w:val="nil"/>
            </w:tcBorders>
          </w:tcPr>
          <w:p w:rsidR="00000000" w:rsidRDefault="00000000">
            <w:pPr>
              <w:ind w:right="276"/>
              <w:jc w:val="right"/>
              <w:rPr>
                <w:kern w:val="2"/>
              </w:rPr>
            </w:pPr>
            <w:r>
              <w:rPr>
                <w:kern w:val="2"/>
              </w:rPr>
              <w:t>3 305</w:t>
            </w:r>
          </w:p>
        </w:tc>
        <w:tc>
          <w:tcPr>
            <w:tcW w:w="1418" w:type="dxa"/>
            <w:tcBorders>
              <w:top w:val="nil"/>
              <w:bottom w:val="nil"/>
            </w:tcBorders>
          </w:tcPr>
          <w:p w:rsidR="00000000" w:rsidRDefault="00000000">
            <w:pPr>
              <w:ind w:right="276"/>
              <w:jc w:val="right"/>
              <w:rPr>
                <w:kern w:val="2"/>
              </w:rPr>
            </w:pPr>
            <w:r>
              <w:rPr>
                <w:kern w:val="2"/>
              </w:rPr>
              <w:t>3 559</w:t>
            </w:r>
          </w:p>
        </w:tc>
        <w:tc>
          <w:tcPr>
            <w:tcW w:w="1200" w:type="dxa"/>
            <w:tcBorders>
              <w:top w:val="nil"/>
              <w:bottom w:val="nil"/>
            </w:tcBorders>
          </w:tcPr>
          <w:p w:rsidR="00000000" w:rsidRDefault="00000000">
            <w:pPr>
              <w:ind w:right="158"/>
              <w:jc w:val="right"/>
              <w:rPr>
                <w:kern w:val="2"/>
              </w:rPr>
            </w:pPr>
            <w:r>
              <w:rPr>
                <w:kern w:val="2"/>
              </w:rPr>
              <w:t>6 864</w:t>
            </w:r>
          </w:p>
        </w:tc>
      </w:tr>
      <w:tr w:rsidR="00000000">
        <w:tblPrEx>
          <w:tblCellMar>
            <w:top w:w="0" w:type="dxa"/>
            <w:bottom w:w="0" w:type="dxa"/>
          </w:tblCellMar>
        </w:tblPrEx>
        <w:trPr>
          <w:jc w:val="center"/>
        </w:trPr>
        <w:tc>
          <w:tcPr>
            <w:tcW w:w="2581" w:type="dxa"/>
            <w:tcBorders>
              <w:top w:val="nil"/>
              <w:bottom w:val="nil"/>
            </w:tcBorders>
          </w:tcPr>
          <w:p w:rsidR="00000000" w:rsidRDefault="00000000">
            <w:pPr>
              <w:rPr>
                <w:kern w:val="2"/>
              </w:rPr>
            </w:pPr>
            <w:r>
              <w:rPr>
                <w:kern w:val="2"/>
              </w:rPr>
              <w:t>Telecommunications</w:t>
            </w:r>
          </w:p>
        </w:tc>
        <w:tc>
          <w:tcPr>
            <w:tcW w:w="1314" w:type="dxa"/>
            <w:tcBorders>
              <w:top w:val="nil"/>
              <w:bottom w:val="nil"/>
            </w:tcBorders>
          </w:tcPr>
          <w:p w:rsidR="00000000" w:rsidRDefault="00000000">
            <w:pPr>
              <w:ind w:right="418"/>
              <w:jc w:val="right"/>
              <w:rPr>
                <w:kern w:val="2"/>
              </w:rPr>
            </w:pPr>
            <w:r>
              <w:rPr>
                <w:kern w:val="2"/>
              </w:rPr>
              <w:t>25</w:t>
            </w:r>
          </w:p>
        </w:tc>
        <w:tc>
          <w:tcPr>
            <w:tcW w:w="1275" w:type="dxa"/>
            <w:tcBorders>
              <w:top w:val="nil"/>
              <w:bottom w:val="nil"/>
            </w:tcBorders>
          </w:tcPr>
          <w:p w:rsidR="00000000" w:rsidRDefault="00000000">
            <w:pPr>
              <w:ind w:right="276"/>
              <w:jc w:val="right"/>
              <w:rPr>
                <w:kern w:val="2"/>
              </w:rPr>
            </w:pPr>
            <w:r>
              <w:rPr>
                <w:kern w:val="2"/>
              </w:rPr>
              <w:t>26 970</w:t>
            </w:r>
          </w:p>
        </w:tc>
        <w:tc>
          <w:tcPr>
            <w:tcW w:w="1418" w:type="dxa"/>
            <w:tcBorders>
              <w:top w:val="nil"/>
              <w:bottom w:val="nil"/>
            </w:tcBorders>
          </w:tcPr>
          <w:p w:rsidR="00000000" w:rsidRDefault="00000000">
            <w:pPr>
              <w:ind w:right="276"/>
              <w:jc w:val="right"/>
              <w:rPr>
                <w:kern w:val="2"/>
              </w:rPr>
            </w:pPr>
            <w:r>
              <w:rPr>
                <w:kern w:val="2"/>
              </w:rPr>
              <w:t>2 125</w:t>
            </w:r>
          </w:p>
        </w:tc>
        <w:tc>
          <w:tcPr>
            <w:tcW w:w="1200" w:type="dxa"/>
            <w:tcBorders>
              <w:top w:val="nil"/>
              <w:bottom w:val="nil"/>
            </w:tcBorders>
          </w:tcPr>
          <w:p w:rsidR="00000000" w:rsidRDefault="00000000">
            <w:pPr>
              <w:ind w:right="158"/>
              <w:jc w:val="right"/>
              <w:rPr>
                <w:kern w:val="2"/>
              </w:rPr>
            </w:pPr>
            <w:r>
              <w:rPr>
                <w:kern w:val="2"/>
              </w:rPr>
              <w:t>29 095</w:t>
            </w:r>
          </w:p>
        </w:tc>
      </w:tr>
      <w:tr w:rsidR="00000000">
        <w:tblPrEx>
          <w:tblCellMar>
            <w:top w:w="0" w:type="dxa"/>
            <w:bottom w:w="0" w:type="dxa"/>
          </w:tblCellMar>
        </w:tblPrEx>
        <w:trPr>
          <w:jc w:val="center"/>
        </w:trPr>
        <w:tc>
          <w:tcPr>
            <w:tcW w:w="2581" w:type="dxa"/>
            <w:tcBorders>
              <w:top w:val="nil"/>
              <w:bottom w:val="nil"/>
            </w:tcBorders>
          </w:tcPr>
          <w:p w:rsidR="00000000" w:rsidRDefault="00000000">
            <w:pPr>
              <w:rPr>
                <w:kern w:val="2"/>
              </w:rPr>
            </w:pPr>
            <w:r>
              <w:rPr>
                <w:kern w:val="2"/>
              </w:rPr>
              <w:t>Energy</w:t>
            </w:r>
          </w:p>
        </w:tc>
        <w:tc>
          <w:tcPr>
            <w:tcW w:w="1314" w:type="dxa"/>
            <w:tcBorders>
              <w:top w:val="nil"/>
              <w:bottom w:val="nil"/>
            </w:tcBorders>
          </w:tcPr>
          <w:p w:rsidR="00000000" w:rsidRDefault="00000000">
            <w:pPr>
              <w:ind w:right="418"/>
              <w:jc w:val="right"/>
              <w:rPr>
                <w:kern w:val="2"/>
              </w:rPr>
            </w:pPr>
            <w:r>
              <w:rPr>
                <w:kern w:val="2"/>
              </w:rPr>
              <w:t>3</w:t>
            </w:r>
          </w:p>
        </w:tc>
        <w:tc>
          <w:tcPr>
            <w:tcW w:w="1275" w:type="dxa"/>
            <w:tcBorders>
              <w:top w:val="nil"/>
              <w:bottom w:val="nil"/>
            </w:tcBorders>
          </w:tcPr>
          <w:p w:rsidR="00000000" w:rsidRDefault="00000000">
            <w:pPr>
              <w:ind w:right="276"/>
              <w:jc w:val="right"/>
              <w:rPr>
                <w:kern w:val="2"/>
              </w:rPr>
            </w:pPr>
            <w:r>
              <w:rPr>
                <w:kern w:val="2"/>
              </w:rPr>
              <w:t>3 907</w:t>
            </w:r>
          </w:p>
        </w:tc>
        <w:tc>
          <w:tcPr>
            <w:tcW w:w="1418" w:type="dxa"/>
            <w:tcBorders>
              <w:top w:val="nil"/>
              <w:bottom w:val="nil"/>
            </w:tcBorders>
          </w:tcPr>
          <w:p w:rsidR="00000000" w:rsidRDefault="00000000">
            <w:pPr>
              <w:ind w:right="276"/>
              <w:jc w:val="right"/>
              <w:rPr>
                <w:kern w:val="2"/>
              </w:rPr>
            </w:pPr>
            <w:r>
              <w:rPr>
                <w:kern w:val="2"/>
              </w:rPr>
              <w:t>1 670</w:t>
            </w:r>
          </w:p>
        </w:tc>
        <w:tc>
          <w:tcPr>
            <w:tcW w:w="1200" w:type="dxa"/>
            <w:tcBorders>
              <w:top w:val="nil"/>
              <w:bottom w:val="nil"/>
            </w:tcBorders>
          </w:tcPr>
          <w:p w:rsidR="00000000" w:rsidRDefault="00000000">
            <w:pPr>
              <w:ind w:right="158"/>
              <w:jc w:val="right"/>
              <w:rPr>
                <w:kern w:val="2"/>
              </w:rPr>
            </w:pPr>
            <w:r>
              <w:rPr>
                <w:kern w:val="2"/>
              </w:rPr>
              <w:t>5 577</w:t>
            </w:r>
          </w:p>
        </w:tc>
      </w:tr>
      <w:tr w:rsidR="00000000">
        <w:tblPrEx>
          <w:tblCellMar>
            <w:top w:w="0" w:type="dxa"/>
            <w:bottom w:w="0" w:type="dxa"/>
          </w:tblCellMar>
        </w:tblPrEx>
        <w:trPr>
          <w:jc w:val="center"/>
        </w:trPr>
        <w:tc>
          <w:tcPr>
            <w:tcW w:w="2581" w:type="dxa"/>
            <w:tcBorders>
              <w:top w:val="nil"/>
              <w:bottom w:val="nil"/>
            </w:tcBorders>
          </w:tcPr>
          <w:p w:rsidR="00000000" w:rsidRDefault="00000000">
            <w:pPr>
              <w:rPr>
                <w:kern w:val="2"/>
              </w:rPr>
            </w:pPr>
            <w:r>
              <w:rPr>
                <w:kern w:val="2"/>
              </w:rPr>
              <w:t>Others</w:t>
            </w:r>
          </w:p>
        </w:tc>
        <w:tc>
          <w:tcPr>
            <w:tcW w:w="1314" w:type="dxa"/>
            <w:tcBorders>
              <w:top w:val="nil"/>
              <w:bottom w:val="nil"/>
            </w:tcBorders>
          </w:tcPr>
          <w:p w:rsidR="00000000" w:rsidRDefault="00000000">
            <w:pPr>
              <w:ind w:right="418"/>
              <w:jc w:val="right"/>
              <w:rPr>
                <w:kern w:val="2"/>
              </w:rPr>
            </w:pPr>
            <w:r>
              <w:rPr>
                <w:kern w:val="2"/>
              </w:rPr>
              <w:t>16</w:t>
            </w:r>
          </w:p>
        </w:tc>
        <w:tc>
          <w:tcPr>
            <w:tcW w:w="1275" w:type="dxa"/>
            <w:tcBorders>
              <w:top w:val="nil"/>
              <w:bottom w:val="nil"/>
            </w:tcBorders>
          </w:tcPr>
          <w:p w:rsidR="00000000" w:rsidRDefault="00000000">
            <w:pPr>
              <w:ind w:right="276"/>
              <w:jc w:val="right"/>
              <w:rPr>
                <w:kern w:val="2"/>
              </w:rPr>
            </w:pPr>
            <w:r>
              <w:rPr>
                <w:kern w:val="2"/>
              </w:rPr>
              <w:t>1 401</w:t>
            </w:r>
          </w:p>
        </w:tc>
        <w:tc>
          <w:tcPr>
            <w:tcW w:w="1418" w:type="dxa"/>
            <w:tcBorders>
              <w:top w:val="nil"/>
              <w:bottom w:val="nil"/>
            </w:tcBorders>
          </w:tcPr>
          <w:p w:rsidR="00000000" w:rsidRDefault="00000000">
            <w:pPr>
              <w:ind w:right="276"/>
              <w:jc w:val="right"/>
              <w:rPr>
                <w:kern w:val="2"/>
              </w:rPr>
            </w:pPr>
            <w:r>
              <w:rPr>
                <w:kern w:val="2"/>
              </w:rPr>
              <w:t>343</w:t>
            </w:r>
          </w:p>
        </w:tc>
        <w:tc>
          <w:tcPr>
            <w:tcW w:w="1200" w:type="dxa"/>
            <w:tcBorders>
              <w:top w:val="nil"/>
              <w:bottom w:val="nil"/>
            </w:tcBorders>
          </w:tcPr>
          <w:p w:rsidR="00000000" w:rsidRDefault="00000000">
            <w:pPr>
              <w:ind w:right="158"/>
              <w:jc w:val="right"/>
              <w:rPr>
                <w:kern w:val="2"/>
              </w:rPr>
            </w:pPr>
            <w:r>
              <w:rPr>
                <w:kern w:val="2"/>
              </w:rPr>
              <w:t>1 744</w:t>
            </w:r>
          </w:p>
        </w:tc>
      </w:tr>
      <w:tr w:rsidR="00000000">
        <w:tblPrEx>
          <w:tblCellMar>
            <w:top w:w="0" w:type="dxa"/>
            <w:bottom w:w="0" w:type="dxa"/>
          </w:tblCellMar>
        </w:tblPrEx>
        <w:trPr>
          <w:jc w:val="center"/>
        </w:trPr>
        <w:tc>
          <w:tcPr>
            <w:tcW w:w="2581" w:type="dxa"/>
            <w:tcBorders>
              <w:top w:val="nil"/>
              <w:bottom w:val="nil"/>
            </w:tcBorders>
          </w:tcPr>
          <w:p w:rsidR="00000000" w:rsidRDefault="00000000">
            <w:pPr>
              <w:rPr>
                <w:kern w:val="2"/>
              </w:rPr>
            </w:pPr>
            <w:r>
              <w:rPr>
                <w:kern w:val="2"/>
              </w:rPr>
              <w:t>Shareholdings</w:t>
            </w:r>
          </w:p>
        </w:tc>
        <w:tc>
          <w:tcPr>
            <w:tcW w:w="1314" w:type="dxa"/>
            <w:tcBorders>
              <w:top w:val="nil"/>
              <w:bottom w:val="nil"/>
            </w:tcBorders>
          </w:tcPr>
          <w:p w:rsidR="00000000" w:rsidRDefault="00000000">
            <w:pPr>
              <w:ind w:right="418"/>
              <w:jc w:val="right"/>
              <w:rPr>
                <w:kern w:val="2"/>
              </w:rPr>
            </w:pPr>
            <w:r>
              <w:rPr>
                <w:kern w:val="2"/>
              </w:rPr>
              <w:t>0</w:t>
            </w:r>
          </w:p>
        </w:tc>
        <w:tc>
          <w:tcPr>
            <w:tcW w:w="1275" w:type="dxa"/>
            <w:tcBorders>
              <w:top w:val="nil"/>
              <w:bottom w:val="nil"/>
            </w:tcBorders>
          </w:tcPr>
          <w:p w:rsidR="00000000" w:rsidRDefault="00000000">
            <w:pPr>
              <w:ind w:right="276"/>
              <w:jc w:val="right"/>
              <w:rPr>
                <w:kern w:val="2"/>
              </w:rPr>
            </w:pPr>
            <w:r>
              <w:rPr>
                <w:kern w:val="2"/>
              </w:rPr>
              <w:t>1 040</w:t>
            </w:r>
          </w:p>
        </w:tc>
        <w:tc>
          <w:tcPr>
            <w:tcW w:w="1418" w:type="dxa"/>
            <w:tcBorders>
              <w:top w:val="nil"/>
              <w:bottom w:val="nil"/>
            </w:tcBorders>
          </w:tcPr>
          <w:p w:rsidR="00000000" w:rsidRDefault="00000000">
            <w:pPr>
              <w:ind w:right="276"/>
              <w:jc w:val="right"/>
              <w:rPr>
                <w:kern w:val="2"/>
              </w:rPr>
            </w:pPr>
            <w:r>
              <w:rPr>
                <w:kern w:val="2"/>
              </w:rPr>
              <w:t>0</w:t>
            </w:r>
          </w:p>
        </w:tc>
        <w:tc>
          <w:tcPr>
            <w:tcW w:w="1200" w:type="dxa"/>
            <w:tcBorders>
              <w:top w:val="nil"/>
              <w:bottom w:val="nil"/>
            </w:tcBorders>
          </w:tcPr>
          <w:p w:rsidR="00000000" w:rsidRDefault="00000000">
            <w:pPr>
              <w:ind w:right="158"/>
              <w:jc w:val="right"/>
              <w:rPr>
                <w:kern w:val="2"/>
              </w:rPr>
            </w:pPr>
            <w:r>
              <w:rPr>
                <w:kern w:val="2"/>
              </w:rPr>
              <w:t>1 040</w:t>
            </w:r>
          </w:p>
        </w:tc>
      </w:tr>
      <w:tr w:rsidR="00000000">
        <w:tblPrEx>
          <w:tblCellMar>
            <w:top w:w="0" w:type="dxa"/>
            <w:bottom w:w="0" w:type="dxa"/>
          </w:tblCellMar>
        </w:tblPrEx>
        <w:trPr>
          <w:jc w:val="center"/>
        </w:trPr>
        <w:tc>
          <w:tcPr>
            <w:tcW w:w="2581" w:type="dxa"/>
            <w:tcBorders>
              <w:top w:val="nil"/>
              <w:bottom w:val="nil"/>
            </w:tcBorders>
          </w:tcPr>
          <w:p w:rsidR="00000000" w:rsidRDefault="00000000">
            <w:pPr>
              <w:rPr>
                <w:kern w:val="2"/>
              </w:rPr>
            </w:pPr>
            <w:r>
              <w:rPr>
                <w:kern w:val="2"/>
              </w:rPr>
              <w:t>Federal</w:t>
            </w:r>
          </w:p>
        </w:tc>
        <w:tc>
          <w:tcPr>
            <w:tcW w:w="1314" w:type="dxa"/>
            <w:tcBorders>
              <w:top w:val="nil"/>
              <w:bottom w:val="nil"/>
            </w:tcBorders>
          </w:tcPr>
          <w:p w:rsidR="00000000" w:rsidRDefault="00000000">
            <w:pPr>
              <w:ind w:right="418"/>
              <w:jc w:val="right"/>
              <w:rPr>
                <w:kern w:val="2"/>
              </w:rPr>
            </w:pPr>
            <w:r>
              <w:rPr>
                <w:kern w:val="2"/>
              </w:rPr>
              <w:t>88</w:t>
            </w:r>
          </w:p>
        </w:tc>
        <w:tc>
          <w:tcPr>
            <w:tcW w:w="1275" w:type="dxa"/>
            <w:tcBorders>
              <w:top w:val="nil"/>
              <w:bottom w:val="nil"/>
            </w:tcBorders>
          </w:tcPr>
          <w:p w:rsidR="00000000" w:rsidRDefault="00000000">
            <w:pPr>
              <w:ind w:right="276"/>
              <w:jc w:val="right"/>
              <w:rPr>
                <w:kern w:val="2"/>
              </w:rPr>
            </w:pPr>
            <w:r>
              <w:rPr>
                <w:kern w:val="2"/>
              </w:rPr>
              <w:t>46 581</w:t>
            </w:r>
          </w:p>
        </w:tc>
        <w:tc>
          <w:tcPr>
            <w:tcW w:w="1418" w:type="dxa"/>
            <w:tcBorders>
              <w:top w:val="nil"/>
              <w:bottom w:val="nil"/>
            </w:tcBorders>
          </w:tcPr>
          <w:p w:rsidR="00000000" w:rsidRDefault="00000000">
            <w:pPr>
              <w:ind w:right="276"/>
              <w:jc w:val="right"/>
              <w:rPr>
                <w:kern w:val="2"/>
              </w:rPr>
            </w:pPr>
            <w:r>
              <w:rPr>
                <w:kern w:val="2"/>
              </w:rPr>
              <w:t>11 326</w:t>
            </w:r>
          </w:p>
        </w:tc>
        <w:tc>
          <w:tcPr>
            <w:tcW w:w="1200" w:type="dxa"/>
            <w:tcBorders>
              <w:top w:val="nil"/>
              <w:bottom w:val="nil"/>
            </w:tcBorders>
          </w:tcPr>
          <w:p w:rsidR="00000000" w:rsidRDefault="00000000">
            <w:pPr>
              <w:ind w:right="158"/>
              <w:jc w:val="right"/>
              <w:rPr>
                <w:kern w:val="2"/>
              </w:rPr>
            </w:pPr>
            <w:r>
              <w:rPr>
                <w:kern w:val="2"/>
              </w:rPr>
              <w:t>57 907</w:t>
            </w:r>
          </w:p>
        </w:tc>
      </w:tr>
      <w:tr w:rsidR="00000000">
        <w:tblPrEx>
          <w:tblCellMar>
            <w:top w:w="0" w:type="dxa"/>
            <w:bottom w:w="0" w:type="dxa"/>
          </w:tblCellMar>
        </w:tblPrEx>
        <w:trPr>
          <w:jc w:val="center"/>
        </w:trPr>
        <w:tc>
          <w:tcPr>
            <w:tcW w:w="2581" w:type="dxa"/>
            <w:tcBorders>
              <w:top w:val="nil"/>
              <w:bottom w:val="single" w:sz="4" w:space="0" w:color="auto"/>
            </w:tcBorders>
          </w:tcPr>
          <w:p w:rsidR="00000000" w:rsidRDefault="00000000">
            <w:pPr>
              <w:rPr>
                <w:kern w:val="2"/>
              </w:rPr>
            </w:pPr>
            <w:r>
              <w:rPr>
                <w:kern w:val="2"/>
              </w:rPr>
              <w:t>State</w:t>
            </w:r>
          </w:p>
        </w:tc>
        <w:tc>
          <w:tcPr>
            <w:tcW w:w="1314" w:type="dxa"/>
            <w:tcBorders>
              <w:top w:val="nil"/>
              <w:bottom w:val="single" w:sz="4" w:space="0" w:color="auto"/>
            </w:tcBorders>
          </w:tcPr>
          <w:p w:rsidR="00000000" w:rsidRDefault="00000000">
            <w:pPr>
              <w:ind w:right="418"/>
              <w:jc w:val="right"/>
              <w:rPr>
                <w:kern w:val="2"/>
              </w:rPr>
            </w:pPr>
            <w:r>
              <w:rPr>
                <w:kern w:val="2"/>
              </w:rPr>
              <w:t>29</w:t>
            </w:r>
          </w:p>
        </w:tc>
        <w:tc>
          <w:tcPr>
            <w:tcW w:w="1275" w:type="dxa"/>
            <w:tcBorders>
              <w:top w:val="nil"/>
              <w:bottom w:val="single" w:sz="4" w:space="0" w:color="auto"/>
            </w:tcBorders>
          </w:tcPr>
          <w:p w:rsidR="00000000" w:rsidRDefault="00000000">
            <w:pPr>
              <w:ind w:right="276"/>
              <w:jc w:val="right"/>
              <w:rPr>
                <w:kern w:val="2"/>
              </w:rPr>
            </w:pPr>
            <w:r>
              <w:rPr>
                <w:kern w:val="2"/>
              </w:rPr>
              <w:t>23 724</w:t>
            </w:r>
          </w:p>
        </w:tc>
        <w:tc>
          <w:tcPr>
            <w:tcW w:w="1418" w:type="dxa"/>
            <w:tcBorders>
              <w:top w:val="nil"/>
              <w:bottom w:val="single" w:sz="4" w:space="0" w:color="auto"/>
            </w:tcBorders>
          </w:tcPr>
          <w:p w:rsidR="00000000" w:rsidRDefault="00000000">
            <w:pPr>
              <w:ind w:right="276"/>
              <w:jc w:val="right"/>
              <w:rPr>
                <w:kern w:val="2"/>
              </w:rPr>
            </w:pPr>
            <w:r>
              <w:rPr>
                <w:kern w:val="2"/>
              </w:rPr>
              <w:t>5 311</w:t>
            </w:r>
          </w:p>
        </w:tc>
        <w:tc>
          <w:tcPr>
            <w:tcW w:w="1200" w:type="dxa"/>
            <w:tcBorders>
              <w:top w:val="nil"/>
              <w:bottom w:val="single" w:sz="4" w:space="0" w:color="auto"/>
            </w:tcBorders>
          </w:tcPr>
          <w:p w:rsidR="00000000" w:rsidRDefault="00000000">
            <w:pPr>
              <w:ind w:right="158"/>
              <w:jc w:val="right"/>
              <w:rPr>
                <w:kern w:val="2"/>
              </w:rPr>
            </w:pPr>
            <w:r>
              <w:rPr>
                <w:kern w:val="2"/>
              </w:rPr>
              <w:t>29 035</w:t>
            </w:r>
          </w:p>
        </w:tc>
      </w:tr>
      <w:tr w:rsidR="00000000">
        <w:tblPrEx>
          <w:tblCellMar>
            <w:top w:w="0" w:type="dxa"/>
            <w:bottom w:w="0" w:type="dxa"/>
          </w:tblCellMar>
        </w:tblPrEx>
        <w:trPr>
          <w:jc w:val="center"/>
        </w:trPr>
        <w:tc>
          <w:tcPr>
            <w:tcW w:w="2581" w:type="dxa"/>
            <w:tcBorders>
              <w:top w:val="single" w:sz="4" w:space="0" w:color="auto"/>
            </w:tcBorders>
          </w:tcPr>
          <w:p w:rsidR="00000000" w:rsidRDefault="00000000">
            <w:pPr>
              <w:rPr>
                <w:kern w:val="2"/>
              </w:rPr>
            </w:pPr>
            <w:r>
              <w:rPr>
                <w:kern w:val="2"/>
              </w:rPr>
              <w:tab/>
              <w:t>Total</w:t>
            </w:r>
          </w:p>
        </w:tc>
        <w:tc>
          <w:tcPr>
            <w:tcW w:w="1314" w:type="dxa"/>
            <w:tcBorders>
              <w:top w:val="single" w:sz="4" w:space="0" w:color="auto"/>
            </w:tcBorders>
          </w:tcPr>
          <w:p w:rsidR="00000000" w:rsidRDefault="00000000">
            <w:pPr>
              <w:ind w:right="418"/>
              <w:jc w:val="right"/>
              <w:rPr>
                <w:kern w:val="2"/>
              </w:rPr>
            </w:pPr>
            <w:r>
              <w:rPr>
                <w:kern w:val="2"/>
              </w:rPr>
              <w:t>117</w:t>
            </w:r>
          </w:p>
        </w:tc>
        <w:tc>
          <w:tcPr>
            <w:tcW w:w="1275" w:type="dxa"/>
            <w:tcBorders>
              <w:top w:val="single" w:sz="4" w:space="0" w:color="auto"/>
            </w:tcBorders>
          </w:tcPr>
          <w:p w:rsidR="00000000" w:rsidRDefault="00000000">
            <w:pPr>
              <w:ind w:right="276"/>
              <w:jc w:val="right"/>
              <w:rPr>
                <w:kern w:val="2"/>
              </w:rPr>
            </w:pPr>
            <w:r>
              <w:rPr>
                <w:kern w:val="2"/>
              </w:rPr>
              <w:t>70 305</w:t>
            </w:r>
          </w:p>
        </w:tc>
        <w:tc>
          <w:tcPr>
            <w:tcW w:w="1418" w:type="dxa"/>
            <w:tcBorders>
              <w:top w:val="single" w:sz="4" w:space="0" w:color="auto"/>
            </w:tcBorders>
          </w:tcPr>
          <w:p w:rsidR="00000000" w:rsidRDefault="00000000">
            <w:pPr>
              <w:ind w:right="276"/>
              <w:jc w:val="right"/>
              <w:rPr>
                <w:kern w:val="2"/>
              </w:rPr>
            </w:pPr>
            <w:r>
              <w:rPr>
                <w:kern w:val="2"/>
              </w:rPr>
              <w:t>16 637</w:t>
            </w:r>
          </w:p>
        </w:tc>
        <w:tc>
          <w:tcPr>
            <w:tcW w:w="1200" w:type="dxa"/>
            <w:tcBorders>
              <w:top w:val="single" w:sz="4" w:space="0" w:color="auto"/>
            </w:tcBorders>
          </w:tcPr>
          <w:p w:rsidR="00000000" w:rsidRDefault="00000000">
            <w:pPr>
              <w:ind w:right="158"/>
              <w:jc w:val="right"/>
              <w:rPr>
                <w:kern w:val="2"/>
              </w:rPr>
            </w:pPr>
            <w:r>
              <w:rPr>
                <w:kern w:val="2"/>
              </w:rPr>
              <w:t>86 942</w:t>
            </w:r>
          </w:p>
        </w:tc>
      </w:tr>
    </w:tbl>
    <w:p w:rsidR="00000000" w:rsidRDefault="00000000">
      <w:pPr>
        <w:rPr>
          <w:kern w:val="2"/>
        </w:rPr>
      </w:pPr>
    </w:p>
    <w:p w:rsidR="00000000" w:rsidRDefault="00000000">
      <w:pPr>
        <w:ind w:left="1440"/>
        <w:rPr>
          <w:kern w:val="2"/>
        </w:rPr>
      </w:pPr>
      <w:r>
        <w:rPr>
          <w:kern w:val="2"/>
          <w:u w:val="single"/>
        </w:rPr>
        <w:t>Source</w:t>
      </w:r>
      <w:r>
        <w:rPr>
          <w:kern w:val="2"/>
        </w:rPr>
        <w:t xml:space="preserve">:  National Economic and Social Development Bank </w:t>
      </w:r>
      <w:r>
        <w:rPr>
          <w:kern w:val="2"/>
        </w:rPr>
        <w:noBreakHyphen/>
        <w:t xml:space="preserve"> BNDES.</w:t>
      </w:r>
    </w:p>
    <w:p w:rsidR="00000000" w:rsidRDefault="00000000"/>
    <w:p w:rsidR="00000000" w:rsidRDefault="00000000">
      <w:pPr>
        <w:pStyle w:val="Heading1"/>
      </w:pPr>
      <w:r>
        <w:t>Table 6</w:t>
      </w:r>
    </w:p>
    <w:p w:rsidR="00000000" w:rsidRDefault="00000000">
      <w:pPr>
        <w:pStyle w:val="Heading1"/>
      </w:pPr>
    </w:p>
    <w:p w:rsidR="00000000" w:rsidRDefault="00000000">
      <w:pPr>
        <w:pStyle w:val="Heading1"/>
      </w:pPr>
      <w:r>
        <w:t>Brazilian balance of trade</w:t>
      </w:r>
    </w:p>
    <w:p w:rsidR="00000000" w:rsidRDefault="00000000">
      <w:pPr>
        <w:jc w:val="center"/>
      </w:pPr>
    </w:p>
    <w:p w:rsidR="00000000" w:rsidRDefault="00000000">
      <w:pPr>
        <w:pStyle w:val="Heading1"/>
      </w:pPr>
      <w:r>
        <w:t>(US$ millions)</w:t>
      </w:r>
    </w:p>
    <w:p w:rsidR="00000000" w:rsidRDefault="00000000">
      <w:pPr>
        <w:rPr>
          <w:kern w:val="2"/>
        </w:rPr>
      </w:pPr>
    </w:p>
    <w:tbl>
      <w:tblPr>
        <w:tblW w:w="0" w:type="auto"/>
        <w:jc w:val="center"/>
        <w:tblInd w:w="-2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2136"/>
        <w:gridCol w:w="1984"/>
        <w:gridCol w:w="1701"/>
        <w:gridCol w:w="1960"/>
      </w:tblGrid>
      <w:tr w:rsidR="00000000">
        <w:tblPrEx>
          <w:tblCellMar>
            <w:top w:w="0" w:type="dxa"/>
            <w:bottom w:w="0" w:type="dxa"/>
          </w:tblCellMar>
        </w:tblPrEx>
        <w:trPr>
          <w:jc w:val="center"/>
        </w:trPr>
        <w:tc>
          <w:tcPr>
            <w:tcW w:w="2136" w:type="dxa"/>
            <w:tcBorders>
              <w:bottom w:val="single" w:sz="4" w:space="0" w:color="auto"/>
            </w:tcBorders>
          </w:tcPr>
          <w:p w:rsidR="00000000" w:rsidRDefault="00000000">
            <w:pPr>
              <w:jc w:val="center"/>
              <w:rPr>
                <w:kern w:val="2"/>
              </w:rPr>
            </w:pPr>
            <w:r>
              <w:rPr>
                <w:kern w:val="2"/>
              </w:rPr>
              <w:t>Year</w:t>
            </w:r>
          </w:p>
        </w:tc>
        <w:tc>
          <w:tcPr>
            <w:tcW w:w="1984" w:type="dxa"/>
            <w:tcBorders>
              <w:bottom w:val="single" w:sz="4" w:space="0" w:color="auto"/>
            </w:tcBorders>
          </w:tcPr>
          <w:p w:rsidR="00000000" w:rsidRDefault="00000000">
            <w:pPr>
              <w:jc w:val="center"/>
              <w:rPr>
                <w:kern w:val="2"/>
              </w:rPr>
            </w:pPr>
            <w:r>
              <w:rPr>
                <w:kern w:val="2"/>
              </w:rPr>
              <w:t>Exports</w:t>
            </w:r>
          </w:p>
        </w:tc>
        <w:tc>
          <w:tcPr>
            <w:tcW w:w="1701" w:type="dxa"/>
            <w:tcBorders>
              <w:bottom w:val="single" w:sz="4" w:space="0" w:color="auto"/>
            </w:tcBorders>
          </w:tcPr>
          <w:p w:rsidR="00000000" w:rsidRDefault="00000000">
            <w:pPr>
              <w:jc w:val="center"/>
              <w:rPr>
                <w:kern w:val="2"/>
              </w:rPr>
            </w:pPr>
            <w:r>
              <w:rPr>
                <w:kern w:val="2"/>
              </w:rPr>
              <w:t>Imports</w:t>
            </w:r>
          </w:p>
        </w:tc>
        <w:tc>
          <w:tcPr>
            <w:tcW w:w="1960" w:type="dxa"/>
            <w:tcBorders>
              <w:bottom w:val="single" w:sz="4" w:space="0" w:color="auto"/>
            </w:tcBorders>
          </w:tcPr>
          <w:p w:rsidR="00000000" w:rsidRDefault="00000000">
            <w:pPr>
              <w:jc w:val="center"/>
              <w:rPr>
                <w:kern w:val="2"/>
              </w:rPr>
            </w:pPr>
            <w:r>
              <w:rPr>
                <w:kern w:val="2"/>
              </w:rPr>
              <w:t>Balance</w:t>
            </w:r>
          </w:p>
        </w:tc>
      </w:tr>
      <w:tr w:rsidR="00000000">
        <w:tblPrEx>
          <w:tblCellMar>
            <w:top w:w="0" w:type="dxa"/>
            <w:bottom w:w="0" w:type="dxa"/>
          </w:tblCellMar>
        </w:tblPrEx>
        <w:trPr>
          <w:jc w:val="center"/>
        </w:trPr>
        <w:tc>
          <w:tcPr>
            <w:tcW w:w="2136" w:type="dxa"/>
            <w:tcBorders>
              <w:bottom w:val="nil"/>
            </w:tcBorders>
          </w:tcPr>
          <w:p w:rsidR="00000000" w:rsidRDefault="00000000">
            <w:pPr>
              <w:jc w:val="center"/>
              <w:rPr>
                <w:kern w:val="2"/>
              </w:rPr>
            </w:pPr>
            <w:r>
              <w:rPr>
                <w:kern w:val="2"/>
              </w:rPr>
              <w:t>1990</w:t>
            </w:r>
          </w:p>
        </w:tc>
        <w:tc>
          <w:tcPr>
            <w:tcW w:w="1984" w:type="dxa"/>
            <w:tcBorders>
              <w:bottom w:val="nil"/>
            </w:tcBorders>
          </w:tcPr>
          <w:p w:rsidR="00000000" w:rsidRDefault="00000000">
            <w:pPr>
              <w:jc w:val="center"/>
              <w:rPr>
                <w:kern w:val="2"/>
              </w:rPr>
            </w:pPr>
            <w:r>
              <w:rPr>
                <w:kern w:val="2"/>
              </w:rPr>
              <w:t>31 414</w:t>
            </w:r>
          </w:p>
        </w:tc>
        <w:tc>
          <w:tcPr>
            <w:tcW w:w="1701" w:type="dxa"/>
            <w:tcBorders>
              <w:bottom w:val="nil"/>
            </w:tcBorders>
          </w:tcPr>
          <w:p w:rsidR="00000000" w:rsidRDefault="00000000">
            <w:pPr>
              <w:jc w:val="center"/>
              <w:rPr>
                <w:kern w:val="2"/>
              </w:rPr>
            </w:pPr>
            <w:r>
              <w:rPr>
                <w:kern w:val="2"/>
              </w:rPr>
              <w:t>20 661</w:t>
            </w:r>
          </w:p>
        </w:tc>
        <w:tc>
          <w:tcPr>
            <w:tcW w:w="1960" w:type="dxa"/>
            <w:tcBorders>
              <w:bottom w:val="nil"/>
            </w:tcBorders>
          </w:tcPr>
          <w:p w:rsidR="00000000" w:rsidRDefault="00000000">
            <w:pPr>
              <w:ind w:right="623"/>
              <w:jc w:val="right"/>
              <w:rPr>
                <w:kern w:val="2"/>
              </w:rPr>
            </w:pPr>
            <w:r>
              <w:rPr>
                <w:kern w:val="2"/>
              </w:rPr>
              <w:t>10 753</w:t>
            </w:r>
          </w:p>
        </w:tc>
      </w:tr>
      <w:tr w:rsidR="00000000">
        <w:tblPrEx>
          <w:tblCellMar>
            <w:top w:w="0" w:type="dxa"/>
            <w:bottom w:w="0" w:type="dxa"/>
          </w:tblCellMar>
        </w:tblPrEx>
        <w:trPr>
          <w:jc w:val="center"/>
        </w:trPr>
        <w:tc>
          <w:tcPr>
            <w:tcW w:w="2136" w:type="dxa"/>
            <w:tcBorders>
              <w:top w:val="nil"/>
              <w:bottom w:val="nil"/>
            </w:tcBorders>
          </w:tcPr>
          <w:p w:rsidR="00000000" w:rsidRDefault="00000000">
            <w:pPr>
              <w:jc w:val="center"/>
              <w:rPr>
                <w:kern w:val="2"/>
              </w:rPr>
            </w:pPr>
            <w:r>
              <w:rPr>
                <w:kern w:val="2"/>
              </w:rPr>
              <w:t>1991</w:t>
            </w:r>
          </w:p>
        </w:tc>
        <w:tc>
          <w:tcPr>
            <w:tcW w:w="1984" w:type="dxa"/>
            <w:tcBorders>
              <w:top w:val="nil"/>
              <w:bottom w:val="nil"/>
            </w:tcBorders>
          </w:tcPr>
          <w:p w:rsidR="00000000" w:rsidRDefault="00000000">
            <w:pPr>
              <w:jc w:val="center"/>
              <w:rPr>
                <w:kern w:val="2"/>
              </w:rPr>
            </w:pPr>
            <w:r>
              <w:rPr>
                <w:kern w:val="2"/>
              </w:rPr>
              <w:t>31 620</w:t>
            </w:r>
          </w:p>
        </w:tc>
        <w:tc>
          <w:tcPr>
            <w:tcW w:w="1701" w:type="dxa"/>
            <w:tcBorders>
              <w:top w:val="nil"/>
              <w:bottom w:val="nil"/>
            </w:tcBorders>
          </w:tcPr>
          <w:p w:rsidR="00000000" w:rsidRDefault="00000000">
            <w:pPr>
              <w:jc w:val="center"/>
              <w:rPr>
                <w:kern w:val="2"/>
              </w:rPr>
            </w:pPr>
            <w:r>
              <w:rPr>
                <w:kern w:val="2"/>
              </w:rPr>
              <w:t>21 041</w:t>
            </w:r>
          </w:p>
        </w:tc>
        <w:tc>
          <w:tcPr>
            <w:tcW w:w="1960" w:type="dxa"/>
            <w:tcBorders>
              <w:top w:val="nil"/>
              <w:bottom w:val="nil"/>
            </w:tcBorders>
          </w:tcPr>
          <w:p w:rsidR="00000000" w:rsidRDefault="00000000">
            <w:pPr>
              <w:ind w:right="623"/>
              <w:jc w:val="right"/>
              <w:rPr>
                <w:kern w:val="2"/>
              </w:rPr>
            </w:pPr>
            <w:r>
              <w:rPr>
                <w:kern w:val="2"/>
              </w:rPr>
              <w:t>10 579</w:t>
            </w:r>
          </w:p>
        </w:tc>
      </w:tr>
      <w:tr w:rsidR="00000000">
        <w:tblPrEx>
          <w:tblCellMar>
            <w:top w:w="0" w:type="dxa"/>
            <w:bottom w:w="0" w:type="dxa"/>
          </w:tblCellMar>
        </w:tblPrEx>
        <w:trPr>
          <w:jc w:val="center"/>
        </w:trPr>
        <w:tc>
          <w:tcPr>
            <w:tcW w:w="2136" w:type="dxa"/>
            <w:tcBorders>
              <w:top w:val="nil"/>
              <w:bottom w:val="nil"/>
            </w:tcBorders>
          </w:tcPr>
          <w:p w:rsidR="00000000" w:rsidRDefault="00000000">
            <w:pPr>
              <w:jc w:val="center"/>
              <w:rPr>
                <w:kern w:val="2"/>
              </w:rPr>
            </w:pPr>
            <w:r>
              <w:rPr>
                <w:kern w:val="2"/>
              </w:rPr>
              <w:t>1992</w:t>
            </w:r>
          </w:p>
        </w:tc>
        <w:tc>
          <w:tcPr>
            <w:tcW w:w="1984" w:type="dxa"/>
            <w:tcBorders>
              <w:top w:val="nil"/>
              <w:bottom w:val="nil"/>
            </w:tcBorders>
          </w:tcPr>
          <w:p w:rsidR="00000000" w:rsidRDefault="00000000">
            <w:pPr>
              <w:jc w:val="center"/>
              <w:rPr>
                <w:kern w:val="2"/>
              </w:rPr>
            </w:pPr>
            <w:r>
              <w:rPr>
                <w:kern w:val="2"/>
              </w:rPr>
              <w:t>35 793</w:t>
            </w:r>
          </w:p>
        </w:tc>
        <w:tc>
          <w:tcPr>
            <w:tcW w:w="1701" w:type="dxa"/>
            <w:tcBorders>
              <w:top w:val="nil"/>
              <w:bottom w:val="nil"/>
            </w:tcBorders>
          </w:tcPr>
          <w:p w:rsidR="00000000" w:rsidRDefault="00000000">
            <w:pPr>
              <w:jc w:val="center"/>
              <w:rPr>
                <w:kern w:val="2"/>
              </w:rPr>
            </w:pPr>
            <w:r>
              <w:rPr>
                <w:kern w:val="2"/>
              </w:rPr>
              <w:t>20 554</w:t>
            </w:r>
          </w:p>
        </w:tc>
        <w:tc>
          <w:tcPr>
            <w:tcW w:w="1960" w:type="dxa"/>
            <w:tcBorders>
              <w:top w:val="nil"/>
              <w:bottom w:val="nil"/>
            </w:tcBorders>
          </w:tcPr>
          <w:p w:rsidR="00000000" w:rsidRDefault="00000000">
            <w:pPr>
              <w:ind w:right="623"/>
              <w:jc w:val="right"/>
              <w:rPr>
                <w:kern w:val="2"/>
              </w:rPr>
            </w:pPr>
            <w:r>
              <w:rPr>
                <w:kern w:val="2"/>
              </w:rPr>
              <w:t>15 239</w:t>
            </w:r>
          </w:p>
        </w:tc>
      </w:tr>
      <w:tr w:rsidR="00000000">
        <w:tblPrEx>
          <w:tblCellMar>
            <w:top w:w="0" w:type="dxa"/>
            <w:bottom w:w="0" w:type="dxa"/>
          </w:tblCellMar>
        </w:tblPrEx>
        <w:trPr>
          <w:jc w:val="center"/>
        </w:trPr>
        <w:tc>
          <w:tcPr>
            <w:tcW w:w="2136" w:type="dxa"/>
            <w:tcBorders>
              <w:top w:val="nil"/>
              <w:bottom w:val="nil"/>
            </w:tcBorders>
          </w:tcPr>
          <w:p w:rsidR="00000000" w:rsidRDefault="00000000">
            <w:pPr>
              <w:jc w:val="center"/>
              <w:rPr>
                <w:kern w:val="2"/>
              </w:rPr>
            </w:pPr>
            <w:r>
              <w:rPr>
                <w:kern w:val="2"/>
              </w:rPr>
              <w:t>1993</w:t>
            </w:r>
          </w:p>
        </w:tc>
        <w:tc>
          <w:tcPr>
            <w:tcW w:w="1984" w:type="dxa"/>
            <w:tcBorders>
              <w:top w:val="nil"/>
              <w:bottom w:val="nil"/>
            </w:tcBorders>
          </w:tcPr>
          <w:p w:rsidR="00000000" w:rsidRDefault="00000000">
            <w:pPr>
              <w:jc w:val="center"/>
              <w:rPr>
                <w:kern w:val="2"/>
              </w:rPr>
            </w:pPr>
            <w:r>
              <w:rPr>
                <w:kern w:val="2"/>
              </w:rPr>
              <w:t>38 555</w:t>
            </w:r>
          </w:p>
        </w:tc>
        <w:tc>
          <w:tcPr>
            <w:tcW w:w="1701" w:type="dxa"/>
            <w:tcBorders>
              <w:top w:val="nil"/>
              <w:bottom w:val="nil"/>
            </w:tcBorders>
          </w:tcPr>
          <w:p w:rsidR="00000000" w:rsidRDefault="00000000">
            <w:pPr>
              <w:jc w:val="center"/>
              <w:rPr>
                <w:kern w:val="2"/>
              </w:rPr>
            </w:pPr>
            <w:r>
              <w:rPr>
                <w:kern w:val="2"/>
              </w:rPr>
              <w:t>25 256</w:t>
            </w:r>
          </w:p>
        </w:tc>
        <w:tc>
          <w:tcPr>
            <w:tcW w:w="1960" w:type="dxa"/>
            <w:tcBorders>
              <w:top w:val="nil"/>
              <w:bottom w:val="nil"/>
            </w:tcBorders>
          </w:tcPr>
          <w:p w:rsidR="00000000" w:rsidRDefault="00000000">
            <w:pPr>
              <w:ind w:right="623"/>
              <w:jc w:val="right"/>
              <w:rPr>
                <w:kern w:val="2"/>
              </w:rPr>
            </w:pPr>
            <w:r>
              <w:rPr>
                <w:kern w:val="2"/>
              </w:rPr>
              <w:t>13 299</w:t>
            </w:r>
          </w:p>
        </w:tc>
      </w:tr>
      <w:tr w:rsidR="00000000">
        <w:tblPrEx>
          <w:tblCellMar>
            <w:top w:w="0" w:type="dxa"/>
            <w:bottom w:w="0" w:type="dxa"/>
          </w:tblCellMar>
        </w:tblPrEx>
        <w:trPr>
          <w:jc w:val="center"/>
        </w:trPr>
        <w:tc>
          <w:tcPr>
            <w:tcW w:w="2136" w:type="dxa"/>
            <w:tcBorders>
              <w:top w:val="nil"/>
              <w:bottom w:val="nil"/>
            </w:tcBorders>
          </w:tcPr>
          <w:p w:rsidR="00000000" w:rsidRDefault="00000000">
            <w:pPr>
              <w:jc w:val="center"/>
              <w:rPr>
                <w:kern w:val="2"/>
              </w:rPr>
            </w:pPr>
            <w:r>
              <w:rPr>
                <w:kern w:val="2"/>
              </w:rPr>
              <w:t>1994</w:t>
            </w:r>
          </w:p>
        </w:tc>
        <w:tc>
          <w:tcPr>
            <w:tcW w:w="1984" w:type="dxa"/>
            <w:tcBorders>
              <w:top w:val="nil"/>
              <w:bottom w:val="nil"/>
            </w:tcBorders>
          </w:tcPr>
          <w:p w:rsidR="00000000" w:rsidRDefault="00000000">
            <w:pPr>
              <w:jc w:val="center"/>
              <w:rPr>
                <w:kern w:val="2"/>
              </w:rPr>
            </w:pPr>
            <w:r>
              <w:rPr>
                <w:kern w:val="2"/>
              </w:rPr>
              <w:t>43 545</w:t>
            </w:r>
          </w:p>
        </w:tc>
        <w:tc>
          <w:tcPr>
            <w:tcW w:w="1701" w:type="dxa"/>
            <w:tcBorders>
              <w:top w:val="nil"/>
              <w:bottom w:val="nil"/>
            </w:tcBorders>
          </w:tcPr>
          <w:p w:rsidR="00000000" w:rsidRDefault="00000000">
            <w:pPr>
              <w:jc w:val="center"/>
              <w:rPr>
                <w:kern w:val="2"/>
              </w:rPr>
            </w:pPr>
            <w:r>
              <w:rPr>
                <w:kern w:val="2"/>
              </w:rPr>
              <w:t>33 079</w:t>
            </w:r>
          </w:p>
        </w:tc>
        <w:tc>
          <w:tcPr>
            <w:tcW w:w="1960" w:type="dxa"/>
            <w:tcBorders>
              <w:top w:val="nil"/>
              <w:bottom w:val="nil"/>
            </w:tcBorders>
          </w:tcPr>
          <w:p w:rsidR="00000000" w:rsidRDefault="00000000">
            <w:pPr>
              <w:ind w:right="623"/>
              <w:jc w:val="right"/>
              <w:rPr>
                <w:kern w:val="2"/>
              </w:rPr>
            </w:pPr>
            <w:r>
              <w:rPr>
                <w:kern w:val="2"/>
              </w:rPr>
              <w:t>10 466</w:t>
            </w:r>
          </w:p>
        </w:tc>
      </w:tr>
      <w:tr w:rsidR="00000000">
        <w:tblPrEx>
          <w:tblCellMar>
            <w:top w:w="0" w:type="dxa"/>
            <w:bottom w:w="0" w:type="dxa"/>
          </w:tblCellMar>
        </w:tblPrEx>
        <w:trPr>
          <w:jc w:val="center"/>
        </w:trPr>
        <w:tc>
          <w:tcPr>
            <w:tcW w:w="2136" w:type="dxa"/>
            <w:tcBorders>
              <w:top w:val="nil"/>
              <w:bottom w:val="nil"/>
            </w:tcBorders>
          </w:tcPr>
          <w:p w:rsidR="00000000" w:rsidRDefault="00000000">
            <w:pPr>
              <w:jc w:val="center"/>
              <w:rPr>
                <w:kern w:val="2"/>
              </w:rPr>
            </w:pPr>
            <w:r>
              <w:rPr>
                <w:kern w:val="2"/>
              </w:rPr>
              <w:t>1995</w:t>
            </w:r>
          </w:p>
        </w:tc>
        <w:tc>
          <w:tcPr>
            <w:tcW w:w="1984" w:type="dxa"/>
            <w:tcBorders>
              <w:top w:val="nil"/>
              <w:bottom w:val="nil"/>
            </w:tcBorders>
          </w:tcPr>
          <w:p w:rsidR="00000000" w:rsidRDefault="00000000">
            <w:pPr>
              <w:jc w:val="center"/>
              <w:rPr>
                <w:kern w:val="2"/>
              </w:rPr>
            </w:pPr>
            <w:r>
              <w:rPr>
                <w:kern w:val="2"/>
              </w:rPr>
              <w:t>46 506</w:t>
            </w:r>
          </w:p>
        </w:tc>
        <w:tc>
          <w:tcPr>
            <w:tcW w:w="1701" w:type="dxa"/>
            <w:tcBorders>
              <w:top w:val="nil"/>
              <w:bottom w:val="nil"/>
            </w:tcBorders>
          </w:tcPr>
          <w:p w:rsidR="00000000" w:rsidRDefault="00000000">
            <w:pPr>
              <w:jc w:val="center"/>
              <w:rPr>
                <w:kern w:val="2"/>
              </w:rPr>
            </w:pPr>
            <w:r>
              <w:rPr>
                <w:kern w:val="2"/>
              </w:rPr>
              <w:t>49 972</w:t>
            </w:r>
          </w:p>
        </w:tc>
        <w:tc>
          <w:tcPr>
            <w:tcW w:w="1960" w:type="dxa"/>
            <w:tcBorders>
              <w:top w:val="nil"/>
              <w:bottom w:val="nil"/>
            </w:tcBorders>
          </w:tcPr>
          <w:p w:rsidR="00000000" w:rsidRDefault="00000000">
            <w:pPr>
              <w:ind w:right="623"/>
              <w:jc w:val="right"/>
              <w:rPr>
                <w:kern w:val="2"/>
              </w:rPr>
            </w:pPr>
            <w:r>
              <w:rPr>
                <w:kern w:val="2"/>
              </w:rPr>
              <w:t>(</w:t>
            </w:r>
            <w:r>
              <w:rPr>
                <w:kern w:val="2"/>
              </w:rPr>
              <w:noBreakHyphen/>
              <w:t>)3 466</w:t>
            </w:r>
          </w:p>
        </w:tc>
      </w:tr>
      <w:tr w:rsidR="00000000">
        <w:tblPrEx>
          <w:tblCellMar>
            <w:top w:w="0" w:type="dxa"/>
            <w:bottom w:w="0" w:type="dxa"/>
          </w:tblCellMar>
        </w:tblPrEx>
        <w:trPr>
          <w:jc w:val="center"/>
        </w:trPr>
        <w:tc>
          <w:tcPr>
            <w:tcW w:w="2136" w:type="dxa"/>
            <w:tcBorders>
              <w:top w:val="nil"/>
              <w:bottom w:val="nil"/>
            </w:tcBorders>
          </w:tcPr>
          <w:p w:rsidR="00000000" w:rsidRDefault="00000000">
            <w:pPr>
              <w:jc w:val="center"/>
              <w:rPr>
                <w:kern w:val="2"/>
              </w:rPr>
            </w:pPr>
            <w:r>
              <w:rPr>
                <w:kern w:val="2"/>
              </w:rPr>
              <w:t>1996</w:t>
            </w:r>
          </w:p>
        </w:tc>
        <w:tc>
          <w:tcPr>
            <w:tcW w:w="1984" w:type="dxa"/>
            <w:tcBorders>
              <w:top w:val="nil"/>
              <w:bottom w:val="nil"/>
            </w:tcBorders>
          </w:tcPr>
          <w:p w:rsidR="00000000" w:rsidRDefault="00000000">
            <w:pPr>
              <w:jc w:val="center"/>
              <w:rPr>
                <w:kern w:val="2"/>
              </w:rPr>
            </w:pPr>
            <w:r>
              <w:rPr>
                <w:kern w:val="2"/>
              </w:rPr>
              <w:t>47 747</w:t>
            </w:r>
          </w:p>
        </w:tc>
        <w:tc>
          <w:tcPr>
            <w:tcW w:w="1701" w:type="dxa"/>
            <w:tcBorders>
              <w:top w:val="nil"/>
              <w:bottom w:val="nil"/>
            </w:tcBorders>
          </w:tcPr>
          <w:p w:rsidR="00000000" w:rsidRDefault="00000000">
            <w:pPr>
              <w:jc w:val="center"/>
              <w:rPr>
                <w:kern w:val="2"/>
              </w:rPr>
            </w:pPr>
            <w:r>
              <w:rPr>
                <w:kern w:val="2"/>
              </w:rPr>
              <w:t>53 346</w:t>
            </w:r>
          </w:p>
        </w:tc>
        <w:tc>
          <w:tcPr>
            <w:tcW w:w="1960" w:type="dxa"/>
            <w:tcBorders>
              <w:top w:val="nil"/>
              <w:bottom w:val="nil"/>
            </w:tcBorders>
          </w:tcPr>
          <w:p w:rsidR="00000000" w:rsidRDefault="00000000">
            <w:pPr>
              <w:ind w:right="623"/>
              <w:jc w:val="right"/>
              <w:rPr>
                <w:kern w:val="2"/>
              </w:rPr>
            </w:pPr>
            <w:r>
              <w:rPr>
                <w:kern w:val="2"/>
              </w:rPr>
              <w:t>(</w:t>
            </w:r>
            <w:r>
              <w:rPr>
                <w:kern w:val="2"/>
              </w:rPr>
              <w:noBreakHyphen/>
              <w:t>)5 599</w:t>
            </w:r>
          </w:p>
        </w:tc>
      </w:tr>
      <w:tr w:rsidR="00000000">
        <w:tblPrEx>
          <w:tblCellMar>
            <w:top w:w="0" w:type="dxa"/>
            <w:bottom w:w="0" w:type="dxa"/>
          </w:tblCellMar>
        </w:tblPrEx>
        <w:trPr>
          <w:jc w:val="center"/>
        </w:trPr>
        <w:tc>
          <w:tcPr>
            <w:tcW w:w="2136" w:type="dxa"/>
            <w:tcBorders>
              <w:top w:val="nil"/>
              <w:bottom w:val="nil"/>
            </w:tcBorders>
          </w:tcPr>
          <w:p w:rsidR="00000000" w:rsidRDefault="00000000">
            <w:pPr>
              <w:jc w:val="center"/>
              <w:rPr>
                <w:kern w:val="2"/>
              </w:rPr>
            </w:pPr>
            <w:r>
              <w:rPr>
                <w:kern w:val="2"/>
              </w:rPr>
              <w:t>1997</w:t>
            </w:r>
          </w:p>
        </w:tc>
        <w:tc>
          <w:tcPr>
            <w:tcW w:w="1984" w:type="dxa"/>
            <w:tcBorders>
              <w:top w:val="nil"/>
              <w:bottom w:val="nil"/>
            </w:tcBorders>
          </w:tcPr>
          <w:p w:rsidR="00000000" w:rsidRDefault="00000000">
            <w:pPr>
              <w:jc w:val="center"/>
              <w:rPr>
                <w:kern w:val="2"/>
              </w:rPr>
            </w:pPr>
            <w:r>
              <w:rPr>
                <w:kern w:val="2"/>
              </w:rPr>
              <w:t>52 994</w:t>
            </w:r>
          </w:p>
        </w:tc>
        <w:tc>
          <w:tcPr>
            <w:tcW w:w="1701" w:type="dxa"/>
            <w:tcBorders>
              <w:top w:val="nil"/>
              <w:bottom w:val="nil"/>
            </w:tcBorders>
          </w:tcPr>
          <w:p w:rsidR="00000000" w:rsidRDefault="00000000">
            <w:pPr>
              <w:jc w:val="center"/>
              <w:rPr>
                <w:kern w:val="2"/>
              </w:rPr>
            </w:pPr>
            <w:r>
              <w:rPr>
                <w:kern w:val="2"/>
              </w:rPr>
              <w:t>59 749</w:t>
            </w:r>
          </w:p>
        </w:tc>
        <w:tc>
          <w:tcPr>
            <w:tcW w:w="1960" w:type="dxa"/>
            <w:tcBorders>
              <w:top w:val="nil"/>
              <w:bottom w:val="nil"/>
            </w:tcBorders>
          </w:tcPr>
          <w:p w:rsidR="00000000" w:rsidRDefault="00000000">
            <w:pPr>
              <w:ind w:right="623"/>
              <w:jc w:val="right"/>
              <w:rPr>
                <w:kern w:val="2"/>
              </w:rPr>
            </w:pPr>
            <w:r>
              <w:rPr>
                <w:kern w:val="2"/>
              </w:rPr>
              <w:t>(</w:t>
            </w:r>
            <w:r>
              <w:rPr>
                <w:kern w:val="2"/>
              </w:rPr>
              <w:noBreakHyphen/>
              <w:t>)6 755</w:t>
            </w:r>
          </w:p>
        </w:tc>
      </w:tr>
      <w:tr w:rsidR="00000000">
        <w:tblPrEx>
          <w:tblCellMar>
            <w:top w:w="0" w:type="dxa"/>
            <w:bottom w:w="0" w:type="dxa"/>
          </w:tblCellMar>
        </w:tblPrEx>
        <w:trPr>
          <w:jc w:val="center"/>
        </w:trPr>
        <w:tc>
          <w:tcPr>
            <w:tcW w:w="2136" w:type="dxa"/>
            <w:tcBorders>
              <w:top w:val="nil"/>
              <w:bottom w:val="nil"/>
            </w:tcBorders>
          </w:tcPr>
          <w:p w:rsidR="00000000" w:rsidRDefault="00000000">
            <w:pPr>
              <w:jc w:val="center"/>
              <w:rPr>
                <w:kern w:val="2"/>
              </w:rPr>
            </w:pPr>
            <w:r>
              <w:rPr>
                <w:kern w:val="2"/>
              </w:rPr>
              <w:t>1998</w:t>
            </w:r>
          </w:p>
        </w:tc>
        <w:tc>
          <w:tcPr>
            <w:tcW w:w="1984" w:type="dxa"/>
            <w:tcBorders>
              <w:top w:val="nil"/>
              <w:bottom w:val="nil"/>
            </w:tcBorders>
          </w:tcPr>
          <w:p w:rsidR="00000000" w:rsidRDefault="00000000">
            <w:pPr>
              <w:jc w:val="center"/>
              <w:rPr>
                <w:kern w:val="2"/>
              </w:rPr>
            </w:pPr>
            <w:r>
              <w:rPr>
                <w:kern w:val="2"/>
              </w:rPr>
              <w:t>51 140</w:t>
            </w:r>
          </w:p>
        </w:tc>
        <w:tc>
          <w:tcPr>
            <w:tcW w:w="1701" w:type="dxa"/>
            <w:tcBorders>
              <w:top w:val="nil"/>
              <w:bottom w:val="nil"/>
            </w:tcBorders>
          </w:tcPr>
          <w:p w:rsidR="00000000" w:rsidRDefault="00000000">
            <w:pPr>
              <w:jc w:val="center"/>
              <w:rPr>
                <w:kern w:val="2"/>
              </w:rPr>
            </w:pPr>
            <w:r>
              <w:rPr>
                <w:kern w:val="2"/>
              </w:rPr>
              <w:t>57 730</w:t>
            </w:r>
          </w:p>
        </w:tc>
        <w:tc>
          <w:tcPr>
            <w:tcW w:w="1960" w:type="dxa"/>
            <w:tcBorders>
              <w:top w:val="nil"/>
              <w:bottom w:val="nil"/>
            </w:tcBorders>
          </w:tcPr>
          <w:p w:rsidR="00000000" w:rsidRDefault="00000000">
            <w:pPr>
              <w:ind w:right="623"/>
              <w:jc w:val="right"/>
              <w:rPr>
                <w:kern w:val="2"/>
              </w:rPr>
            </w:pPr>
            <w:r>
              <w:rPr>
                <w:kern w:val="2"/>
              </w:rPr>
              <w:t>(</w:t>
            </w:r>
            <w:r>
              <w:rPr>
                <w:kern w:val="2"/>
              </w:rPr>
              <w:noBreakHyphen/>
              <w:t>)6 590</w:t>
            </w:r>
          </w:p>
        </w:tc>
      </w:tr>
      <w:tr w:rsidR="00000000">
        <w:tblPrEx>
          <w:tblCellMar>
            <w:top w:w="0" w:type="dxa"/>
            <w:bottom w:w="0" w:type="dxa"/>
          </w:tblCellMar>
        </w:tblPrEx>
        <w:trPr>
          <w:jc w:val="center"/>
        </w:trPr>
        <w:tc>
          <w:tcPr>
            <w:tcW w:w="2136" w:type="dxa"/>
            <w:tcBorders>
              <w:top w:val="nil"/>
            </w:tcBorders>
          </w:tcPr>
          <w:p w:rsidR="00000000" w:rsidRDefault="00000000">
            <w:pPr>
              <w:jc w:val="center"/>
              <w:rPr>
                <w:kern w:val="2"/>
              </w:rPr>
            </w:pPr>
            <w:r>
              <w:rPr>
                <w:kern w:val="2"/>
              </w:rPr>
              <w:t>1999</w:t>
            </w:r>
          </w:p>
        </w:tc>
        <w:tc>
          <w:tcPr>
            <w:tcW w:w="1984" w:type="dxa"/>
            <w:tcBorders>
              <w:top w:val="nil"/>
            </w:tcBorders>
          </w:tcPr>
          <w:p w:rsidR="00000000" w:rsidRDefault="00000000">
            <w:pPr>
              <w:jc w:val="center"/>
              <w:rPr>
                <w:kern w:val="2"/>
              </w:rPr>
            </w:pPr>
            <w:r>
              <w:rPr>
                <w:kern w:val="2"/>
              </w:rPr>
              <w:t>48 011</w:t>
            </w:r>
          </w:p>
        </w:tc>
        <w:tc>
          <w:tcPr>
            <w:tcW w:w="1701" w:type="dxa"/>
            <w:tcBorders>
              <w:top w:val="nil"/>
            </w:tcBorders>
          </w:tcPr>
          <w:p w:rsidR="00000000" w:rsidRDefault="00000000">
            <w:pPr>
              <w:jc w:val="center"/>
              <w:rPr>
                <w:kern w:val="2"/>
              </w:rPr>
            </w:pPr>
            <w:r>
              <w:rPr>
                <w:kern w:val="2"/>
              </w:rPr>
              <w:t>49 210</w:t>
            </w:r>
          </w:p>
        </w:tc>
        <w:tc>
          <w:tcPr>
            <w:tcW w:w="1960" w:type="dxa"/>
            <w:tcBorders>
              <w:top w:val="nil"/>
            </w:tcBorders>
          </w:tcPr>
          <w:p w:rsidR="00000000" w:rsidRDefault="00000000">
            <w:pPr>
              <w:ind w:right="623"/>
              <w:jc w:val="right"/>
              <w:rPr>
                <w:kern w:val="2"/>
              </w:rPr>
            </w:pPr>
            <w:r>
              <w:rPr>
                <w:kern w:val="2"/>
              </w:rPr>
              <w:t>(</w:t>
            </w:r>
            <w:r>
              <w:rPr>
                <w:kern w:val="2"/>
              </w:rPr>
              <w:noBreakHyphen/>
              <w:t>)1 199</w:t>
            </w:r>
          </w:p>
        </w:tc>
      </w:tr>
    </w:tbl>
    <w:p w:rsidR="00000000" w:rsidRDefault="00000000">
      <w:pPr>
        <w:rPr>
          <w:kern w:val="16"/>
        </w:rPr>
      </w:pPr>
    </w:p>
    <w:p w:rsidR="00000000" w:rsidRDefault="00000000">
      <w:pPr>
        <w:ind w:left="720"/>
        <w:rPr>
          <w:kern w:val="16"/>
        </w:rPr>
      </w:pPr>
      <w:r>
        <w:rPr>
          <w:kern w:val="16"/>
        </w:rPr>
        <w:tab/>
      </w:r>
      <w:r>
        <w:rPr>
          <w:kern w:val="16"/>
          <w:u w:val="single"/>
        </w:rPr>
        <w:t>Source</w:t>
      </w:r>
      <w:r>
        <w:rPr>
          <w:kern w:val="16"/>
        </w:rPr>
        <w:t>:  Ministry of Development, Industry and Foreign Trade.</w:t>
      </w:r>
    </w:p>
    <w:p w:rsidR="00000000" w:rsidRDefault="00000000">
      <w:pPr>
        <w:rPr>
          <w:kern w:val="16"/>
        </w:rPr>
      </w:pPr>
    </w:p>
    <w:p w:rsidR="00000000" w:rsidRDefault="00000000">
      <w:pPr>
        <w:rPr>
          <w:kern w:val="16"/>
        </w:rPr>
      </w:pPr>
    </w:p>
    <w:p w:rsidR="00000000" w:rsidRDefault="00000000">
      <w:pPr>
        <w:rPr>
          <w:kern w:val="20"/>
        </w:rPr>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sectPr>
      </w:pPr>
    </w:p>
    <w:p w:rsidR="00000000" w:rsidRDefault="00000000">
      <w:pPr>
        <w:pStyle w:val="Heading1"/>
      </w:pPr>
      <w:r>
        <w:t>Table 7</w:t>
      </w:r>
    </w:p>
    <w:p w:rsidR="00000000" w:rsidRDefault="00000000">
      <w:pPr>
        <w:pStyle w:val="Heading1"/>
      </w:pPr>
    </w:p>
    <w:p w:rsidR="00000000" w:rsidRDefault="00000000">
      <w:pPr>
        <w:pStyle w:val="Heading1"/>
      </w:pPr>
      <w:r>
        <w:t>External indicators (in %)</w:t>
      </w:r>
    </w:p>
    <w:p w:rsidR="00000000" w:rsidRDefault="00000000">
      <w:pPr>
        <w:rPr>
          <w:b/>
          <w:spacing w:val="20"/>
          <w:kern w:val="2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629"/>
        <w:gridCol w:w="557"/>
        <w:gridCol w:w="709"/>
        <w:gridCol w:w="1025"/>
        <w:gridCol w:w="1276"/>
        <w:gridCol w:w="1134"/>
        <w:gridCol w:w="1187"/>
        <w:gridCol w:w="1134"/>
        <w:gridCol w:w="1134"/>
        <w:gridCol w:w="1417"/>
        <w:gridCol w:w="851"/>
        <w:gridCol w:w="1134"/>
      </w:tblGrid>
      <w:tr w:rsidR="00000000">
        <w:tblPrEx>
          <w:tblCellMar>
            <w:top w:w="0" w:type="dxa"/>
            <w:bottom w:w="0" w:type="dxa"/>
          </w:tblCellMar>
        </w:tblPrEx>
        <w:trPr>
          <w:jc w:val="center"/>
        </w:trPr>
        <w:tc>
          <w:tcPr>
            <w:tcW w:w="629" w:type="dxa"/>
            <w:tcBorders>
              <w:bottom w:val="single" w:sz="4" w:space="0" w:color="auto"/>
            </w:tcBorders>
          </w:tcPr>
          <w:p w:rsidR="00000000" w:rsidRDefault="00000000">
            <w:pPr>
              <w:jc w:val="center"/>
              <w:rPr>
                <w:sz w:val="20"/>
              </w:rPr>
            </w:pPr>
          </w:p>
          <w:p w:rsidR="00000000" w:rsidRDefault="00000000">
            <w:pPr>
              <w:jc w:val="center"/>
              <w:rPr>
                <w:sz w:val="20"/>
              </w:rPr>
            </w:pPr>
            <w:r>
              <w:rPr>
                <w:sz w:val="20"/>
              </w:rPr>
              <w:t>Period</w:t>
            </w:r>
          </w:p>
        </w:tc>
        <w:tc>
          <w:tcPr>
            <w:tcW w:w="557" w:type="dxa"/>
            <w:tcBorders>
              <w:bottom w:val="single" w:sz="4" w:space="0" w:color="auto"/>
            </w:tcBorders>
          </w:tcPr>
          <w:p w:rsidR="00000000" w:rsidRDefault="00000000">
            <w:pPr>
              <w:jc w:val="center"/>
              <w:rPr>
                <w:rStyle w:val="Strong"/>
                <w:b w:val="0"/>
                <w:sz w:val="20"/>
              </w:rPr>
            </w:pPr>
            <w:r>
              <w:rPr>
                <w:rStyle w:val="Strong"/>
                <w:b w:val="0"/>
                <w:sz w:val="20"/>
              </w:rPr>
              <w:t>Exp./</w:t>
            </w:r>
          </w:p>
          <w:p w:rsidR="00000000" w:rsidRDefault="00000000">
            <w:pPr>
              <w:jc w:val="center"/>
              <w:rPr>
                <w:sz w:val="20"/>
              </w:rPr>
            </w:pPr>
            <w:r>
              <w:rPr>
                <w:rStyle w:val="Strong"/>
                <w:b w:val="0"/>
                <w:sz w:val="20"/>
              </w:rPr>
              <w:t>GDP</w:t>
            </w:r>
          </w:p>
        </w:tc>
        <w:tc>
          <w:tcPr>
            <w:tcW w:w="709" w:type="dxa"/>
            <w:tcBorders>
              <w:bottom w:val="single" w:sz="4" w:space="0" w:color="auto"/>
            </w:tcBorders>
          </w:tcPr>
          <w:p w:rsidR="00000000" w:rsidRDefault="00000000">
            <w:pPr>
              <w:jc w:val="center"/>
              <w:rPr>
                <w:sz w:val="20"/>
              </w:rPr>
            </w:pPr>
            <w:r>
              <w:rPr>
                <w:sz w:val="20"/>
              </w:rPr>
              <w:t>Imp./</w:t>
            </w:r>
          </w:p>
          <w:p w:rsidR="00000000" w:rsidRDefault="00000000">
            <w:pPr>
              <w:jc w:val="center"/>
              <w:rPr>
                <w:sz w:val="20"/>
              </w:rPr>
            </w:pPr>
            <w:r>
              <w:rPr>
                <w:sz w:val="20"/>
              </w:rPr>
              <w:t>GDP</w:t>
            </w:r>
          </w:p>
        </w:tc>
        <w:tc>
          <w:tcPr>
            <w:tcW w:w="1025" w:type="dxa"/>
            <w:tcBorders>
              <w:bottom w:val="single" w:sz="4" w:space="0" w:color="auto"/>
            </w:tcBorders>
          </w:tcPr>
          <w:p w:rsidR="00000000" w:rsidRDefault="00000000">
            <w:pPr>
              <w:rPr>
                <w:sz w:val="20"/>
              </w:rPr>
            </w:pPr>
            <w:r>
              <w:rPr>
                <w:sz w:val="20"/>
              </w:rPr>
              <w:t>Balance of</w:t>
            </w:r>
          </w:p>
          <w:p w:rsidR="00000000" w:rsidRDefault="00000000">
            <w:pPr>
              <w:rPr>
                <w:sz w:val="20"/>
              </w:rPr>
            </w:pPr>
            <w:r>
              <w:rPr>
                <w:sz w:val="20"/>
              </w:rPr>
              <w:t>trade/GDP</w:t>
            </w:r>
          </w:p>
          <w:p w:rsidR="00000000" w:rsidRDefault="00000000">
            <w:pPr>
              <w:rPr>
                <w:sz w:val="20"/>
              </w:rPr>
            </w:pPr>
            <w:r>
              <w:rPr>
                <w:sz w:val="20"/>
              </w:rPr>
              <w:t>(exp.</w:t>
            </w:r>
            <w:r>
              <w:rPr>
                <w:sz w:val="20"/>
              </w:rPr>
              <w:noBreakHyphen/>
              <w:t>imp.)</w:t>
            </w:r>
          </w:p>
        </w:tc>
        <w:tc>
          <w:tcPr>
            <w:tcW w:w="1276" w:type="dxa"/>
            <w:tcBorders>
              <w:bottom w:val="single" w:sz="4" w:space="0" w:color="auto"/>
            </w:tcBorders>
          </w:tcPr>
          <w:p w:rsidR="00000000" w:rsidRDefault="00000000">
            <w:pPr>
              <w:jc w:val="center"/>
              <w:rPr>
                <w:sz w:val="20"/>
              </w:rPr>
            </w:pPr>
            <w:r>
              <w:rPr>
                <w:sz w:val="20"/>
              </w:rPr>
              <w:t xml:space="preserve">Real fund </w:t>
            </w:r>
          </w:p>
          <w:p w:rsidR="00000000" w:rsidRDefault="00000000">
            <w:pPr>
              <w:jc w:val="center"/>
              <w:rPr>
                <w:sz w:val="20"/>
              </w:rPr>
            </w:pPr>
            <w:r>
              <w:rPr>
                <w:sz w:val="20"/>
              </w:rPr>
              <w:t>transfers sent</w:t>
            </w:r>
          </w:p>
          <w:p w:rsidR="00000000" w:rsidRDefault="00000000">
            <w:pPr>
              <w:jc w:val="center"/>
              <w:rPr>
                <w:b/>
                <w:bCs/>
                <w:sz w:val="20"/>
                <w:vertAlign w:val="superscript"/>
              </w:rPr>
            </w:pPr>
            <w:r>
              <w:rPr>
                <w:sz w:val="20"/>
              </w:rPr>
              <w:t>abroad/GDP</w:t>
            </w:r>
            <w:r>
              <w:rPr>
                <w:b/>
                <w:bCs/>
                <w:sz w:val="20"/>
                <w:vertAlign w:val="superscript"/>
              </w:rPr>
              <w:t>1</w:t>
            </w:r>
          </w:p>
          <w:p w:rsidR="00000000" w:rsidRDefault="00000000">
            <w:pPr>
              <w:jc w:val="center"/>
              <w:rPr>
                <w:sz w:val="20"/>
              </w:rPr>
            </w:pPr>
          </w:p>
        </w:tc>
        <w:tc>
          <w:tcPr>
            <w:tcW w:w="1134" w:type="dxa"/>
            <w:tcBorders>
              <w:bottom w:val="single" w:sz="4" w:space="0" w:color="auto"/>
            </w:tcBorders>
          </w:tcPr>
          <w:p w:rsidR="00000000" w:rsidRDefault="00000000">
            <w:pPr>
              <w:jc w:val="center"/>
              <w:rPr>
                <w:sz w:val="20"/>
              </w:rPr>
            </w:pPr>
            <w:r>
              <w:rPr>
                <w:sz w:val="20"/>
              </w:rPr>
              <w:t>Net income sent abroad/</w:t>
            </w:r>
          </w:p>
          <w:p w:rsidR="00000000" w:rsidRDefault="00000000">
            <w:pPr>
              <w:jc w:val="center"/>
              <w:rPr>
                <w:sz w:val="20"/>
              </w:rPr>
            </w:pPr>
            <w:r>
              <w:rPr>
                <w:sz w:val="20"/>
              </w:rPr>
              <w:t>GDP</w:t>
            </w:r>
            <w:r>
              <w:rPr>
                <w:b/>
                <w:bCs/>
                <w:sz w:val="20"/>
                <w:vertAlign w:val="superscript"/>
              </w:rPr>
              <w:t>2</w:t>
            </w:r>
          </w:p>
        </w:tc>
        <w:tc>
          <w:tcPr>
            <w:tcW w:w="1187" w:type="dxa"/>
            <w:tcBorders>
              <w:bottom w:val="single" w:sz="4" w:space="0" w:color="auto"/>
            </w:tcBorders>
          </w:tcPr>
          <w:p w:rsidR="00000000" w:rsidRDefault="00000000">
            <w:pPr>
              <w:jc w:val="center"/>
              <w:rPr>
                <w:b/>
                <w:bCs/>
                <w:sz w:val="20"/>
                <w:vertAlign w:val="superscript"/>
              </w:rPr>
            </w:pPr>
            <w:r>
              <w:rPr>
                <w:sz w:val="20"/>
              </w:rPr>
              <w:t>Net external savings/GDP</w:t>
            </w:r>
            <w:r>
              <w:rPr>
                <w:b/>
                <w:bCs/>
                <w:sz w:val="20"/>
                <w:vertAlign w:val="superscript"/>
              </w:rPr>
              <w:t>3</w:t>
            </w:r>
          </w:p>
        </w:tc>
        <w:tc>
          <w:tcPr>
            <w:tcW w:w="1134" w:type="dxa"/>
            <w:tcBorders>
              <w:bottom w:val="single" w:sz="4" w:space="0" w:color="auto"/>
            </w:tcBorders>
          </w:tcPr>
          <w:p w:rsidR="00000000" w:rsidRDefault="00000000">
            <w:pPr>
              <w:jc w:val="center"/>
              <w:rPr>
                <w:sz w:val="20"/>
              </w:rPr>
            </w:pPr>
            <w:r>
              <w:rPr>
                <w:sz w:val="20"/>
              </w:rPr>
              <w:t>Transfers for</w:t>
            </w:r>
          </w:p>
          <w:p w:rsidR="00000000" w:rsidRDefault="00000000">
            <w:pPr>
              <w:jc w:val="center"/>
              <w:rPr>
                <w:sz w:val="20"/>
              </w:rPr>
            </w:pPr>
            <w:r>
              <w:rPr>
                <w:sz w:val="20"/>
              </w:rPr>
              <w:t>payment</w:t>
            </w:r>
          </w:p>
          <w:p w:rsidR="00000000" w:rsidRDefault="00000000">
            <w:pPr>
              <w:jc w:val="center"/>
              <w:rPr>
                <w:sz w:val="20"/>
              </w:rPr>
            </w:pPr>
            <w:r>
              <w:rPr>
                <w:sz w:val="20"/>
              </w:rPr>
              <w:t>abroad/</w:t>
            </w:r>
          </w:p>
          <w:p w:rsidR="00000000" w:rsidRDefault="00000000">
            <w:pPr>
              <w:jc w:val="center"/>
              <w:rPr>
                <w:sz w:val="20"/>
                <w:highlight w:val="yellow"/>
              </w:rPr>
            </w:pPr>
            <w:r>
              <w:rPr>
                <w:sz w:val="20"/>
              </w:rPr>
              <w:t>GDP</w:t>
            </w:r>
            <w:r>
              <w:rPr>
                <w:b/>
                <w:bCs/>
                <w:sz w:val="20"/>
                <w:vertAlign w:val="superscript"/>
              </w:rPr>
              <w:t>4</w:t>
            </w:r>
          </w:p>
        </w:tc>
        <w:tc>
          <w:tcPr>
            <w:tcW w:w="1134" w:type="dxa"/>
            <w:tcBorders>
              <w:bottom w:val="single" w:sz="4" w:space="0" w:color="auto"/>
            </w:tcBorders>
          </w:tcPr>
          <w:p w:rsidR="00000000" w:rsidRDefault="00000000">
            <w:pPr>
              <w:jc w:val="center"/>
              <w:rPr>
                <w:sz w:val="20"/>
              </w:rPr>
            </w:pPr>
            <w:r>
              <w:rPr>
                <w:sz w:val="20"/>
              </w:rPr>
              <w:t>Debt service/</w:t>
            </w:r>
          </w:p>
          <w:p w:rsidR="00000000" w:rsidRDefault="00000000">
            <w:pPr>
              <w:jc w:val="center"/>
              <w:rPr>
                <w:sz w:val="20"/>
              </w:rPr>
            </w:pPr>
            <w:r>
              <w:rPr>
                <w:sz w:val="20"/>
              </w:rPr>
              <w:t>exp.</w:t>
            </w:r>
            <w:r>
              <w:rPr>
                <w:b/>
                <w:bCs/>
                <w:sz w:val="20"/>
                <w:vertAlign w:val="superscript"/>
              </w:rPr>
              <w:t>5</w:t>
            </w:r>
          </w:p>
        </w:tc>
        <w:tc>
          <w:tcPr>
            <w:tcW w:w="1417" w:type="dxa"/>
            <w:tcBorders>
              <w:bottom w:val="single" w:sz="4" w:space="0" w:color="auto"/>
            </w:tcBorders>
          </w:tcPr>
          <w:p w:rsidR="00000000" w:rsidRDefault="00000000">
            <w:pPr>
              <w:jc w:val="center"/>
              <w:rPr>
                <w:sz w:val="20"/>
              </w:rPr>
            </w:pPr>
            <w:r>
              <w:rPr>
                <w:sz w:val="20"/>
              </w:rPr>
              <w:t>Exp. non</w:t>
            </w:r>
            <w:r>
              <w:rPr>
                <w:sz w:val="20"/>
              </w:rPr>
              <w:noBreakHyphen/>
              <w:t>factor</w:t>
            </w:r>
          </w:p>
          <w:p w:rsidR="00000000" w:rsidRDefault="00000000">
            <w:pPr>
              <w:jc w:val="center"/>
              <w:rPr>
                <w:sz w:val="20"/>
              </w:rPr>
            </w:pPr>
            <w:r>
              <w:rPr>
                <w:sz w:val="20"/>
              </w:rPr>
              <w:t>goods and</w:t>
            </w:r>
          </w:p>
          <w:p w:rsidR="00000000" w:rsidRDefault="00000000">
            <w:pPr>
              <w:jc w:val="center"/>
              <w:rPr>
                <w:sz w:val="20"/>
              </w:rPr>
            </w:pPr>
            <w:r>
              <w:rPr>
                <w:sz w:val="20"/>
              </w:rPr>
              <w:t>services/total</w:t>
            </w:r>
          </w:p>
          <w:p w:rsidR="00000000" w:rsidRDefault="00000000">
            <w:pPr>
              <w:jc w:val="center"/>
              <w:rPr>
                <w:sz w:val="20"/>
                <w:highlight w:val="yellow"/>
              </w:rPr>
            </w:pPr>
            <w:r>
              <w:rPr>
                <w:sz w:val="20"/>
              </w:rPr>
              <w:t>foreign debt</w:t>
            </w:r>
          </w:p>
        </w:tc>
        <w:tc>
          <w:tcPr>
            <w:tcW w:w="851" w:type="dxa"/>
            <w:tcBorders>
              <w:bottom w:val="single" w:sz="4" w:space="0" w:color="auto"/>
            </w:tcBorders>
          </w:tcPr>
          <w:p w:rsidR="00000000" w:rsidRDefault="00000000">
            <w:pPr>
              <w:jc w:val="center"/>
              <w:rPr>
                <w:sz w:val="20"/>
              </w:rPr>
            </w:pPr>
            <w:r>
              <w:rPr>
                <w:sz w:val="20"/>
              </w:rPr>
              <w:t>Foreign</w:t>
            </w:r>
          </w:p>
          <w:p w:rsidR="00000000" w:rsidRDefault="00000000">
            <w:pPr>
              <w:jc w:val="center"/>
              <w:rPr>
                <w:sz w:val="20"/>
              </w:rPr>
            </w:pPr>
            <w:r>
              <w:rPr>
                <w:sz w:val="20"/>
              </w:rPr>
              <w:t>debt/GDP</w:t>
            </w:r>
          </w:p>
        </w:tc>
        <w:tc>
          <w:tcPr>
            <w:tcW w:w="1134" w:type="dxa"/>
            <w:tcBorders>
              <w:bottom w:val="single" w:sz="4" w:space="0" w:color="auto"/>
            </w:tcBorders>
          </w:tcPr>
          <w:p w:rsidR="00000000" w:rsidRDefault="00000000">
            <w:pPr>
              <w:jc w:val="center"/>
              <w:rPr>
                <w:sz w:val="20"/>
              </w:rPr>
            </w:pPr>
            <w:r>
              <w:rPr>
                <w:sz w:val="20"/>
              </w:rPr>
              <w:t>Trade</w:t>
            </w:r>
          </w:p>
          <w:p w:rsidR="00000000" w:rsidRDefault="00000000">
            <w:pPr>
              <w:jc w:val="center"/>
              <w:rPr>
                <w:sz w:val="20"/>
                <w:highlight w:val="yellow"/>
              </w:rPr>
            </w:pPr>
            <w:r>
              <w:rPr>
                <w:sz w:val="20"/>
              </w:rPr>
              <w:t>flows/GDP</w:t>
            </w:r>
          </w:p>
        </w:tc>
      </w:tr>
      <w:tr w:rsidR="00000000">
        <w:tblPrEx>
          <w:tblCellMar>
            <w:top w:w="0" w:type="dxa"/>
            <w:bottom w:w="0" w:type="dxa"/>
          </w:tblCellMar>
        </w:tblPrEx>
        <w:trPr>
          <w:jc w:val="center"/>
        </w:trPr>
        <w:tc>
          <w:tcPr>
            <w:tcW w:w="629" w:type="dxa"/>
            <w:tcBorders>
              <w:bottom w:val="nil"/>
            </w:tcBorders>
          </w:tcPr>
          <w:p w:rsidR="00000000" w:rsidRDefault="00000000">
            <w:pPr>
              <w:rPr>
                <w:sz w:val="20"/>
              </w:rPr>
            </w:pPr>
            <w:r>
              <w:rPr>
                <w:sz w:val="20"/>
              </w:rPr>
              <w:t>1990</w:t>
            </w:r>
          </w:p>
        </w:tc>
        <w:tc>
          <w:tcPr>
            <w:tcW w:w="557" w:type="dxa"/>
            <w:tcBorders>
              <w:bottom w:val="nil"/>
            </w:tcBorders>
          </w:tcPr>
          <w:p w:rsidR="00000000" w:rsidRDefault="00000000">
            <w:pPr>
              <w:jc w:val="center"/>
              <w:rPr>
                <w:sz w:val="20"/>
              </w:rPr>
            </w:pPr>
            <w:r>
              <w:rPr>
                <w:sz w:val="20"/>
              </w:rPr>
              <w:t>6.7</w:t>
            </w:r>
          </w:p>
        </w:tc>
        <w:tc>
          <w:tcPr>
            <w:tcW w:w="709" w:type="dxa"/>
            <w:tcBorders>
              <w:bottom w:val="nil"/>
            </w:tcBorders>
          </w:tcPr>
          <w:p w:rsidR="00000000" w:rsidRDefault="00000000">
            <w:pPr>
              <w:jc w:val="center"/>
              <w:rPr>
                <w:sz w:val="20"/>
              </w:rPr>
            </w:pPr>
            <w:r>
              <w:rPr>
                <w:sz w:val="20"/>
              </w:rPr>
              <w:t>4.4</w:t>
            </w:r>
          </w:p>
        </w:tc>
        <w:tc>
          <w:tcPr>
            <w:tcW w:w="1025" w:type="dxa"/>
            <w:tcBorders>
              <w:bottom w:val="nil"/>
            </w:tcBorders>
          </w:tcPr>
          <w:p w:rsidR="00000000" w:rsidRDefault="00000000">
            <w:pPr>
              <w:ind w:right="284"/>
              <w:jc w:val="right"/>
              <w:rPr>
                <w:sz w:val="20"/>
              </w:rPr>
            </w:pPr>
            <w:r>
              <w:rPr>
                <w:sz w:val="20"/>
              </w:rPr>
              <w:t>2.3</w:t>
            </w:r>
          </w:p>
        </w:tc>
        <w:tc>
          <w:tcPr>
            <w:tcW w:w="1276" w:type="dxa"/>
            <w:tcBorders>
              <w:bottom w:val="nil"/>
            </w:tcBorders>
          </w:tcPr>
          <w:p w:rsidR="00000000" w:rsidRDefault="00000000">
            <w:pPr>
              <w:ind w:right="419"/>
              <w:jc w:val="right"/>
              <w:rPr>
                <w:sz w:val="20"/>
              </w:rPr>
            </w:pPr>
            <w:r>
              <w:rPr>
                <w:sz w:val="20"/>
              </w:rPr>
              <w:t>1.7</w:t>
            </w:r>
          </w:p>
        </w:tc>
        <w:tc>
          <w:tcPr>
            <w:tcW w:w="1134" w:type="dxa"/>
            <w:tcBorders>
              <w:bottom w:val="nil"/>
            </w:tcBorders>
          </w:tcPr>
          <w:p w:rsidR="00000000" w:rsidRDefault="00000000">
            <w:pPr>
              <w:jc w:val="center"/>
              <w:rPr>
                <w:sz w:val="20"/>
              </w:rPr>
            </w:pPr>
            <w:r>
              <w:rPr>
                <w:sz w:val="20"/>
              </w:rPr>
              <w:t>2.7</w:t>
            </w:r>
          </w:p>
        </w:tc>
        <w:tc>
          <w:tcPr>
            <w:tcW w:w="1187" w:type="dxa"/>
            <w:tcBorders>
              <w:bottom w:val="nil"/>
            </w:tcBorders>
          </w:tcPr>
          <w:p w:rsidR="00000000" w:rsidRDefault="00000000">
            <w:pPr>
              <w:ind w:right="419"/>
              <w:jc w:val="right"/>
              <w:rPr>
                <w:sz w:val="20"/>
              </w:rPr>
            </w:pPr>
            <w:r>
              <w:rPr>
                <w:sz w:val="20"/>
              </w:rPr>
              <w:t>0.8</w:t>
            </w:r>
          </w:p>
        </w:tc>
        <w:tc>
          <w:tcPr>
            <w:tcW w:w="1134" w:type="dxa"/>
            <w:tcBorders>
              <w:bottom w:val="nil"/>
            </w:tcBorders>
          </w:tcPr>
          <w:p w:rsidR="00000000" w:rsidRDefault="00000000">
            <w:pPr>
              <w:ind w:left="134" w:right="277"/>
              <w:jc w:val="right"/>
              <w:rPr>
                <w:sz w:val="20"/>
              </w:rPr>
            </w:pPr>
            <w:r>
              <w:rPr>
                <w:sz w:val="20"/>
              </w:rPr>
              <w:t>3.9</w:t>
            </w:r>
          </w:p>
        </w:tc>
        <w:tc>
          <w:tcPr>
            <w:tcW w:w="1134" w:type="dxa"/>
            <w:tcBorders>
              <w:bottom w:val="nil"/>
            </w:tcBorders>
          </w:tcPr>
          <w:p w:rsidR="00000000" w:rsidRDefault="00000000">
            <w:pPr>
              <w:ind w:right="418"/>
              <w:jc w:val="right"/>
              <w:rPr>
                <w:sz w:val="20"/>
              </w:rPr>
            </w:pPr>
            <w:r>
              <w:rPr>
                <w:sz w:val="20"/>
              </w:rPr>
              <w:t>25.8</w:t>
            </w:r>
          </w:p>
        </w:tc>
        <w:tc>
          <w:tcPr>
            <w:tcW w:w="1417" w:type="dxa"/>
            <w:tcBorders>
              <w:bottom w:val="nil"/>
            </w:tcBorders>
          </w:tcPr>
          <w:p w:rsidR="00000000" w:rsidRDefault="00000000">
            <w:pPr>
              <w:jc w:val="center"/>
              <w:rPr>
                <w:sz w:val="20"/>
              </w:rPr>
            </w:pPr>
            <w:r>
              <w:rPr>
                <w:sz w:val="20"/>
              </w:rPr>
              <w:t>28.1</w:t>
            </w:r>
          </w:p>
        </w:tc>
        <w:tc>
          <w:tcPr>
            <w:tcW w:w="851" w:type="dxa"/>
            <w:tcBorders>
              <w:bottom w:val="nil"/>
            </w:tcBorders>
          </w:tcPr>
          <w:p w:rsidR="00000000" w:rsidRDefault="00000000">
            <w:pPr>
              <w:jc w:val="center"/>
              <w:rPr>
                <w:sz w:val="20"/>
              </w:rPr>
            </w:pPr>
            <w:r>
              <w:rPr>
                <w:sz w:val="20"/>
              </w:rPr>
              <w:t>26.3</w:t>
            </w:r>
          </w:p>
        </w:tc>
        <w:tc>
          <w:tcPr>
            <w:tcW w:w="1134" w:type="dxa"/>
            <w:tcBorders>
              <w:bottom w:val="nil"/>
            </w:tcBorders>
          </w:tcPr>
          <w:p w:rsidR="00000000" w:rsidRDefault="00000000">
            <w:pPr>
              <w:jc w:val="center"/>
              <w:rPr>
                <w:sz w:val="20"/>
              </w:rPr>
            </w:pPr>
            <w:r>
              <w:rPr>
                <w:sz w:val="20"/>
              </w:rPr>
              <w:t>11.1</w:t>
            </w:r>
          </w:p>
        </w:tc>
      </w:tr>
      <w:tr w:rsidR="00000000">
        <w:tblPrEx>
          <w:tblCellMar>
            <w:top w:w="0" w:type="dxa"/>
            <w:bottom w:w="0" w:type="dxa"/>
          </w:tblCellMar>
        </w:tblPrEx>
        <w:trPr>
          <w:jc w:val="center"/>
        </w:trPr>
        <w:tc>
          <w:tcPr>
            <w:tcW w:w="629" w:type="dxa"/>
            <w:tcBorders>
              <w:top w:val="nil"/>
              <w:bottom w:val="nil"/>
            </w:tcBorders>
          </w:tcPr>
          <w:p w:rsidR="00000000" w:rsidRDefault="00000000">
            <w:pPr>
              <w:rPr>
                <w:sz w:val="20"/>
              </w:rPr>
            </w:pPr>
            <w:r>
              <w:rPr>
                <w:sz w:val="20"/>
              </w:rPr>
              <w:t>1991</w:t>
            </w:r>
          </w:p>
        </w:tc>
        <w:tc>
          <w:tcPr>
            <w:tcW w:w="557" w:type="dxa"/>
            <w:tcBorders>
              <w:top w:val="nil"/>
              <w:bottom w:val="nil"/>
            </w:tcBorders>
          </w:tcPr>
          <w:p w:rsidR="00000000" w:rsidRDefault="00000000">
            <w:pPr>
              <w:jc w:val="center"/>
              <w:rPr>
                <w:sz w:val="20"/>
              </w:rPr>
            </w:pPr>
            <w:r>
              <w:rPr>
                <w:sz w:val="20"/>
              </w:rPr>
              <w:t>7.8</w:t>
            </w:r>
          </w:p>
        </w:tc>
        <w:tc>
          <w:tcPr>
            <w:tcW w:w="709" w:type="dxa"/>
            <w:tcBorders>
              <w:top w:val="nil"/>
              <w:bottom w:val="nil"/>
            </w:tcBorders>
          </w:tcPr>
          <w:p w:rsidR="00000000" w:rsidRDefault="00000000">
            <w:pPr>
              <w:jc w:val="center"/>
              <w:rPr>
                <w:sz w:val="20"/>
              </w:rPr>
            </w:pPr>
            <w:r>
              <w:rPr>
                <w:sz w:val="20"/>
              </w:rPr>
              <w:t>5.2</w:t>
            </w:r>
          </w:p>
        </w:tc>
        <w:tc>
          <w:tcPr>
            <w:tcW w:w="1025" w:type="dxa"/>
            <w:tcBorders>
              <w:top w:val="nil"/>
              <w:bottom w:val="nil"/>
            </w:tcBorders>
          </w:tcPr>
          <w:p w:rsidR="00000000" w:rsidRDefault="00000000">
            <w:pPr>
              <w:ind w:right="284"/>
              <w:jc w:val="right"/>
              <w:rPr>
                <w:sz w:val="20"/>
              </w:rPr>
            </w:pPr>
            <w:r>
              <w:rPr>
                <w:sz w:val="20"/>
              </w:rPr>
              <w:t>2.6</w:t>
            </w:r>
          </w:p>
        </w:tc>
        <w:tc>
          <w:tcPr>
            <w:tcW w:w="1276" w:type="dxa"/>
            <w:tcBorders>
              <w:top w:val="nil"/>
              <w:bottom w:val="nil"/>
            </w:tcBorders>
          </w:tcPr>
          <w:p w:rsidR="00000000" w:rsidRDefault="00000000">
            <w:pPr>
              <w:ind w:right="419"/>
              <w:jc w:val="right"/>
              <w:rPr>
                <w:sz w:val="20"/>
              </w:rPr>
            </w:pPr>
            <w:r>
              <w:rPr>
                <w:sz w:val="20"/>
              </w:rPr>
              <w:t>1.9</w:t>
            </w:r>
          </w:p>
        </w:tc>
        <w:tc>
          <w:tcPr>
            <w:tcW w:w="1134" w:type="dxa"/>
            <w:tcBorders>
              <w:top w:val="nil"/>
              <w:bottom w:val="nil"/>
            </w:tcBorders>
          </w:tcPr>
          <w:p w:rsidR="00000000" w:rsidRDefault="00000000">
            <w:pPr>
              <w:jc w:val="center"/>
              <w:rPr>
                <w:sz w:val="20"/>
              </w:rPr>
            </w:pPr>
            <w:r>
              <w:rPr>
                <w:sz w:val="20"/>
              </w:rPr>
              <w:t>2.7</w:t>
            </w:r>
          </w:p>
        </w:tc>
        <w:tc>
          <w:tcPr>
            <w:tcW w:w="1187" w:type="dxa"/>
            <w:tcBorders>
              <w:top w:val="nil"/>
              <w:bottom w:val="nil"/>
            </w:tcBorders>
          </w:tcPr>
          <w:p w:rsidR="00000000" w:rsidRDefault="00000000">
            <w:pPr>
              <w:ind w:right="419"/>
              <w:jc w:val="right"/>
              <w:rPr>
                <w:sz w:val="20"/>
              </w:rPr>
            </w:pPr>
            <w:r>
              <w:rPr>
                <w:sz w:val="20"/>
              </w:rPr>
              <w:t>0.3</w:t>
            </w:r>
          </w:p>
        </w:tc>
        <w:tc>
          <w:tcPr>
            <w:tcW w:w="1134" w:type="dxa"/>
            <w:tcBorders>
              <w:top w:val="nil"/>
              <w:bottom w:val="nil"/>
            </w:tcBorders>
          </w:tcPr>
          <w:p w:rsidR="00000000" w:rsidRDefault="00000000">
            <w:pPr>
              <w:ind w:left="134" w:right="277"/>
              <w:jc w:val="right"/>
              <w:rPr>
                <w:sz w:val="20"/>
              </w:rPr>
            </w:pPr>
            <w:r>
              <w:rPr>
                <w:sz w:val="20"/>
              </w:rPr>
              <w:t>3.4</w:t>
            </w:r>
          </w:p>
        </w:tc>
        <w:tc>
          <w:tcPr>
            <w:tcW w:w="1134" w:type="dxa"/>
            <w:tcBorders>
              <w:top w:val="nil"/>
              <w:bottom w:val="nil"/>
            </w:tcBorders>
          </w:tcPr>
          <w:p w:rsidR="00000000" w:rsidRDefault="00000000">
            <w:pPr>
              <w:ind w:right="418"/>
              <w:jc w:val="right"/>
              <w:rPr>
                <w:sz w:val="20"/>
              </w:rPr>
            </w:pPr>
            <w:r>
              <w:rPr>
                <w:sz w:val="20"/>
              </w:rPr>
              <w:t>38.0</w:t>
            </w:r>
          </w:p>
        </w:tc>
        <w:tc>
          <w:tcPr>
            <w:tcW w:w="1417" w:type="dxa"/>
            <w:tcBorders>
              <w:top w:val="nil"/>
              <w:bottom w:val="nil"/>
            </w:tcBorders>
          </w:tcPr>
          <w:p w:rsidR="00000000" w:rsidRDefault="00000000">
            <w:pPr>
              <w:jc w:val="center"/>
              <w:rPr>
                <w:sz w:val="20"/>
              </w:rPr>
            </w:pPr>
            <w:r>
              <w:rPr>
                <w:sz w:val="20"/>
              </w:rPr>
              <w:t>27.7</w:t>
            </w:r>
          </w:p>
        </w:tc>
        <w:tc>
          <w:tcPr>
            <w:tcW w:w="851" w:type="dxa"/>
            <w:tcBorders>
              <w:top w:val="nil"/>
              <w:bottom w:val="nil"/>
            </w:tcBorders>
          </w:tcPr>
          <w:p w:rsidR="00000000" w:rsidRDefault="00000000">
            <w:pPr>
              <w:jc w:val="center"/>
              <w:rPr>
                <w:sz w:val="20"/>
              </w:rPr>
            </w:pPr>
            <w:r>
              <w:rPr>
                <w:sz w:val="20"/>
              </w:rPr>
              <w:t>30.5</w:t>
            </w:r>
          </w:p>
        </w:tc>
        <w:tc>
          <w:tcPr>
            <w:tcW w:w="1134" w:type="dxa"/>
            <w:tcBorders>
              <w:top w:val="nil"/>
              <w:bottom w:val="nil"/>
            </w:tcBorders>
          </w:tcPr>
          <w:p w:rsidR="00000000" w:rsidRDefault="00000000">
            <w:pPr>
              <w:jc w:val="center"/>
              <w:rPr>
                <w:sz w:val="20"/>
              </w:rPr>
            </w:pPr>
            <w:r>
              <w:rPr>
                <w:sz w:val="20"/>
              </w:rPr>
              <w:t>13.0</w:t>
            </w:r>
          </w:p>
        </w:tc>
      </w:tr>
      <w:tr w:rsidR="00000000">
        <w:tblPrEx>
          <w:tblCellMar>
            <w:top w:w="0" w:type="dxa"/>
            <w:bottom w:w="0" w:type="dxa"/>
          </w:tblCellMar>
        </w:tblPrEx>
        <w:trPr>
          <w:jc w:val="center"/>
        </w:trPr>
        <w:tc>
          <w:tcPr>
            <w:tcW w:w="629" w:type="dxa"/>
            <w:tcBorders>
              <w:top w:val="nil"/>
              <w:bottom w:val="nil"/>
            </w:tcBorders>
          </w:tcPr>
          <w:p w:rsidR="00000000" w:rsidRDefault="00000000">
            <w:pPr>
              <w:rPr>
                <w:sz w:val="20"/>
              </w:rPr>
            </w:pPr>
            <w:r>
              <w:rPr>
                <w:sz w:val="20"/>
              </w:rPr>
              <w:t>1992</w:t>
            </w:r>
          </w:p>
        </w:tc>
        <w:tc>
          <w:tcPr>
            <w:tcW w:w="557" w:type="dxa"/>
            <w:tcBorders>
              <w:top w:val="nil"/>
              <w:bottom w:val="nil"/>
            </w:tcBorders>
          </w:tcPr>
          <w:p w:rsidR="00000000" w:rsidRDefault="00000000">
            <w:pPr>
              <w:jc w:val="center"/>
              <w:rPr>
                <w:sz w:val="20"/>
              </w:rPr>
            </w:pPr>
            <w:r>
              <w:rPr>
                <w:sz w:val="20"/>
              </w:rPr>
              <w:t>9.2</w:t>
            </w:r>
          </w:p>
        </w:tc>
        <w:tc>
          <w:tcPr>
            <w:tcW w:w="709" w:type="dxa"/>
            <w:tcBorders>
              <w:top w:val="nil"/>
              <w:bottom w:val="nil"/>
            </w:tcBorders>
          </w:tcPr>
          <w:p w:rsidR="00000000" w:rsidRDefault="00000000">
            <w:pPr>
              <w:jc w:val="center"/>
              <w:rPr>
                <w:sz w:val="20"/>
              </w:rPr>
            </w:pPr>
            <w:r>
              <w:rPr>
                <w:sz w:val="20"/>
              </w:rPr>
              <w:t>5.3</w:t>
            </w:r>
          </w:p>
        </w:tc>
        <w:tc>
          <w:tcPr>
            <w:tcW w:w="1025" w:type="dxa"/>
            <w:tcBorders>
              <w:top w:val="nil"/>
              <w:bottom w:val="nil"/>
            </w:tcBorders>
          </w:tcPr>
          <w:p w:rsidR="00000000" w:rsidRDefault="00000000">
            <w:pPr>
              <w:ind w:right="284"/>
              <w:jc w:val="right"/>
              <w:rPr>
                <w:sz w:val="20"/>
              </w:rPr>
            </w:pPr>
            <w:r>
              <w:rPr>
                <w:sz w:val="20"/>
              </w:rPr>
              <w:t>3.9</w:t>
            </w:r>
          </w:p>
        </w:tc>
        <w:tc>
          <w:tcPr>
            <w:tcW w:w="1276" w:type="dxa"/>
            <w:tcBorders>
              <w:top w:val="nil"/>
              <w:bottom w:val="nil"/>
            </w:tcBorders>
          </w:tcPr>
          <w:p w:rsidR="00000000" w:rsidRDefault="00000000">
            <w:pPr>
              <w:ind w:right="419"/>
              <w:jc w:val="right"/>
              <w:rPr>
                <w:sz w:val="20"/>
              </w:rPr>
            </w:pPr>
            <w:r>
              <w:rPr>
                <w:sz w:val="20"/>
              </w:rPr>
              <w:t>3.4</w:t>
            </w:r>
          </w:p>
        </w:tc>
        <w:tc>
          <w:tcPr>
            <w:tcW w:w="1134" w:type="dxa"/>
            <w:tcBorders>
              <w:top w:val="nil"/>
              <w:bottom w:val="nil"/>
            </w:tcBorders>
          </w:tcPr>
          <w:p w:rsidR="00000000" w:rsidRDefault="00000000">
            <w:pPr>
              <w:jc w:val="center"/>
              <w:rPr>
                <w:sz w:val="20"/>
              </w:rPr>
            </w:pPr>
            <w:r>
              <w:rPr>
                <w:sz w:val="20"/>
              </w:rPr>
              <w:t>2.4</w:t>
            </w:r>
          </w:p>
        </w:tc>
        <w:tc>
          <w:tcPr>
            <w:tcW w:w="1187" w:type="dxa"/>
            <w:tcBorders>
              <w:top w:val="nil"/>
              <w:bottom w:val="nil"/>
            </w:tcBorders>
          </w:tcPr>
          <w:p w:rsidR="00000000" w:rsidRDefault="00000000">
            <w:pPr>
              <w:ind w:right="419"/>
              <w:jc w:val="right"/>
              <w:rPr>
                <w:sz w:val="20"/>
              </w:rPr>
            </w:pPr>
            <w:r>
              <w:rPr>
                <w:sz w:val="20"/>
              </w:rPr>
              <w:t>(</w:t>
            </w:r>
            <w:r>
              <w:rPr>
                <w:sz w:val="20"/>
              </w:rPr>
              <w:noBreakHyphen/>
              <w:t>)1.6</w:t>
            </w:r>
          </w:p>
        </w:tc>
        <w:tc>
          <w:tcPr>
            <w:tcW w:w="1134" w:type="dxa"/>
            <w:tcBorders>
              <w:top w:val="nil"/>
              <w:bottom w:val="nil"/>
            </w:tcBorders>
          </w:tcPr>
          <w:p w:rsidR="00000000" w:rsidRDefault="00000000">
            <w:pPr>
              <w:ind w:left="134" w:right="277"/>
              <w:jc w:val="right"/>
              <w:rPr>
                <w:sz w:val="20"/>
              </w:rPr>
            </w:pPr>
            <w:r>
              <w:rPr>
                <w:sz w:val="20"/>
              </w:rPr>
              <w:t>1.8</w:t>
            </w:r>
          </w:p>
        </w:tc>
        <w:tc>
          <w:tcPr>
            <w:tcW w:w="1134" w:type="dxa"/>
            <w:tcBorders>
              <w:top w:val="nil"/>
              <w:bottom w:val="nil"/>
            </w:tcBorders>
          </w:tcPr>
          <w:p w:rsidR="00000000" w:rsidRDefault="00000000">
            <w:pPr>
              <w:ind w:right="418"/>
              <w:jc w:val="right"/>
              <w:rPr>
                <w:sz w:val="20"/>
              </w:rPr>
            </w:pPr>
            <w:r>
              <w:rPr>
                <w:sz w:val="20"/>
              </w:rPr>
              <w:t>34.8</w:t>
            </w:r>
          </w:p>
        </w:tc>
        <w:tc>
          <w:tcPr>
            <w:tcW w:w="1417" w:type="dxa"/>
            <w:tcBorders>
              <w:top w:val="nil"/>
              <w:bottom w:val="nil"/>
            </w:tcBorders>
          </w:tcPr>
          <w:p w:rsidR="00000000" w:rsidRDefault="00000000">
            <w:pPr>
              <w:jc w:val="center"/>
              <w:rPr>
                <w:sz w:val="20"/>
              </w:rPr>
            </w:pPr>
            <w:r>
              <w:rPr>
                <w:sz w:val="20"/>
              </w:rPr>
              <w:t>28.7</w:t>
            </w:r>
          </w:p>
        </w:tc>
        <w:tc>
          <w:tcPr>
            <w:tcW w:w="851" w:type="dxa"/>
            <w:tcBorders>
              <w:top w:val="nil"/>
              <w:bottom w:val="nil"/>
            </w:tcBorders>
          </w:tcPr>
          <w:p w:rsidR="00000000" w:rsidRDefault="00000000">
            <w:pPr>
              <w:jc w:val="center"/>
              <w:rPr>
                <w:sz w:val="20"/>
              </w:rPr>
            </w:pPr>
            <w:r>
              <w:rPr>
                <w:sz w:val="20"/>
              </w:rPr>
              <w:t>35.1</w:t>
            </w:r>
          </w:p>
        </w:tc>
        <w:tc>
          <w:tcPr>
            <w:tcW w:w="1134" w:type="dxa"/>
            <w:tcBorders>
              <w:top w:val="nil"/>
              <w:bottom w:val="nil"/>
            </w:tcBorders>
          </w:tcPr>
          <w:p w:rsidR="00000000" w:rsidRDefault="00000000">
            <w:pPr>
              <w:jc w:val="center"/>
              <w:rPr>
                <w:sz w:val="20"/>
              </w:rPr>
            </w:pPr>
            <w:r>
              <w:rPr>
                <w:sz w:val="20"/>
              </w:rPr>
              <w:t>14.5</w:t>
            </w:r>
          </w:p>
        </w:tc>
      </w:tr>
      <w:tr w:rsidR="00000000">
        <w:tblPrEx>
          <w:tblCellMar>
            <w:top w:w="0" w:type="dxa"/>
            <w:bottom w:w="0" w:type="dxa"/>
          </w:tblCellMar>
        </w:tblPrEx>
        <w:trPr>
          <w:jc w:val="center"/>
        </w:trPr>
        <w:tc>
          <w:tcPr>
            <w:tcW w:w="629" w:type="dxa"/>
            <w:tcBorders>
              <w:top w:val="nil"/>
              <w:bottom w:val="nil"/>
            </w:tcBorders>
          </w:tcPr>
          <w:p w:rsidR="00000000" w:rsidRDefault="00000000">
            <w:pPr>
              <w:rPr>
                <w:sz w:val="20"/>
              </w:rPr>
            </w:pPr>
            <w:r>
              <w:rPr>
                <w:sz w:val="20"/>
              </w:rPr>
              <w:t>1993</w:t>
            </w:r>
          </w:p>
        </w:tc>
        <w:tc>
          <w:tcPr>
            <w:tcW w:w="557" w:type="dxa"/>
            <w:tcBorders>
              <w:top w:val="nil"/>
              <w:bottom w:val="nil"/>
            </w:tcBorders>
          </w:tcPr>
          <w:p w:rsidR="00000000" w:rsidRDefault="00000000">
            <w:pPr>
              <w:jc w:val="center"/>
              <w:rPr>
                <w:sz w:val="20"/>
              </w:rPr>
            </w:pPr>
            <w:r>
              <w:rPr>
                <w:sz w:val="20"/>
              </w:rPr>
              <w:t>9,0</w:t>
            </w:r>
          </w:p>
        </w:tc>
        <w:tc>
          <w:tcPr>
            <w:tcW w:w="709" w:type="dxa"/>
            <w:tcBorders>
              <w:top w:val="nil"/>
              <w:bottom w:val="nil"/>
            </w:tcBorders>
          </w:tcPr>
          <w:p w:rsidR="00000000" w:rsidRDefault="00000000">
            <w:pPr>
              <w:jc w:val="center"/>
              <w:rPr>
                <w:sz w:val="20"/>
              </w:rPr>
            </w:pPr>
            <w:r>
              <w:rPr>
                <w:sz w:val="20"/>
              </w:rPr>
              <w:t>5.9</w:t>
            </w:r>
          </w:p>
        </w:tc>
        <w:tc>
          <w:tcPr>
            <w:tcW w:w="1025" w:type="dxa"/>
            <w:tcBorders>
              <w:top w:val="nil"/>
              <w:bottom w:val="nil"/>
            </w:tcBorders>
          </w:tcPr>
          <w:p w:rsidR="00000000" w:rsidRDefault="00000000">
            <w:pPr>
              <w:ind w:right="284"/>
              <w:jc w:val="right"/>
              <w:rPr>
                <w:sz w:val="20"/>
              </w:rPr>
            </w:pPr>
            <w:r>
              <w:rPr>
                <w:sz w:val="20"/>
              </w:rPr>
              <w:t>3.1</w:t>
            </w:r>
          </w:p>
        </w:tc>
        <w:tc>
          <w:tcPr>
            <w:tcW w:w="1276" w:type="dxa"/>
            <w:tcBorders>
              <w:top w:val="nil"/>
              <w:bottom w:val="nil"/>
            </w:tcBorders>
          </w:tcPr>
          <w:p w:rsidR="00000000" w:rsidRDefault="00000000">
            <w:pPr>
              <w:ind w:right="419"/>
              <w:jc w:val="right"/>
              <w:rPr>
                <w:sz w:val="20"/>
              </w:rPr>
            </w:pPr>
            <w:r>
              <w:rPr>
                <w:sz w:val="20"/>
              </w:rPr>
              <w:t>2.2</w:t>
            </w:r>
          </w:p>
        </w:tc>
        <w:tc>
          <w:tcPr>
            <w:tcW w:w="1134" w:type="dxa"/>
            <w:tcBorders>
              <w:top w:val="nil"/>
              <w:bottom w:val="nil"/>
            </w:tcBorders>
          </w:tcPr>
          <w:p w:rsidR="00000000" w:rsidRDefault="00000000">
            <w:pPr>
              <w:jc w:val="center"/>
              <w:rPr>
                <w:sz w:val="20"/>
              </w:rPr>
            </w:pPr>
            <w:r>
              <w:rPr>
                <w:sz w:val="20"/>
              </w:rPr>
              <w:t>2.7</w:t>
            </w:r>
          </w:p>
        </w:tc>
        <w:tc>
          <w:tcPr>
            <w:tcW w:w="1187" w:type="dxa"/>
            <w:tcBorders>
              <w:top w:val="nil"/>
              <w:bottom w:val="nil"/>
            </w:tcBorders>
          </w:tcPr>
          <w:p w:rsidR="00000000" w:rsidRDefault="00000000">
            <w:pPr>
              <w:ind w:right="419"/>
              <w:jc w:val="right"/>
              <w:rPr>
                <w:sz w:val="20"/>
              </w:rPr>
            </w:pPr>
            <w:r>
              <w:rPr>
                <w:sz w:val="20"/>
              </w:rPr>
              <w:t>0.1</w:t>
            </w:r>
          </w:p>
        </w:tc>
        <w:tc>
          <w:tcPr>
            <w:tcW w:w="1134" w:type="dxa"/>
            <w:tcBorders>
              <w:top w:val="nil"/>
              <w:bottom w:val="nil"/>
            </w:tcBorders>
          </w:tcPr>
          <w:p w:rsidR="00000000" w:rsidRDefault="00000000">
            <w:pPr>
              <w:ind w:left="134" w:right="277"/>
              <w:jc w:val="right"/>
              <w:rPr>
                <w:sz w:val="20"/>
              </w:rPr>
            </w:pPr>
            <w:r>
              <w:rPr>
                <w:sz w:val="20"/>
              </w:rPr>
              <w:t>0.9</w:t>
            </w:r>
          </w:p>
        </w:tc>
        <w:tc>
          <w:tcPr>
            <w:tcW w:w="1134" w:type="dxa"/>
            <w:tcBorders>
              <w:top w:val="nil"/>
              <w:bottom w:val="nil"/>
            </w:tcBorders>
          </w:tcPr>
          <w:p w:rsidR="00000000" w:rsidRDefault="00000000">
            <w:pPr>
              <w:ind w:right="418"/>
              <w:jc w:val="right"/>
              <w:rPr>
                <w:sz w:val="20"/>
              </w:rPr>
            </w:pPr>
            <w:r>
              <w:rPr>
                <w:sz w:val="20"/>
              </w:rPr>
              <w:t>43.1</w:t>
            </w:r>
          </w:p>
        </w:tc>
        <w:tc>
          <w:tcPr>
            <w:tcW w:w="1417" w:type="dxa"/>
            <w:tcBorders>
              <w:top w:val="nil"/>
              <w:bottom w:val="nil"/>
            </w:tcBorders>
          </w:tcPr>
          <w:p w:rsidR="00000000" w:rsidRDefault="00000000">
            <w:pPr>
              <w:jc w:val="center"/>
              <w:rPr>
                <w:sz w:val="20"/>
              </w:rPr>
            </w:pPr>
            <w:r>
              <w:rPr>
                <w:sz w:val="20"/>
              </w:rPr>
              <w:t>28.6</w:t>
            </w:r>
          </w:p>
        </w:tc>
        <w:tc>
          <w:tcPr>
            <w:tcW w:w="851" w:type="dxa"/>
            <w:tcBorders>
              <w:top w:val="nil"/>
              <w:bottom w:val="nil"/>
            </w:tcBorders>
          </w:tcPr>
          <w:p w:rsidR="00000000" w:rsidRDefault="00000000">
            <w:pPr>
              <w:jc w:val="center"/>
              <w:rPr>
                <w:sz w:val="20"/>
              </w:rPr>
            </w:pPr>
            <w:r>
              <w:rPr>
                <w:sz w:val="20"/>
              </w:rPr>
              <w:t>33.9</w:t>
            </w:r>
          </w:p>
        </w:tc>
        <w:tc>
          <w:tcPr>
            <w:tcW w:w="1134" w:type="dxa"/>
            <w:tcBorders>
              <w:top w:val="nil"/>
              <w:bottom w:val="nil"/>
            </w:tcBorders>
          </w:tcPr>
          <w:p w:rsidR="00000000" w:rsidRDefault="00000000">
            <w:pPr>
              <w:jc w:val="center"/>
              <w:rPr>
                <w:sz w:val="20"/>
              </w:rPr>
            </w:pPr>
            <w:r>
              <w:rPr>
                <w:sz w:val="20"/>
              </w:rPr>
              <w:t>14.9</w:t>
            </w:r>
          </w:p>
        </w:tc>
      </w:tr>
      <w:tr w:rsidR="00000000">
        <w:tblPrEx>
          <w:tblCellMar>
            <w:top w:w="0" w:type="dxa"/>
            <w:bottom w:w="0" w:type="dxa"/>
          </w:tblCellMar>
        </w:tblPrEx>
        <w:trPr>
          <w:jc w:val="center"/>
        </w:trPr>
        <w:tc>
          <w:tcPr>
            <w:tcW w:w="629" w:type="dxa"/>
            <w:tcBorders>
              <w:top w:val="nil"/>
              <w:bottom w:val="nil"/>
            </w:tcBorders>
          </w:tcPr>
          <w:p w:rsidR="00000000" w:rsidRDefault="00000000">
            <w:pPr>
              <w:rPr>
                <w:sz w:val="20"/>
              </w:rPr>
            </w:pPr>
            <w:r>
              <w:rPr>
                <w:sz w:val="20"/>
              </w:rPr>
              <w:t>1994</w:t>
            </w:r>
          </w:p>
        </w:tc>
        <w:tc>
          <w:tcPr>
            <w:tcW w:w="557" w:type="dxa"/>
            <w:tcBorders>
              <w:top w:val="nil"/>
              <w:bottom w:val="nil"/>
            </w:tcBorders>
          </w:tcPr>
          <w:p w:rsidR="00000000" w:rsidRDefault="00000000">
            <w:pPr>
              <w:jc w:val="center"/>
              <w:rPr>
                <w:sz w:val="20"/>
              </w:rPr>
            </w:pPr>
            <w:r>
              <w:rPr>
                <w:sz w:val="20"/>
              </w:rPr>
              <w:t>8.0</w:t>
            </w:r>
          </w:p>
        </w:tc>
        <w:tc>
          <w:tcPr>
            <w:tcW w:w="709" w:type="dxa"/>
            <w:tcBorders>
              <w:top w:val="nil"/>
              <w:bottom w:val="nil"/>
            </w:tcBorders>
          </w:tcPr>
          <w:p w:rsidR="00000000" w:rsidRDefault="00000000">
            <w:pPr>
              <w:jc w:val="center"/>
              <w:rPr>
                <w:sz w:val="20"/>
              </w:rPr>
            </w:pPr>
            <w:r>
              <w:rPr>
                <w:sz w:val="20"/>
              </w:rPr>
              <w:t>6.1</w:t>
            </w:r>
          </w:p>
        </w:tc>
        <w:tc>
          <w:tcPr>
            <w:tcW w:w="1025" w:type="dxa"/>
            <w:tcBorders>
              <w:top w:val="nil"/>
              <w:bottom w:val="nil"/>
            </w:tcBorders>
          </w:tcPr>
          <w:p w:rsidR="00000000" w:rsidRDefault="00000000">
            <w:pPr>
              <w:ind w:right="284"/>
              <w:jc w:val="right"/>
              <w:rPr>
                <w:sz w:val="20"/>
              </w:rPr>
            </w:pPr>
            <w:r>
              <w:rPr>
                <w:sz w:val="20"/>
              </w:rPr>
              <w:t>1.9</w:t>
            </w:r>
          </w:p>
        </w:tc>
        <w:tc>
          <w:tcPr>
            <w:tcW w:w="1276" w:type="dxa"/>
            <w:tcBorders>
              <w:top w:val="nil"/>
              <w:bottom w:val="nil"/>
            </w:tcBorders>
          </w:tcPr>
          <w:p w:rsidR="00000000" w:rsidRDefault="00000000">
            <w:pPr>
              <w:ind w:right="419"/>
              <w:jc w:val="right"/>
              <w:rPr>
                <w:sz w:val="20"/>
              </w:rPr>
            </w:pPr>
            <w:r>
              <w:rPr>
                <w:sz w:val="20"/>
              </w:rPr>
              <w:t>1.1</w:t>
            </w:r>
          </w:p>
        </w:tc>
        <w:tc>
          <w:tcPr>
            <w:tcW w:w="1134" w:type="dxa"/>
            <w:tcBorders>
              <w:top w:val="nil"/>
              <w:bottom w:val="nil"/>
            </w:tcBorders>
          </w:tcPr>
          <w:p w:rsidR="00000000" w:rsidRDefault="00000000">
            <w:pPr>
              <w:jc w:val="center"/>
              <w:rPr>
                <w:sz w:val="20"/>
              </w:rPr>
            </w:pPr>
            <w:r>
              <w:rPr>
                <w:sz w:val="20"/>
              </w:rPr>
              <w:t>1.9</w:t>
            </w:r>
          </w:p>
        </w:tc>
        <w:tc>
          <w:tcPr>
            <w:tcW w:w="1187" w:type="dxa"/>
            <w:tcBorders>
              <w:top w:val="nil"/>
              <w:bottom w:val="nil"/>
            </w:tcBorders>
          </w:tcPr>
          <w:p w:rsidR="00000000" w:rsidRDefault="00000000">
            <w:pPr>
              <w:ind w:right="419"/>
              <w:jc w:val="right"/>
              <w:rPr>
                <w:sz w:val="20"/>
              </w:rPr>
            </w:pPr>
            <w:r>
              <w:rPr>
                <w:sz w:val="20"/>
              </w:rPr>
              <w:t>0.3</w:t>
            </w:r>
          </w:p>
        </w:tc>
        <w:tc>
          <w:tcPr>
            <w:tcW w:w="1134" w:type="dxa"/>
            <w:tcBorders>
              <w:top w:val="nil"/>
              <w:bottom w:val="nil"/>
            </w:tcBorders>
          </w:tcPr>
          <w:p w:rsidR="00000000" w:rsidRDefault="00000000">
            <w:pPr>
              <w:ind w:left="134" w:right="277"/>
              <w:jc w:val="right"/>
              <w:rPr>
                <w:sz w:val="20"/>
              </w:rPr>
            </w:pPr>
            <w:r>
              <w:rPr>
                <w:sz w:val="20"/>
              </w:rPr>
              <w:t>0.5</w:t>
            </w:r>
          </w:p>
        </w:tc>
        <w:tc>
          <w:tcPr>
            <w:tcW w:w="1134" w:type="dxa"/>
            <w:tcBorders>
              <w:top w:val="nil"/>
              <w:bottom w:val="nil"/>
            </w:tcBorders>
          </w:tcPr>
          <w:p w:rsidR="00000000" w:rsidRDefault="00000000">
            <w:pPr>
              <w:ind w:right="418"/>
              <w:jc w:val="right"/>
              <w:rPr>
                <w:sz w:val="20"/>
              </w:rPr>
            </w:pPr>
            <w:r>
              <w:rPr>
                <w:sz w:val="20"/>
              </w:rPr>
              <w:t>38.9</w:t>
            </w:r>
          </w:p>
        </w:tc>
        <w:tc>
          <w:tcPr>
            <w:tcW w:w="1417" w:type="dxa"/>
            <w:tcBorders>
              <w:top w:val="nil"/>
              <w:bottom w:val="nil"/>
            </w:tcBorders>
          </w:tcPr>
          <w:p w:rsidR="00000000" w:rsidRDefault="00000000">
            <w:pPr>
              <w:jc w:val="center"/>
              <w:rPr>
                <w:sz w:val="20"/>
              </w:rPr>
            </w:pPr>
            <w:r>
              <w:rPr>
                <w:sz w:val="20"/>
              </w:rPr>
              <w:t>31.6</w:t>
            </w:r>
          </w:p>
        </w:tc>
        <w:tc>
          <w:tcPr>
            <w:tcW w:w="851" w:type="dxa"/>
            <w:tcBorders>
              <w:top w:val="nil"/>
              <w:bottom w:val="nil"/>
            </w:tcBorders>
          </w:tcPr>
          <w:p w:rsidR="00000000" w:rsidRDefault="00000000">
            <w:pPr>
              <w:jc w:val="center"/>
              <w:rPr>
                <w:sz w:val="20"/>
              </w:rPr>
            </w:pPr>
            <w:r>
              <w:rPr>
                <w:sz w:val="20"/>
              </w:rPr>
              <w:t>27.3</w:t>
            </w:r>
          </w:p>
        </w:tc>
        <w:tc>
          <w:tcPr>
            <w:tcW w:w="1134" w:type="dxa"/>
            <w:tcBorders>
              <w:top w:val="nil"/>
              <w:bottom w:val="nil"/>
            </w:tcBorders>
          </w:tcPr>
          <w:p w:rsidR="00000000" w:rsidRDefault="00000000">
            <w:pPr>
              <w:jc w:val="center"/>
              <w:rPr>
                <w:sz w:val="20"/>
              </w:rPr>
            </w:pPr>
            <w:r>
              <w:rPr>
                <w:sz w:val="20"/>
              </w:rPr>
              <w:t>14.1</w:t>
            </w:r>
          </w:p>
        </w:tc>
      </w:tr>
      <w:tr w:rsidR="00000000">
        <w:tblPrEx>
          <w:tblCellMar>
            <w:top w:w="0" w:type="dxa"/>
            <w:bottom w:w="0" w:type="dxa"/>
          </w:tblCellMar>
        </w:tblPrEx>
        <w:trPr>
          <w:jc w:val="center"/>
        </w:trPr>
        <w:tc>
          <w:tcPr>
            <w:tcW w:w="629" w:type="dxa"/>
            <w:tcBorders>
              <w:top w:val="nil"/>
              <w:bottom w:val="nil"/>
            </w:tcBorders>
          </w:tcPr>
          <w:p w:rsidR="00000000" w:rsidRDefault="00000000">
            <w:pPr>
              <w:rPr>
                <w:sz w:val="20"/>
              </w:rPr>
            </w:pPr>
            <w:r>
              <w:rPr>
                <w:sz w:val="20"/>
              </w:rPr>
              <w:t>1995</w:t>
            </w:r>
          </w:p>
        </w:tc>
        <w:tc>
          <w:tcPr>
            <w:tcW w:w="557" w:type="dxa"/>
            <w:tcBorders>
              <w:top w:val="nil"/>
              <w:bottom w:val="nil"/>
            </w:tcBorders>
          </w:tcPr>
          <w:p w:rsidR="00000000" w:rsidRDefault="00000000">
            <w:pPr>
              <w:jc w:val="center"/>
              <w:rPr>
                <w:sz w:val="20"/>
              </w:rPr>
            </w:pPr>
            <w:r>
              <w:rPr>
                <w:sz w:val="20"/>
              </w:rPr>
              <w:t>6.6</w:t>
            </w:r>
          </w:p>
        </w:tc>
        <w:tc>
          <w:tcPr>
            <w:tcW w:w="709" w:type="dxa"/>
            <w:tcBorders>
              <w:top w:val="nil"/>
              <w:bottom w:val="nil"/>
            </w:tcBorders>
          </w:tcPr>
          <w:p w:rsidR="00000000" w:rsidRDefault="00000000">
            <w:pPr>
              <w:jc w:val="center"/>
              <w:rPr>
                <w:sz w:val="20"/>
              </w:rPr>
            </w:pPr>
            <w:r>
              <w:rPr>
                <w:sz w:val="20"/>
              </w:rPr>
              <w:t>7.1</w:t>
            </w:r>
          </w:p>
        </w:tc>
        <w:tc>
          <w:tcPr>
            <w:tcW w:w="1025" w:type="dxa"/>
            <w:tcBorders>
              <w:top w:val="nil"/>
              <w:bottom w:val="nil"/>
            </w:tcBorders>
          </w:tcPr>
          <w:p w:rsidR="00000000" w:rsidRDefault="00000000">
            <w:pPr>
              <w:ind w:right="284"/>
              <w:jc w:val="right"/>
              <w:rPr>
                <w:sz w:val="20"/>
              </w:rPr>
            </w:pPr>
            <w:r>
              <w:rPr>
                <w:sz w:val="20"/>
              </w:rPr>
              <w:t>(</w:t>
            </w:r>
            <w:r>
              <w:rPr>
                <w:sz w:val="20"/>
              </w:rPr>
              <w:noBreakHyphen/>
              <w:t>)0.5</w:t>
            </w:r>
          </w:p>
        </w:tc>
        <w:tc>
          <w:tcPr>
            <w:tcW w:w="1276" w:type="dxa"/>
            <w:tcBorders>
              <w:top w:val="nil"/>
              <w:bottom w:val="nil"/>
            </w:tcBorders>
          </w:tcPr>
          <w:p w:rsidR="00000000" w:rsidRDefault="00000000">
            <w:pPr>
              <w:ind w:right="419"/>
              <w:jc w:val="right"/>
              <w:rPr>
                <w:sz w:val="20"/>
              </w:rPr>
            </w:pPr>
            <w:r>
              <w:rPr>
                <w:sz w:val="20"/>
              </w:rPr>
              <w:t>(</w:t>
            </w:r>
            <w:r>
              <w:rPr>
                <w:sz w:val="20"/>
              </w:rPr>
              <w:noBreakHyphen/>
              <w:t>)1.4</w:t>
            </w:r>
          </w:p>
        </w:tc>
        <w:tc>
          <w:tcPr>
            <w:tcW w:w="1134" w:type="dxa"/>
            <w:tcBorders>
              <w:top w:val="nil"/>
              <w:bottom w:val="nil"/>
            </w:tcBorders>
          </w:tcPr>
          <w:p w:rsidR="00000000" w:rsidRDefault="00000000">
            <w:pPr>
              <w:jc w:val="center"/>
              <w:rPr>
                <w:sz w:val="20"/>
              </w:rPr>
            </w:pPr>
            <w:r>
              <w:rPr>
                <w:sz w:val="20"/>
              </w:rPr>
              <w:t>1.8</w:t>
            </w:r>
          </w:p>
        </w:tc>
        <w:tc>
          <w:tcPr>
            <w:tcW w:w="1187" w:type="dxa"/>
            <w:tcBorders>
              <w:top w:val="nil"/>
              <w:bottom w:val="nil"/>
            </w:tcBorders>
          </w:tcPr>
          <w:p w:rsidR="00000000" w:rsidRDefault="00000000">
            <w:pPr>
              <w:ind w:right="419"/>
              <w:jc w:val="right"/>
              <w:rPr>
                <w:sz w:val="20"/>
              </w:rPr>
            </w:pPr>
            <w:r>
              <w:rPr>
                <w:sz w:val="20"/>
              </w:rPr>
              <w:t>2.6</w:t>
            </w:r>
          </w:p>
        </w:tc>
        <w:tc>
          <w:tcPr>
            <w:tcW w:w="1134" w:type="dxa"/>
            <w:tcBorders>
              <w:top w:val="nil"/>
              <w:bottom w:val="nil"/>
            </w:tcBorders>
          </w:tcPr>
          <w:p w:rsidR="00000000" w:rsidRDefault="00000000">
            <w:pPr>
              <w:ind w:left="134" w:right="277"/>
              <w:jc w:val="right"/>
              <w:rPr>
                <w:sz w:val="20"/>
              </w:rPr>
            </w:pPr>
            <w:r>
              <w:rPr>
                <w:sz w:val="20"/>
              </w:rPr>
              <w:t>0.6</w:t>
            </w:r>
          </w:p>
        </w:tc>
        <w:tc>
          <w:tcPr>
            <w:tcW w:w="1134" w:type="dxa"/>
            <w:tcBorders>
              <w:top w:val="nil"/>
              <w:bottom w:val="nil"/>
            </w:tcBorders>
          </w:tcPr>
          <w:p w:rsidR="00000000" w:rsidRDefault="00000000">
            <w:pPr>
              <w:ind w:right="418"/>
              <w:jc w:val="right"/>
              <w:rPr>
                <w:sz w:val="20"/>
              </w:rPr>
            </w:pPr>
            <w:r>
              <w:rPr>
                <w:sz w:val="20"/>
              </w:rPr>
              <w:t>46.1</w:t>
            </w:r>
          </w:p>
        </w:tc>
        <w:tc>
          <w:tcPr>
            <w:tcW w:w="1417" w:type="dxa"/>
            <w:tcBorders>
              <w:top w:val="nil"/>
              <w:bottom w:val="nil"/>
            </w:tcBorders>
          </w:tcPr>
          <w:p w:rsidR="00000000" w:rsidRDefault="00000000">
            <w:pPr>
              <w:jc w:val="center"/>
              <w:rPr>
                <w:sz w:val="20"/>
              </w:rPr>
            </w:pPr>
            <w:r>
              <w:rPr>
                <w:sz w:val="20"/>
              </w:rPr>
              <w:t>31.2</w:t>
            </w:r>
          </w:p>
        </w:tc>
        <w:tc>
          <w:tcPr>
            <w:tcW w:w="851" w:type="dxa"/>
            <w:tcBorders>
              <w:top w:val="nil"/>
              <w:bottom w:val="nil"/>
            </w:tcBorders>
          </w:tcPr>
          <w:p w:rsidR="00000000" w:rsidRDefault="00000000">
            <w:pPr>
              <w:jc w:val="center"/>
              <w:rPr>
                <w:sz w:val="20"/>
              </w:rPr>
            </w:pPr>
            <w:r>
              <w:rPr>
                <w:sz w:val="20"/>
              </w:rPr>
              <w:t>22.6</w:t>
            </w:r>
          </w:p>
        </w:tc>
        <w:tc>
          <w:tcPr>
            <w:tcW w:w="1134" w:type="dxa"/>
            <w:tcBorders>
              <w:top w:val="nil"/>
              <w:bottom w:val="nil"/>
            </w:tcBorders>
          </w:tcPr>
          <w:p w:rsidR="00000000" w:rsidRDefault="00000000">
            <w:pPr>
              <w:jc w:val="center"/>
              <w:rPr>
                <w:sz w:val="20"/>
              </w:rPr>
            </w:pPr>
            <w:r>
              <w:rPr>
                <w:sz w:val="20"/>
              </w:rPr>
              <w:t>13.7</w:t>
            </w:r>
          </w:p>
        </w:tc>
      </w:tr>
      <w:tr w:rsidR="00000000">
        <w:tblPrEx>
          <w:tblCellMar>
            <w:top w:w="0" w:type="dxa"/>
            <w:bottom w:w="0" w:type="dxa"/>
          </w:tblCellMar>
        </w:tblPrEx>
        <w:trPr>
          <w:jc w:val="center"/>
        </w:trPr>
        <w:tc>
          <w:tcPr>
            <w:tcW w:w="629" w:type="dxa"/>
            <w:tcBorders>
              <w:top w:val="nil"/>
              <w:bottom w:val="nil"/>
            </w:tcBorders>
          </w:tcPr>
          <w:p w:rsidR="00000000" w:rsidRDefault="00000000">
            <w:pPr>
              <w:rPr>
                <w:sz w:val="20"/>
              </w:rPr>
            </w:pPr>
            <w:r>
              <w:rPr>
                <w:sz w:val="20"/>
              </w:rPr>
              <w:t>1996</w:t>
            </w:r>
          </w:p>
        </w:tc>
        <w:tc>
          <w:tcPr>
            <w:tcW w:w="557" w:type="dxa"/>
            <w:tcBorders>
              <w:top w:val="nil"/>
              <w:bottom w:val="nil"/>
            </w:tcBorders>
          </w:tcPr>
          <w:p w:rsidR="00000000" w:rsidRDefault="00000000">
            <w:pPr>
              <w:jc w:val="center"/>
              <w:rPr>
                <w:sz w:val="20"/>
              </w:rPr>
            </w:pPr>
            <w:r>
              <w:rPr>
                <w:sz w:val="20"/>
              </w:rPr>
              <w:t>6.2</w:t>
            </w:r>
          </w:p>
        </w:tc>
        <w:tc>
          <w:tcPr>
            <w:tcW w:w="709" w:type="dxa"/>
            <w:tcBorders>
              <w:top w:val="nil"/>
              <w:bottom w:val="nil"/>
            </w:tcBorders>
          </w:tcPr>
          <w:p w:rsidR="00000000" w:rsidRDefault="00000000">
            <w:pPr>
              <w:jc w:val="center"/>
              <w:rPr>
                <w:sz w:val="20"/>
              </w:rPr>
            </w:pPr>
            <w:r>
              <w:rPr>
                <w:sz w:val="20"/>
              </w:rPr>
              <w:t>6.9</w:t>
            </w:r>
          </w:p>
        </w:tc>
        <w:tc>
          <w:tcPr>
            <w:tcW w:w="1025" w:type="dxa"/>
            <w:tcBorders>
              <w:top w:val="nil"/>
              <w:bottom w:val="nil"/>
            </w:tcBorders>
          </w:tcPr>
          <w:p w:rsidR="00000000" w:rsidRDefault="00000000">
            <w:pPr>
              <w:ind w:right="284"/>
              <w:jc w:val="right"/>
              <w:rPr>
                <w:sz w:val="20"/>
              </w:rPr>
            </w:pPr>
            <w:r>
              <w:rPr>
                <w:sz w:val="20"/>
              </w:rPr>
              <w:t>(</w:t>
            </w:r>
            <w:r>
              <w:rPr>
                <w:sz w:val="20"/>
              </w:rPr>
              <w:noBreakHyphen/>
              <w:t>)0.7</w:t>
            </w:r>
          </w:p>
        </w:tc>
        <w:tc>
          <w:tcPr>
            <w:tcW w:w="1276" w:type="dxa"/>
            <w:tcBorders>
              <w:top w:val="nil"/>
              <w:bottom w:val="nil"/>
            </w:tcBorders>
          </w:tcPr>
          <w:p w:rsidR="00000000" w:rsidRDefault="00000000">
            <w:pPr>
              <w:ind w:right="419"/>
              <w:jc w:val="right"/>
              <w:rPr>
                <w:sz w:val="20"/>
              </w:rPr>
            </w:pPr>
            <w:r>
              <w:rPr>
                <w:sz w:val="20"/>
              </w:rPr>
              <w:t>(</w:t>
            </w:r>
            <w:r>
              <w:rPr>
                <w:sz w:val="20"/>
              </w:rPr>
              <w:noBreakHyphen/>
              <w:t>)1.6</w:t>
            </w:r>
          </w:p>
        </w:tc>
        <w:tc>
          <w:tcPr>
            <w:tcW w:w="1134" w:type="dxa"/>
            <w:tcBorders>
              <w:top w:val="nil"/>
              <w:bottom w:val="nil"/>
            </w:tcBorders>
          </w:tcPr>
          <w:p w:rsidR="00000000" w:rsidRDefault="00000000">
            <w:pPr>
              <w:jc w:val="center"/>
              <w:rPr>
                <w:sz w:val="20"/>
              </w:rPr>
            </w:pPr>
            <w:r>
              <w:rPr>
                <w:sz w:val="20"/>
              </w:rPr>
              <w:t>1.7</w:t>
            </w:r>
          </w:p>
        </w:tc>
        <w:tc>
          <w:tcPr>
            <w:tcW w:w="1187" w:type="dxa"/>
            <w:tcBorders>
              <w:top w:val="nil"/>
              <w:bottom w:val="nil"/>
            </w:tcBorders>
          </w:tcPr>
          <w:p w:rsidR="00000000" w:rsidRDefault="00000000">
            <w:pPr>
              <w:ind w:right="419"/>
              <w:jc w:val="right"/>
              <w:rPr>
                <w:sz w:val="20"/>
              </w:rPr>
            </w:pPr>
            <w:r>
              <w:rPr>
                <w:sz w:val="20"/>
              </w:rPr>
              <w:t>3.0</w:t>
            </w:r>
          </w:p>
        </w:tc>
        <w:tc>
          <w:tcPr>
            <w:tcW w:w="1134" w:type="dxa"/>
            <w:tcBorders>
              <w:top w:val="nil"/>
              <w:bottom w:val="nil"/>
            </w:tcBorders>
          </w:tcPr>
          <w:p w:rsidR="00000000" w:rsidRDefault="00000000">
            <w:pPr>
              <w:ind w:left="134" w:right="277"/>
              <w:jc w:val="right"/>
              <w:rPr>
                <w:sz w:val="20"/>
              </w:rPr>
            </w:pPr>
            <w:r>
              <w:rPr>
                <w:sz w:val="20"/>
              </w:rPr>
              <w:t>(</w:t>
            </w:r>
            <w:r>
              <w:rPr>
                <w:sz w:val="20"/>
              </w:rPr>
              <w:noBreakHyphen/>
              <w:t>)1.4</w:t>
            </w:r>
          </w:p>
        </w:tc>
        <w:tc>
          <w:tcPr>
            <w:tcW w:w="1134" w:type="dxa"/>
            <w:tcBorders>
              <w:top w:val="nil"/>
              <w:bottom w:val="nil"/>
            </w:tcBorders>
          </w:tcPr>
          <w:p w:rsidR="00000000" w:rsidRDefault="00000000">
            <w:pPr>
              <w:ind w:right="418"/>
              <w:jc w:val="right"/>
              <w:rPr>
                <w:sz w:val="20"/>
              </w:rPr>
            </w:pPr>
            <w:r>
              <w:rPr>
                <w:sz w:val="20"/>
              </w:rPr>
              <w:t>56.9</w:t>
            </w:r>
          </w:p>
        </w:tc>
        <w:tc>
          <w:tcPr>
            <w:tcW w:w="1417" w:type="dxa"/>
            <w:tcBorders>
              <w:top w:val="nil"/>
              <w:bottom w:val="nil"/>
            </w:tcBorders>
          </w:tcPr>
          <w:p w:rsidR="00000000" w:rsidRDefault="00000000">
            <w:pPr>
              <w:jc w:val="center"/>
              <w:rPr>
                <w:sz w:val="20"/>
              </w:rPr>
            </w:pPr>
            <w:r>
              <w:rPr>
                <w:sz w:val="20"/>
              </w:rPr>
              <w:t>28.3</w:t>
            </w:r>
          </w:p>
        </w:tc>
        <w:tc>
          <w:tcPr>
            <w:tcW w:w="851" w:type="dxa"/>
            <w:tcBorders>
              <w:top w:val="nil"/>
              <w:bottom w:val="nil"/>
            </w:tcBorders>
          </w:tcPr>
          <w:p w:rsidR="00000000" w:rsidRDefault="00000000">
            <w:pPr>
              <w:jc w:val="center"/>
              <w:rPr>
                <w:sz w:val="20"/>
              </w:rPr>
            </w:pPr>
            <w:r>
              <w:rPr>
                <w:sz w:val="20"/>
              </w:rPr>
              <w:t>23.2</w:t>
            </w:r>
          </w:p>
        </w:tc>
        <w:tc>
          <w:tcPr>
            <w:tcW w:w="1134" w:type="dxa"/>
            <w:tcBorders>
              <w:top w:val="nil"/>
              <w:bottom w:val="nil"/>
            </w:tcBorders>
          </w:tcPr>
          <w:p w:rsidR="00000000" w:rsidRDefault="00000000">
            <w:pPr>
              <w:jc w:val="center"/>
              <w:rPr>
                <w:sz w:val="20"/>
              </w:rPr>
            </w:pPr>
            <w:r>
              <w:rPr>
                <w:sz w:val="20"/>
              </w:rPr>
              <w:t>13.0</w:t>
            </w:r>
          </w:p>
        </w:tc>
      </w:tr>
      <w:tr w:rsidR="00000000">
        <w:tblPrEx>
          <w:tblCellMar>
            <w:top w:w="0" w:type="dxa"/>
            <w:bottom w:w="0" w:type="dxa"/>
          </w:tblCellMar>
        </w:tblPrEx>
        <w:trPr>
          <w:jc w:val="center"/>
        </w:trPr>
        <w:tc>
          <w:tcPr>
            <w:tcW w:w="629" w:type="dxa"/>
            <w:tcBorders>
              <w:top w:val="nil"/>
              <w:bottom w:val="nil"/>
            </w:tcBorders>
          </w:tcPr>
          <w:p w:rsidR="00000000" w:rsidRDefault="00000000">
            <w:pPr>
              <w:rPr>
                <w:sz w:val="20"/>
              </w:rPr>
            </w:pPr>
            <w:r>
              <w:rPr>
                <w:sz w:val="20"/>
              </w:rPr>
              <w:t>1997</w:t>
            </w:r>
          </w:p>
        </w:tc>
        <w:tc>
          <w:tcPr>
            <w:tcW w:w="557" w:type="dxa"/>
            <w:tcBorders>
              <w:top w:val="nil"/>
              <w:bottom w:val="nil"/>
            </w:tcBorders>
          </w:tcPr>
          <w:p w:rsidR="00000000" w:rsidRDefault="00000000">
            <w:pPr>
              <w:jc w:val="center"/>
              <w:rPr>
                <w:sz w:val="20"/>
              </w:rPr>
            </w:pPr>
            <w:r>
              <w:rPr>
                <w:sz w:val="20"/>
              </w:rPr>
              <w:t>6.6</w:t>
            </w:r>
          </w:p>
        </w:tc>
        <w:tc>
          <w:tcPr>
            <w:tcW w:w="709" w:type="dxa"/>
            <w:tcBorders>
              <w:top w:val="nil"/>
              <w:bottom w:val="nil"/>
            </w:tcBorders>
          </w:tcPr>
          <w:p w:rsidR="00000000" w:rsidRDefault="00000000">
            <w:pPr>
              <w:jc w:val="center"/>
              <w:rPr>
                <w:sz w:val="20"/>
              </w:rPr>
            </w:pPr>
            <w:r>
              <w:rPr>
                <w:sz w:val="20"/>
              </w:rPr>
              <w:t>7.6</w:t>
            </w:r>
          </w:p>
        </w:tc>
        <w:tc>
          <w:tcPr>
            <w:tcW w:w="1025" w:type="dxa"/>
            <w:tcBorders>
              <w:top w:val="nil"/>
              <w:bottom w:val="nil"/>
            </w:tcBorders>
          </w:tcPr>
          <w:p w:rsidR="00000000" w:rsidRDefault="00000000">
            <w:pPr>
              <w:ind w:right="284"/>
              <w:jc w:val="right"/>
              <w:rPr>
                <w:sz w:val="20"/>
              </w:rPr>
            </w:pPr>
            <w:r>
              <w:rPr>
                <w:sz w:val="20"/>
              </w:rPr>
              <w:t>(</w:t>
            </w:r>
            <w:r>
              <w:rPr>
                <w:sz w:val="20"/>
              </w:rPr>
              <w:noBreakHyphen/>
              <w:t>)1.0</w:t>
            </w:r>
          </w:p>
        </w:tc>
        <w:tc>
          <w:tcPr>
            <w:tcW w:w="1276" w:type="dxa"/>
            <w:tcBorders>
              <w:top w:val="nil"/>
              <w:bottom w:val="nil"/>
            </w:tcBorders>
          </w:tcPr>
          <w:p w:rsidR="00000000" w:rsidRDefault="00000000">
            <w:pPr>
              <w:ind w:right="419"/>
              <w:jc w:val="right"/>
              <w:rPr>
                <w:sz w:val="20"/>
              </w:rPr>
            </w:pPr>
            <w:r>
              <w:rPr>
                <w:sz w:val="20"/>
              </w:rPr>
              <w:t>(</w:t>
            </w:r>
            <w:r>
              <w:rPr>
                <w:sz w:val="20"/>
              </w:rPr>
              <w:noBreakHyphen/>
              <w:t>)2.2</w:t>
            </w:r>
          </w:p>
        </w:tc>
        <w:tc>
          <w:tcPr>
            <w:tcW w:w="1134" w:type="dxa"/>
            <w:tcBorders>
              <w:top w:val="nil"/>
              <w:bottom w:val="nil"/>
            </w:tcBorders>
          </w:tcPr>
          <w:p w:rsidR="00000000" w:rsidRDefault="00000000">
            <w:pPr>
              <w:jc w:val="center"/>
              <w:rPr>
                <w:sz w:val="20"/>
              </w:rPr>
            </w:pPr>
            <w:r>
              <w:rPr>
                <w:sz w:val="20"/>
              </w:rPr>
              <w:t>2.2</w:t>
            </w:r>
          </w:p>
        </w:tc>
        <w:tc>
          <w:tcPr>
            <w:tcW w:w="1187" w:type="dxa"/>
            <w:tcBorders>
              <w:top w:val="nil"/>
              <w:bottom w:val="nil"/>
            </w:tcBorders>
          </w:tcPr>
          <w:p w:rsidR="00000000" w:rsidRDefault="00000000">
            <w:pPr>
              <w:ind w:right="419"/>
              <w:jc w:val="right"/>
              <w:rPr>
                <w:sz w:val="20"/>
              </w:rPr>
            </w:pPr>
            <w:r>
              <w:rPr>
                <w:sz w:val="20"/>
              </w:rPr>
              <w:t>4.2</w:t>
            </w:r>
          </w:p>
        </w:tc>
        <w:tc>
          <w:tcPr>
            <w:tcW w:w="1134" w:type="dxa"/>
            <w:tcBorders>
              <w:top w:val="nil"/>
              <w:bottom w:val="nil"/>
            </w:tcBorders>
          </w:tcPr>
          <w:p w:rsidR="00000000" w:rsidRDefault="00000000">
            <w:pPr>
              <w:ind w:left="134" w:right="277"/>
              <w:jc w:val="right"/>
              <w:rPr>
                <w:sz w:val="20"/>
              </w:rPr>
            </w:pPr>
            <w:r>
              <w:rPr>
                <w:sz w:val="20"/>
              </w:rPr>
              <w:t>(</w:t>
            </w:r>
            <w:r>
              <w:rPr>
                <w:sz w:val="20"/>
              </w:rPr>
              <w:noBreakHyphen/>
              <w:t>)2.8</w:t>
            </w:r>
          </w:p>
        </w:tc>
        <w:tc>
          <w:tcPr>
            <w:tcW w:w="1134" w:type="dxa"/>
            <w:tcBorders>
              <w:top w:val="nil"/>
              <w:bottom w:val="nil"/>
            </w:tcBorders>
          </w:tcPr>
          <w:p w:rsidR="00000000" w:rsidRDefault="00000000">
            <w:pPr>
              <w:ind w:right="418"/>
              <w:jc w:val="right"/>
              <w:rPr>
                <w:sz w:val="20"/>
              </w:rPr>
            </w:pPr>
            <w:r>
              <w:rPr>
                <w:sz w:val="20"/>
              </w:rPr>
              <w:t>76.3</w:t>
            </w:r>
          </w:p>
        </w:tc>
        <w:tc>
          <w:tcPr>
            <w:tcW w:w="1417" w:type="dxa"/>
            <w:tcBorders>
              <w:top w:val="nil"/>
              <w:bottom w:val="nil"/>
            </w:tcBorders>
          </w:tcPr>
          <w:p w:rsidR="00000000" w:rsidRDefault="00000000">
            <w:pPr>
              <w:jc w:val="center"/>
              <w:rPr>
                <w:sz w:val="20"/>
              </w:rPr>
            </w:pPr>
            <w:r>
              <w:rPr>
                <w:sz w:val="20"/>
              </w:rPr>
              <w:t>28.7</w:t>
            </w:r>
          </w:p>
        </w:tc>
        <w:tc>
          <w:tcPr>
            <w:tcW w:w="851" w:type="dxa"/>
            <w:tcBorders>
              <w:top w:val="nil"/>
              <w:bottom w:val="nil"/>
            </w:tcBorders>
          </w:tcPr>
          <w:p w:rsidR="00000000" w:rsidRDefault="00000000">
            <w:pPr>
              <w:jc w:val="center"/>
              <w:rPr>
                <w:sz w:val="20"/>
              </w:rPr>
            </w:pPr>
            <w:r>
              <w:rPr>
                <w:sz w:val="20"/>
              </w:rPr>
              <w:t>24.9</w:t>
            </w:r>
          </w:p>
        </w:tc>
        <w:tc>
          <w:tcPr>
            <w:tcW w:w="1134" w:type="dxa"/>
            <w:tcBorders>
              <w:top w:val="nil"/>
              <w:bottom w:val="nil"/>
            </w:tcBorders>
          </w:tcPr>
          <w:p w:rsidR="00000000" w:rsidRDefault="00000000">
            <w:pPr>
              <w:jc w:val="center"/>
              <w:rPr>
                <w:sz w:val="20"/>
              </w:rPr>
            </w:pPr>
            <w:r>
              <w:rPr>
                <w:sz w:val="20"/>
              </w:rPr>
              <w:t>14.2</w:t>
            </w:r>
          </w:p>
        </w:tc>
      </w:tr>
      <w:tr w:rsidR="00000000">
        <w:tblPrEx>
          <w:tblCellMar>
            <w:top w:w="0" w:type="dxa"/>
            <w:bottom w:w="0" w:type="dxa"/>
          </w:tblCellMar>
        </w:tblPrEx>
        <w:trPr>
          <w:jc w:val="center"/>
        </w:trPr>
        <w:tc>
          <w:tcPr>
            <w:tcW w:w="629" w:type="dxa"/>
            <w:tcBorders>
              <w:top w:val="nil"/>
              <w:bottom w:val="nil"/>
            </w:tcBorders>
          </w:tcPr>
          <w:p w:rsidR="00000000" w:rsidRDefault="00000000">
            <w:pPr>
              <w:rPr>
                <w:sz w:val="20"/>
              </w:rPr>
            </w:pPr>
            <w:r>
              <w:rPr>
                <w:sz w:val="20"/>
              </w:rPr>
              <w:t>1998*</w:t>
            </w:r>
          </w:p>
        </w:tc>
        <w:tc>
          <w:tcPr>
            <w:tcW w:w="557" w:type="dxa"/>
            <w:tcBorders>
              <w:top w:val="nil"/>
              <w:bottom w:val="nil"/>
            </w:tcBorders>
          </w:tcPr>
          <w:p w:rsidR="00000000" w:rsidRDefault="00000000">
            <w:pPr>
              <w:jc w:val="center"/>
              <w:rPr>
                <w:sz w:val="20"/>
              </w:rPr>
            </w:pPr>
            <w:r>
              <w:rPr>
                <w:sz w:val="20"/>
              </w:rPr>
              <w:t>6.6</w:t>
            </w:r>
          </w:p>
        </w:tc>
        <w:tc>
          <w:tcPr>
            <w:tcW w:w="709" w:type="dxa"/>
            <w:tcBorders>
              <w:top w:val="nil"/>
              <w:bottom w:val="nil"/>
            </w:tcBorders>
          </w:tcPr>
          <w:p w:rsidR="00000000" w:rsidRDefault="00000000">
            <w:pPr>
              <w:jc w:val="center"/>
              <w:rPr>
                <w:sz w:val="20"/>
              </w:rPr>
            </w:pPr>
            <w:r>
              <w:rPr>
                <w:sz w:val="20"/>
              </w:rPr>
              <w:t>7.4</w:t>
            </w:r>
          </w:p>
        </w:tc>
        <w:tc>
          <w:tcPr>
            <w:tcW w:w="1025" w:type="dxa"/>
            <w:tcBorders>
              <w:top w:val="nil"/>
              <w:bottom w:val="nil"/>
            </w:tcBorders>
          </w:tcPr>
          <w:p w:rsidR="00000000" w:rsidRDefault="00000000">
            <w:pPr>
              <w:ind w:right="284"/>
              <w:jc w:val="right"/>
              <w:rPr>
                <w:sz w:val="20"/>
              </w:rPr>
            </w:pPr>
            <w:r>
              <w:rPr>
                <w:sz w:val="20"/>
              </w:rPr>
              <w:t>(</w:t>
            </w:r>
            <w:r>
              <w:rPr>
                <w:sz w:val="20"/>
              </w:rPr>
              <w:noBreakHyphen/>
              <w:t>)0.9</w:t>
            </w:r>
          </w:p>
        </w:tc>
        <w:tc>
          <w:tcPr>
            <w:tcW w:w="1276" w:type="dxa"/>
            <w:tcBorders>
              <w:top w:val="nil"/>
              <w:bottom w:val="nil"/>
            </w:tcBorders>
          </w:tcPr>
          <w:p w:rsidR="00000000" w:rsidRDefault="00000000">
            <w:pPr>
              <w:ind w:right="419"/>
              <w:jc w:val="right"/>
              <w:rPr>
                <w:sz w:val="20"/>
              </w:rPr>
            </w:pPr>
            <w:r>
              <w:rPr>
                <w:sz w:val="20"/>
              </w:rPr>
              <w:t>(</w:t>
            </w:r>
            <w:r>
              <w:rPr>
                <w:sz w:val="20"/>
              </w:rPr>
              <w:noBreakHyphen/>
              <w:t>)1.9</w:t>
            </w:r>
          </w:p>
        </w:tc>
        <w:tc>
          <w:tcPr>
            <w:tcW w:w="1134" w:type="dxa"/>
            <w:tcBorders>
              <w:top w:val="nil"/>
              <w:bottom w:val="nil"/>
            </w:tcBorders>
          </w:tcPr>
          <w:p w:rsidR="00000000" w:rsidRDefault="00000000">
            <w:pPr>
              <w:jc w:val="center"/>
              <w:rPr>
                <w:sz w:val="20"/>
              </w:rPr>
            </w:pPr>
            <w:r>
              <w:rPr>
                <w:sz w:val="20"/>
              </w:rPr>
              <w:t>2.7</w:t>
            </w:r>
          </w:p>
        </w:tc>
        <w:tc>
          <w:tcPr>
            <w:tcW w:w="1187" w:type="dxa"/>
            <w:tcBorders>
              <w:top w:val="nil"/>
              <w:bottom w:val="nil"/>
            </w:tcBorders>
          </w:tcPr>
          <w:p w:rsidR="00000000" w:rsidRDefault="00000000">
            <w:pPr>
              <w:ind w:right="419"/>
              <w:jc w:val="right"/>
              <w:rPr>
                <w:sz w:val="20"/>
              </w:rPr>
            </w:pPr>
            <w:r>
              <w:rPr>
                <w:sz w:val="20"/>
              </w:rPr>
              <w:t>4.3</w:t>
            </w:r>
          </w:p>
        </w:tc>
        <w:tc>
          <w:tcPr>
            <w:tcW w:w="1134" w:type="dxa"/>
            <w:tcBorders>
              <w:top w:val="nil"/>
              <w:bottom w:val="nil"/>
            </w:tcBorders>
          </w:tcPr>
          <w:p w:rsidR="00000000" w:rsidRDefault="00000000">
            <w:pPr>
              <w:ind w:left="134" w:right="277"/>
              <w:jc w:val="right"/>
              <w:rPr>
                <w:sz w:val="20"/>
              </w:rPr>
            </w:pPr>
            <w:r>
              <w:rPr>
                <w:sz w:val="20"/>
              </w:rPr>
              <w:t>(</w:t>
            </w:r>
            <w:r>
              <w:rPr>
                <w:sz w:val="20"/>
              </w:rPr>
              <w:noBreakHyphen/>
              <w:t>)4.0</w:t>
            </w:r>
          </w:p>
        </w:tc>
        <w:tc>
          <w:tcPr>
            <w:tcW w:w="1134" w:type="dxa"/>
            <w:tcBorders>
              <w:top w:val="nil"/>
              <w:bottom w:val="nil"/>
            </w:tcBorders>
          </w:tcPr>
          <w:p w:rsidR="00000000" w:rsidRDefault="00000000">
            <w:pPr>
              <w:ind w:right="418"/>
              <w:jc w:val="right"/>
              <w:rPr>
                <w:sz w:val="20"/>
              </w:rPr>
            </w:pPr>
            <w:r>
              <w:rPr>
                <w:sz w:val="20"/>
              </w:rPr>
              <w:t>96.7</w:t>
            </w:r>
          </w:p>
        </w:tc>
        <w:tc>
          <w:tcPr>
            <w:tcW w:w="1417" w:type="dxa"/>
            <w:tcBorders>
              <w:top w:val="nil"/>
              <w:bottom w:val="nil"/>
            </w:tcBorders>
          </w:tcPr>
          <w:p w:rsidR="00000000" w:rsidRDefault="00000000">
            <w:pPr>
              <w:jc w:val="center"/>
              <w:rPr>
                <w:sz w:val="20"/>
              </w:rPr>
            </w:pPr>
            <w:r>
              <w:rPr>
                <w:sz w:val="20"/>
              </w:rPr>
              <w:t>23.9</w:t>
            </w:r>
          </w:p>
        </w:tc>
        <w:tc>
          <w:tcPr>
            <w:tcW w:w="851" w:type="dxa"/>
            <w:tcBorders>
              <w:top w:val="nil"/>
              <w:bottom w:val="nil"/>
            </w:tcBorders>
          </w:tcPr>
          <w:p w:rsidR="00000000" w:rsidRDefault="00000000">
            <w:pPr>
              <w:jc w:val="center"/>
              <w:rPr>
                <w:sz w:val="20"/>
              </w:rPr>
            </w:pPr>
            <w:r>
              <w:rPr>
                <w:sz w:val="20"/>
              </w:rPr>
              <w:t>30.2</w:t>
            </w:r>
          </w:p>
        </w:tc>
        <w:tc>
          <w:tcPr>
            <w:tcW w:w="1134" w:type="dxa"/>
            <w:tcBorders>
              <w:top w:val="nil"/>
              <w:bottom w:val="nil"/>
            </w:tcBorders>
          </w:tcPr>
          <w:p w:rsidR="00000000" w:rsidRDefault="00000000">
            <w:pPr>
              <w:jc w:val="center"/>
              <w:rPr>
                <w:sz w:val="20"/>
              </w:rPr>
            </w:pPr>
            <w:r>
              <w:rPr>
                <w:sz w:val="20"/>
              </w:rPr>
              <w:t>14.0</w:t>
            </w:r>
          </w:p>
        </w:tc>
      </w:tr>
      <w:tr w:rsidR="00000000">
        <w:tblPrEx>
          <w:tblCellMar>
            <w:top w:w="0" w:type="dxa"/>
            <w:bottom w:w="0" w:type="dxa"/>
          </w:tblCellMar>
        </w:tblPrEx>
        <w:trPr>
          <w:jc w:val="center"/>
        </w:trPr>
        <w:tc>
          <w:tcPr>
            <w:tcW w:w="629" w:type="dxa"/>
            <w:tcBorders>
              <w:top w:val="nil"/>
            </w:tcBorders>
          </w:tcPr>
          <w:p w:rsidR="00000000" w:rsidRDefault="00000000">
            <w:pPr>
              <w:rPr>
                <w:sz w:val="20"/>
              </w:rPr>
            </w:pPr>
            <w:r>
              <w:rPr>
                <w:sz w:val="20"/>
              </w:rPr>
              <w:t>1999**</w:t>
            </w:r>
          </w:p>
        </w:tc>
        <w:tc>
          <w:tcPr>
            <w:tcW w:w="557" w:type="dxa"/>
            <w:tcBorders>
              <w:top w:val="nil"/>
            </w:tcBorders>
          </w:tcPr>
          <w:p w:rsidR="00000000" w:rsidRDefault="00000000">
            <w:pPr>
              <w:jc w:val="center"/>
              <w:rPr>
                <w:sz w:val="20"/>
              </w:rPr>
            </w:pPr>
            <w:r>
              <w:rPr>
                <w:sz w:val="20"/>
              </w:rPr>
              <w:t>7.7</w:t>
            </w:r>
          </w:p>
        </w:tc>
        <w:tc>
          <w:tcPr>
            <w:tcW w:w="709" w:type="dxa"/>
            <w:tcBorders>
              <w:top w:val="nil"/>
            </w:tcBorders>
          </w:tcPr>
          <w:p w:rsidR="00000000" w:rsidRDefault="00000000">
            <w:pPr>
              <w:jc w:val="center"/>
              <w:rPr>
                <w:sz w:val="20"/>
              </w:rPr>
            </w:pPr>
            <w:r>
              <w:rPr>
                <w:sz w:val="20"/>
              </w:rPr>
              <w:t>8.3</w:t>
            </w:r>
          </w:p>
        </w:tc>
        <w:tc>
          <w:tcPr>
            <w:tcW w:w="1025" w:type="dxa"/>
            <w:tcBorders>
              <w:top w:val="nil"/>
            </w:tcBorders>
          </w:tcPr>
          <w:p w:rsidR="00000000" w:rsidRDefault="00000000">
            <w:pPr>
              <w:ind w:right="284"/>
              <w:jc w:val="right"/>
              <w:rPr>
                <w:sz w:val="20"/>
              </w:rPr>
            </w:pPr>
            <w:r>
              <w:rPr>
                <w:sz w:val="20"/>
              </w:rPr>
              <w:t>(</w:t>
            </w:r>
            <w:r>
              <w:rPr>
                <w:sz w:val="20"/>
              </w:rPr>
              <w:noBreakHyphen/>
              <w:t>)0.6</w:t>
            </w:r>
          </w:p>
        </w:tc>
        <w:tc>
          <w:tcPr>
            <w:tcW w:w="1276" w:type="dxa"/>
            <w:tcBorders>
              <w:top w:val="nil"/>
            </w:tcBorders>
          </w:tcPr>
          <w:p w:rsidR="00000000" w:rsidRDefault="00000000">
            <w:pPr>
              <w:ind w:right="419"/>
              <w:jc w:val="right"/>
              <w:rPr>
                <w:sz w:val="20"/>
              </w:rPr>
            </w:pPr>
            <w:r>
              <w:rPr>
                <w:sz w:val="20"/>
              </w:rPr>
              <w:t>(</w:t>
            </w:r>
            <w:r>
              <w:rPr>
                <w:sz w:val="20"/>
              </w:rPr>
              <w:noBreakHyphen/>
              <w:t>)1.7</w:t>
            </w:r>
          </w:p>
        </w:tc>
        <w:tc>
          <w:tcPr>
            <w:tcW w:w="1134" w:type="dxa"/>
            <w:tcBorders>
              <w:top w:val="nil"/>
            </w:tcBorders>
          </w:tcPr>
          <w:p w:rsidR="00000000" w:rsidRDefault="00000000">
            <w:pPr>
              <w:jc w:val="center"/>
              <w:rPr>
                <w:sz w:val="20"/>
              </w:rPr>
            </w:pPr>
            <w:r>
              <w:rPr>
                <w:sz w:val="20"/>
              </w:rPr>
              <w:t>3.5</w:t>
            </w:r>
          </w:p>
        </w:tc>
        <w:tc>
          <w:tcPr>
            <w:tcW w:w="1187" w:type="dxa"/>
            <w:tcBorders>
              <w:top w:val="nil"/>
            </w:tcBorders>
          </w:tcPr>
          <w:p w:rsidR="00000000" w:rsidRDefault="00000000">
            <w:pPr>
              <w:ind w:right="419"/>
              <w:jc w:val="right"/>
              <w:rPr>
                <w:sz w:val="20"/>
              </w:rPr>
            </w:pPr>
            <w:r>
              <w:rPr>
                <w:sz w:val="20"/>
              </w:rPr>
              <w:t>4.8</w:t>
            </w:r>
          </w:p>
        </w:tc>
        <w:tc>
          <w:tcPr>
            <w:tcW w:w="1134" w:type="dxa"/>
            <w:tcBorders>
              <w:top w:val="nil"/>
            </w:tcBorders>
          </w:tcPr>
          <w:p w:rsidR="00000000" w:rsidRDefault="00000000">
            <w:pPr>
              <w:ind w:left="134" w:right="277"/>
              <w:jc w:val="right"/>
              <w:rPr>
                <w:sz w:val="20"/>
              </w:rPr>
            </w:pPr>
            <w:r>
              <w:rPr>
                <w:sz w:val="20"/>
              </w:rPr>
              <w:t>0.5</w:t>
            </w:r>
          </w:p>
        </w:tc>
        <w:tc>
          <w:tcPr>
            <w:tcW w:w="1134" w:type="dxa"/>
            <w:tcBorders>
              <w:top w:val="nil"/>
            </w:tcBorders>
          </w:tcPr>
          <w:p w:rsidR="00000000" w:rsidRDefault="00000000">
            <w:pPr>
              <w:ind w:right="418"/>
              <w:jc w:val="right"/>
              <w:rPr>
                <w:sz w:val="20"/>
              </w:rPr>
            </w:pPr>
            <w:r>
              <w:rPr>
                <w:sz w:val="20"/>
              </w:rPr>
              <w:t>144.7</w:t>
            </w:r>
          </w:p>
        </w:tc>
        <w:tc>
          <w:tcPr>
            <w:tcW w:w="1417" w:type="dxa"/>
            <w:tcBorders>
              <w:top w:val="nil"/>
            </w:tcBorders>
          </w:tcPr>
          <w:p w:rsidR="00000000" w:rsidRDefault="00000000">
            <w:pPr>
              <w:jc w:val="center"/>
              <w:rPr>
                <w:sz w:val="20"/>
              </w:rPr>
            </w:pPr>
            <w:r>
              <w:rPr>
                <w:sz w:val="20"/>
              </w:rPr>
              <w:t>22.6</w:t>
            </w:r>
          </w:p>
        </w:tc>
        <w:tc>
          <w:tcPr>
            <w:tcW w:w="851" w:type="dxa"/>
            <w:tcBorders>
              <w:top w:val="nil"/>
            </w:tcBorders>
          </w:tcPr>
          <w:p w:rsidR="00000000" w:rsidRDefault="00000000">
            <w:pPr>
              <w:jc w:val="center"/>
              <w:rPr>
                <w:sz w:val="20"/>
              </w:rPr>
            </w:pPr>
            <w:r>
              <w:rPr>
                <w:sz w:val="20"/>
              </w:rPr>
              <w:t>37.9</w:t>
            </w:r>
          </w:p>
        </w:tc>
        <w:tc>
          <w:tcPr>
            <w:tcW w:w="1134" w:type="dxa"/>
            <w:tcBorders>
              <w:top w:val="nil"/>
            </w:tcBorders>
          </w:tcPr>
          <w:p w:rsidR="00000000" w:rsidRDefault="00000000">
            <w:pPr>
              <w:jc w:val="center"/>
              <w:rPr>
                <w:sz w:val="20"/>
              </w:rPr>
            </w:pPr>
            <w:r>
              <w:rPr>
                <w:sz w:val="20"/>
              </w:rPr>
              <w:t>16.1</w:t>
            </w:r>
          </w:p>
        </w:tc>
      </w:tr>
    </w:tbl>
    <w:p w:rsidR="00000000" w:rsidRDefault="00000000">
      <w:pPr>
        <w:rPr>
          <w:bCs/>
          <w:spacing w:val="20"/>
          <w:kern w:val="16"/>
          <w:sz w:val="20"/>
        </w:rPr>
      </w:pPr>
    </w:p>
    <w:p w:rsidR="00000000" w:rsidRDefault="00000000">
      <w:pPr>
        <w:rPr>
          <w:kern w:val="16"/>
        </w:rPr>
      </w:pPr>
      <w:r>
        <w:rPr>
          <w:kern w:val="16"/>
        </w:rPr>
        <w:tab/>
      </w:r>
      <w:r>
        <w:rPr>
          <w:kern w:val="16"/>
          <w:u w:val="single"/>
        </w:rPr>
        <w:t>Source</w:t>
      </w:r>
      <w:r>
        <w:rPr>
          <w:kern w:val="16"/>
        </w:rPr>
        <w:t xml:space="preserve">:  Central Bank of Brazil </w:t>
      </w:r>
      <w:r>
        <w:rPr>
          <w:kern w:val="16"/>
        </w:rPr>
        <w:noBreakHyphen/>
        <w:t xml:space="preserve"> BACEN.</w:t>
      </w:r>
    </w:p>
    <w:p w:rsidR="00000000" w:rsidRDefault="00000000">
      <w:pPr>
        <w:rPr>
          <w:kern w:val="16"/>
        </w:rPr>
      </w:pPr>
    </w:p>
    <w:p w:rsidR="00000000" w:rsidRDefault="00000000">
      <w:pPr>
        <w:rPr>
          <w:kern w:val="16"/>
        </w:rPr>
      </w:pPr>
      <w:r>
        <w:rPr>
          <w:kern w:val="16"/>
        </w:rPr>
        <w:tab/>
      </w:r>
      <w:r>
        <w:rPr>
          <w:b/>
          <w:bCs/>
          <w:kern w:val="16"/>
          <w:vertAlign w:val="superscript"/>
        </w:rPr>
        <w:t>1</w:t>
      </w:r>
      <w:r>
        <w:rPr>
          <w:kern w:val="16"/>
        </w:rPr>
        <w:t xml:space="preserve">  Real fund transference abroad is equivalent to the non</w:t>
      </w:r>
      <w:r>
        <w:rPr>
          <w:kern w:val="16"/>
        </w:rPr>
        <w:noBreakHyphen/>
        <w:t>factor balance of goods and services.</w:t>
      </w:r>
    </w:p>
    <w:p w:rsidR="00000000" w:rsidRDefault="00000000">
      <w:pPr>
        <w:rPr>
          <w:kern w:val="16"/>
        </w:rPr>
      </w:pPr>
    </w:p>
    <w:p w:rsidR="00000000" w:rsidRDefault="00000000">
      <w:pPr>
        <w:rPr>
          <w:kern w:val="16"/>
        </w:rPr>
      </w:pPr>
      <w:r>
        <w:rPr>
          <w:kern w:val="16"/>
        </w:rPr>
        <w:tab/>
      </w:r>
      <w:r>
        <w:rPr>
          <w:b/>
          <w:bCs/>
          <w:kern w:val="16"/>
          <w:vertAlign w:val="superscript"/>
        </w:rPr>
        <w:t>2</w:t>
      </w:r>
      <w:r>
        <w:rPr>
          <w:kern w:val="16"/>
        </w:rPr>
        <w:t xml:space="preserve">  Net income sent abroad is equivalent to net payment of factors.</w:t>
      </w:r>
    </w:p>
    <w:p w:rsidR="00000000" w:rsidRDefault="00000000">
      <w:pPr>
        <w:rPr>
          <w:kern w:val="16"/>
        </w:rPr>
      </w:pPr>
    </w:p>
    <w:p w:rsidR="00000000" w:rsidRDefault="00000000">
      <w:pPr>
        <w:rPr>
          <w:kern w:val="16"/>
        </w:rPr>
      </w:pPr>
      <w:r>
        <w:rPr>
          <w:kern w:val="16"/>
        </w:rPr>
        <w:tab/>
      </w:r>
      <w:r>
        <w:rPr>
          <w:b/>
          <w:bCs/>
          <w:kern w:val="16"/>
          <w:vertAlign w:val="superscript"/>
        </w:rPr>
        <w:t>3</w:t>
      </w:r>
      <w:r>
        <w:rPr>
          <w:kern w:val="16"/>
        </w:rPr>
        <w:t xml:space="preserve">  Net foreign saving is equivalent to current factor transactions, </w:t>
      </w:r>
      <w:r>
        <w:rPr>
          <w:kern w:val="16"/>
          <w:u w:val="single"/>
        </w:rPr>
        <w:t>transações correntes fatores</w:t>
      </w:r>
      <w:r>
        <w:rPr>
          <w:kern w:val="16"/>
        </w:rPr>
        <w:t>.</w:t>
      </w:r>
    </w:p>
    <w:p w:rsidR="00000000" w:rsidRDefault="00000000">
      <w:pPr>
        <w:rPr>
          <w:kern w:val="16"/>
        </w:rPr>
      </w:pPr>
    </w:p>
    <w:p w:rsidR="00000000" w:rsidRDefault="00000000">
      <w:pPr>
        <w:rPr>
          <w:kern w:val="16"/>
        </w:rPr>
      </w:pPr>
      <w:r>
        <w:rPr>
          <w:kern w:val="16"/>
        </w:rPr>
        <w:tab/>
      </w:r>
      <w:r>
        <w:rPr>
          <w:b/>
          <w:bCs/>
          <w:kern w:val="16"/>
          <w:vertAlign w:val="superscript"/>
        </w:rPr>
        <w:t>4</w:t>
      </w:r>
      <w:r>
        <w:rPr>
          <w:kern w:val="16"/>
        </w:rPr>
        <w:t xml:space="preserve">  Net transfers abroad are equivalent to the difference between net income sent abroad and net income from funds</w:t>
      </w:r>
    </w:p>
    <w:p w:rsidR="00000000" w:rsidRDefault="00000000">
      <w:pPr>
        <w:rPr>
          <w:kern w:val="16"/>
        </w:rPr>
      </w:pPr>
      <w:r>
        <w:rPr>
          <w:kern w:val="16"/>
        </w:rPr>
        <w:tab/>
        <w:t xml:space="preserve">    (outside of unilateral transfers).</w:t>
      </w:r>
    </w:p>
    <w:p w:rsidR="00000000" w:rsidRDefault="00000000">
      <w:pPr>
        <w:rPr>
          <w:kern w:val="16"/>
        </w:rPr>
      </w:pPr>
    </w:p>
    <w:p w:rsidR="00000000" w:rsidRDefault="00000000">
      <w:pPr>
        <w:rPr>
          <w:kern w:val="16"/>
        </w:rPr>
      </w:pPr>
      <w:r>
        <w:rPr>
          <w:kern w:val="16"/>
        </w:rPr>
        <w:tab/>
      </w:r>
      <w:r>
        <w:rPr>
          <w:b/>
          <w:bCs/>
          <w:kern w:val="16"/>
          <w:vertAlign w:val="superscript"/>
        </w:rPr>
        <w:t>5</w:t>
      </w:r>
      <w:r>
        <w:rPr>
          <w:kern w:val="16"/>
        </w:rPr>
        <w:t xml:space="preserve">  Debt service only covers debt payments and interest rates.</w:t>
      </w:r>
    </w:p>
    <w:p w:rsidR="00000000" w:rsidRDefault="00000000">
      <w:pPr>
        <w:rPr>
          <w:kern w:val="16"/>
        </w:rPr>
      </w:pPr>
    </w:p>
    <w:p w:rsidR="00000000" w:rsidRDefault="00000000">
      <w:pPr>
        <w:rPr>
          <w:kern w:val="16"/>
        </w:rPr>
      </w:pPr>
      <w:r>
        <w:rPr>
          <w:kern w:val="16"/>
        </w:rPr>
        <w:tab/>
        <w:t xml:space="preserve">  *  Preliminary data.</w:t>
      </w:r>
    </w:p>
    <w:p w:rsidR="00000000" w:rsidRDefault="00000000">
      <w:pPr>
        <w:rPr>
          <w:kern w:val="16"/>
        </w:rPr>
      </w:pPr>
    </w:p>
    <w:p w:rsidR="00000000" w:rsidRDefault="00000000">
      <w:pPr>
        <w:rPr>
          <w:kern w:val="16"/>
        </w:rPr>
      </w:pPr>
      <w:r>
        <w:rPr>
          <w:kern w:val="16"/>
        </w:rPr>
        <w:tab/>
        <w:t>**  Accumulated data for the 12 months ending in September.</w:t>
      </w:r>
    </w:p>
    <w:p w:rsidR="00000000" w:rsidRDefault="00000000">
      <w:pPr>
        <w:ind w:left="851"/>
        <w:rPr>
          <w:bCs/>
          <w:sz w:val="20"/>
        </w:rPr>
        <w:sectPr w:rsidR="00000000">
          <w:headerReference w:type="even" r:id="rId11"/>
          <w:headerReference w:type="default" r:id="rId12"/>
          <w:endnotePr>
            <w:numFmt w:val="decimal"/>
          </w:endnotePr>
          <w:pgSz w:w="16840" w:h="11907" w:orient="landscape" w:code="9"/>
          <w:pgMar w:top="1701" w:right="567" w:bottom="851" w:left="1985" w:header="851" w:footer="1985" w:gutter="0"/>
          <w:cols w:space="720"/>
        </w:sectPr>
      </w:pPr>
    </w:p>
    <w:p w:rsidR="00000000" w:rsidRDefault="00000000">
      <w:pPr>
        <w:pStyle w:val="Heading1"/>
        <w:spacing w:line="360" w:lineRule="auto"/>
      </w:pPr>
      <w:r>
        <w:t>Table 8</w:t>
      </w:r>
    </w:p>
    <w:p w:rsidR="00000000" w:rsidRDefault="00000000">
      <w:pPr>
        <w:pStyle w:val="Heading1"/>
      </w:pPr>
      <w:r>
        <w:t>Open unemployment rate by sector of activity</w:t>
      </w:r>
    </w:p>
    <w:p w:rsidR="00000000" w:rsidRDefault="00000000">
      <w:pPr>
        <w:rPr>
          <w:kern w:val="20"/>
        </w:rPr>
      </w:pPr>
    </w:p>
    <w:tbl>
      <w:tblPr>
        <w:tblW w:w="0" w:type="auto"/>
        <w:jc w:val="center"/>
        <w:tblInd w:w="-1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2047"/>
        <w:gridCol w:w="2410"/>
        <w:gridCol w:w="1862"/>
        <w:gridCol w:w="1134"/>
        <w:gridCol w:w="1175"/>
      </w:tblGrid>
      <w:tr w:rsidR="00000000">
        <w:tblPrEx>
          <w:tblCellMar>
            <w:top w:w="0" w:type="dxa"/>
            <w:bottom w:w="0" w:type="dxa"/>
          </w:tblCellMar>
        </w:tblPrEx>
        <w:trPr>
          <w:jc w:val="center"/>
        </w:trPr>
        <w:tc>
          <w:tcPr>
            <w:tcW w:w="2047" w:type="dxa"/>
            <w:tcBorders>
              <w:bottom w:val="single" w:sz="4" w:space="0" w:color="auto"/>
            </w:tcBorders>
          </w:tcPr>
          <w:p w:rsidR="00000000" w:rsidRDefault="00000000">
            <w:pPr>
              <w:jc w:val="center"/>
              <w:rPr>
                <w:kern w:val="20"/>
              </w:rPr>
            </w:pPr>
            <w:r>
              <w:rPr>
                <w:kern w:val="20"/>
              </w:rPr>
              <w:t>Period</w:t>
            </w:r>
          </w:p>
        </w:tc>
        <w:tc>
          <w:tcPr>
            <w:tcW w:w="2410" w:type="dxa"/>
            <w:tcBorders>
              <w:bottom w:val="single" w:sz="4" w:space="0" w:color="auto"/>
            </w:tcBorders>
          </w:tcPr>
          <w:p w:rsidR="00000000" w:rsidRDefault="00000000">
            <w:pPr>
              <w:jc w:val="center"/>
              <w:rPr>
                <w:kern w:val="20"/>
              </w:rPr>
            </w:pPr>
            <w:r>
              <w:rPr>
                <w:kern w:val="20"/>
              </w:rPr>
              <w:t>Processing industries</w:t>
            </w:r>
          </w:p>
        </w:tc>
        <w:tc>
          <w:tcPr>
            <w:tcW w:w="1862" w:type="dxa"/>
            <w:tcBorders>
              <w:bottom w:val="single" w:sz="4" w:space="0" w:color="auto"/>
            </w:tcBorders>
          </w:tcPr>
          <w:p w:rsidR="00000000" w:rsidRDefault="00000000">
            <w:pPr>
              <w:jc w:val="center"/>
              <w:rPr>
                <w:kern w:val="20"/>
              </w:rPr>
            </w:pPr>
            <w:r>
              <w:rPr>
                <w:kern w:val="20"/>
              </w:rPr>
              <w:t>Building trades</w:t>
            </w:r>
          </w:p>
        </w:tc>
        <w:tc>
          <w:tcPr>
            <w:tcW w:w="1134" w:type="dxa"/>
            <w:tcBorders>
              <w:bottom w:val="single" w:sz="4" w:space="0" w:color="auto"/>
            </w:tcBorders>
          </w:tcPr>
          <w:p w:rsidR="00000000" w:rsidRDefault="00000000">
            <w:pPr>
              <w:jc w:val="center"/>
              <w:rPr>
                <w:kern w:val="20"/>
              </w:rPr>
            </w:pPr>
            <w:r>
              <w:rPr>
                <w:kern w:val="20"/>
              </w:rPr>
              <w:t>Retail sales</w:t>
            </w:r>
          </w:p>
        </w:tc>
        <w:tc>
          <w:tcPr>
            <w:tcW w:w="1175" w:type="dxa"/>
            <w:tcBorders>
              <w:bottom w:val="single" w:sz="4" w:space="0" w:color="auto"/>
            </w:tcBorders>
          </w:tcPr>
          <w:p w:rsidR="00000000" w:rsidRDefault="00000000">
            <w:pPr>
              <w:jc w:val="center"/>
              <w:rPr>
                <w:kern w:val="20"/>
              </w:rPr>
            </w:pPr>
            <w:r>
              <w:rPr>
                <w:kern w:val="20"/>
              </w:rPr>
              <w:t>Services</w:t>
            </w:r>
          </w:p>
        </w:tc>
      </w:tr>
      <w:tr w:rsidR="00000000">
        <w:tblPrEx>
          <w:tblCellMar>
            <w:top w:w="0" w:type="dxa"/>
            <w:bottom w:w="0" w:type="dxa"/>
          </w:tblCellMar>
        </w:tblPrEx>
        <w:trPr>
          <w:jc w:val="center"/>
        </w:trPr>
        <w:tc>
          <w:tcPr>
            <w:tcW w:w="2047" w:type="dxa"/>
            <w:tcBorders>
              <w:bottom w:val="nil"/>
            </w:tcBorders>
          </w:tcPr>
          <w:p w:rsidR="00000000" w:rsidRDefault="00000000">
            <w:pPr>
              <w:rPr>
                <w:kern w:val="20"/>
              </w:rPr>
            </w:pPr>
            <w:r>
              <w:rPr>
                <w:kern w:val="20"/>
              </w:rPr>
              <w:t>Average for 1997</w:t>
            </w:r>
          </w:p>
        </w:tc>
        <w:tc>
          <w:tcPr>
            <w:tcW w:w="2410" w:type="dxa"/>
            <w:tcBorders>
              <w:bottom w:val="nil"/>
            </w:tcBorders>
          </w:tcPr>
          <w:p w:rsidR="00000000" w:rsidRDefault="00000000">
            <w:pPr>
              <w:jc w:val="center"/>
              <w:rPr>
                <w:kern w:val="20"/>
              </w:rPr>
            </w:pPr>
            <w:r>
              <w:rPr>
                <w:kern w:val="20"/>
              </w:rPr>
              <w:t>6.92</w:t>
            </w:r>
          </w:p>
        </w:tc>
        <w:tc>
          <w:tcPr>
            <w:tcW w:w="1862" w:type="dxa"/>
            <w:tcBorders>
              <w:bottom w:val="nil"/>
            </w:tcBorders>
          </w:tcPr>
          <w:p w:rsidR="00000000" w:rsidRDefault="00000000">
            <w:pPr>
              <w:jc w:val="center"/>
              <w:rPr>
                <w:kern w:val="20"/>
              </w:rPr>
            </w:pPr>
            <w:r>
              <w:rPr>
                <w:kern w:val="20"/>
              </w:rPr>
              <w:t>6.28</w:t>
            </w:r>
          </w:p>
        </w:tc>
        <w:tc>
          <w:tcPr>
            <w:tcW w:w="1134" w:type="dxa"/>
            <w:tcBorders>
              <w:bottom w:val="nil"/>
            </w:tcBorders>
          </w:tcPr>
          <w:p w:rsidR="00000000" w:rsidRDefault="00000000">
            <w:pPr>
              <w:jc w:val="center"/>
              <w:rPr>
                <w:kern w:val="20"/>
              </w:rPr>
            </w:pPr>
            <w:r>
              <w:rPr>
                <w:kern w:val="20"/>
              </w:rPr>
              <w:t>6.34</w:t>
            </w:r>
          </w:p>
        </w:tc>
        <w:tc>
          <w:tcPr>
            <w:tcW w:w="1175" w:type="dxa"/>
            <w:tcBorders>
              <w:bottom w:val="nil"/>
            </w:tcBorders>
          </w:tcPr>
          <w:p w:rsidR="00000000" w:rsidRDefault="00000000">
            <w:pPr>
              <w:jc w:val="center"/>
              <w:rPr>
                <w:kern w:val="20"/>
              </w:rPr>
            </w:pPr>
            <w:r>
              <w:rPr>
                <w:kern w:val="20"/>
              </w:rPr>
              <w:t>4.45</w:t>
            </w:r>
          </w:p>
        </w:tc>
      </w:tr>
      <w:tr w:rsidR="00000000">
        <w:tblPrEx>
          <w:tblCellMar>
            <w:top w:w="0" w:type="dxa"/>
            <w:bottom w:w="0" w:type="dxa"/>
          </w:tblCellMar>
        </w:tblPrEx>
        <w:trPr>
          <w:jc w:val="center"/>
        </w:trPr>
        <w:tc>
          <w:tcPr>
            <w:tcW w:w="2047" w:type="dxa"/>
            <w:tcBorders>
              <w:top w:val="nil"/>
              <w:bottom w:val="nil"/>
            </w:tcBorders>
          </w:tcPr>
          <w:p w:rsidR="00000000" w:rsidRDefault="00000000">
            <w:pPr>
              <w:rPr>
                <w:kern w:val="20"/>
              </w:rPr>
            </w:pPr>
            <w:r>
              <w:rPr>
                <w:kern w:val="20"/>
              </w:rPr>
              <w:t>Average for 1998</w:t>
            </w:r>
          </w:p>
        </w:tc>
        <w:tc>
          <w:tcPr>
            <w:tcW w:w="2410" w:type="dxa"/>
            <w:tcBorders>
              <w:top w:val="nil"/>
              <w:bottom w:val="nil"/>
            </w:tcBorders>
          </w:tcPr>
          <w:p w:rsidR="00000000" w:rsidRDefault="00000000">
            <w:pPr>
              <w:jc w:val="center"/>
              <w:rPr>
                <w:kern w:val="20"/>
              </w:rPr>
            </w:pPr>
            <w:r>
              <w:rPr>
                <w:kern w:val="20"/>
              </w:rPr>
              <w:t>8.96</w:t>
            </w:r>
          </w:p>
        </w:tc>
        <w:tc>
          <w:tcPr>
            <w:tcW w:w="1862" w:type="dxa"/>
            <w:tcBorders>
              <w:top w:val="nil"/>
              <w:bottom w:val="nil"/>
            </w:tcBorders>
          </w:tcPr>
          <w:p w:rsidR="00000000" w:rsidRDefault="00000000">
            <w:pPr>
              <w:jc w:val="center"/>
              <w:rPr>
                <w:kern w:val="20"/>
              </w:rPr>
            </w:pPr>
            <w:r>
              <w:rPr>
                <w:kern w:val="20"/>
              </w:rPr>
              <w:t>8.93</w:t>
            </w:r>
          </w:p>
        </w:tc>
        <w:tc>
          <w:tcPr>
            <w:tcW w:w="1134" w:type="dxa"/>
            <w:tcBorders>
              <w:top w:val="nil"/>
              <w:bottom w:val="nil"/>
            </w:tcBorders>
          </w:tcPr>
          <w:p w:rsidR="00000000" w:rsidRDefault="00000000">
            <w:pPr>
              <w:jc w:val="center"/>
              <w:rPr>
                <w:kern w:val="20"/>
              </w:rPr>
            </w:pPr>
            <w:r>
              <w:rPr>
                <w:kern w:val="20"/>
              </w:rPr>
              <w:t>7.96</w:t>
            </w:r>
          </w:p>
        </w:tc>
        <w:tc>
          <w:tcPr>
            <w:tcW w:w="1175" w:type="dxa"/>
            <w:tcBorders>
              <w:top w:val="nil"/>
              <w:bottom w:val="nil"/>
            </w:tcBorders>
          </w:tcPr>
          <w:p w:rsidR="00000000" w:rsidRDefault="00000000">
            <w:pPr>
              <w:jc w:val="center"/>
              <w:rPr>
                <w:kern w:val="20"/>
              </w:rPr>
            </w:pPr>
            <w:r>
              <w:rPr>
                <w:kern w:val="20"/>
              </w:rPr>
              <w:t>6.04</w:t>
            </w:r>
          </w:p>
        </w:tc>
      </w:tr>
      <w:tr w:rsidR="00000000">
        <w:tblPrEx>
          <w:tblCellMar>
            <w:top w:w="0" w:type="dxa"/>
            <w:bottom w:w="0" w:type="dxa"/>
          </w:tblCellMar>
        </w:tblPrEx>
        <w:trPr>
          <w:jc w:val="center"/>
        </w:trPr>
        <w:tc>
          <w:tcPr>
            <w:tcW w:w="2047" w:type="dxa"/>
            <w:tcBorders>
              <w:top w:val="nil"/>
            </w:tcBorders>
          </w:tcPr>
          <w:p w:rsidR="00000000" w:rsidRDefault="00000000">
            <w:pPr>
              <w:rPr>
                <w:kern w:val="20"/>
              </w:rPr>
            </w:pPr>
            <w:r>
              <w:rPr>
                <w:kern w:val="20"/>
              </w:rPr>
              <w:t>Average for 1999</w:t>
            </w:r>
          </w:p>
        </w:tc>
        <w:tc>
          <w:tcPr>
            <w:tcW w:w="2410" w:type="dxa"/>
            <w:tcBorders>
              <w:top w:val="nil"/>
            </w:tcBorders>
          </w:tcPr>
          <w:p w:rsidR="00000000" w:rsidRDefault="00000000">
            <w:pPr>
              <w:jc w:val="center"/>
              <w:rPr>
                <w:kern w:val="20"/>
              </w:rPr>
            </w:pPr>
            <w:r>
              <w:rPr>
                <w:kern w:val="20"/>
              </w:rPr>
              <w:t>8.23</w:t>
            </w:r>
          </w:p>
        </w:tc>
        <w:tc>
          <w:tcPr>
            <w:tcW w:w="1862" w:type="dxa"/>
            <w:tcBorders>
              <w:top w:val="nil"/>
            </w:tcBorders>
          </w:tcPr>
          <w:p w:rsidR="00000000" w:rsidRDefault="00000000">
            <w:pPr>
              <w:jc w:val="center"/>
              <w:rPr>
                <w:kern w:val="20"/>
              </w:rPr>
            </w:pPr>
            <w:r>
              <w:rPr>
                <w:kern w:val="20"/>
              </w:rPr>
              <w:t>9.41</w:t>
            </w:r>
          </w:p>
        </w:tc>
        <w:tc>
          <w:tcPr>
            <w:tcW w:w="1134" w:type="dxa"/>
            <w:tcBorders>
              <w:top w:val="nil"/>
            </w:tcBorders>
          </w:tcPr>
          <w:p w:rsidR="00000000" w:rsidRDefault="00000000">
            <w:pPr>
              <w:jc w:val="center"/>
              <w:rPr>
                <w:kern w:val="20"/>
              </w:rPr>
            </w:pPr>
            <w:r>
              <w:rPr>
                <w:kern w:val="20"/>
              </w:rPr>
              <w:t>8.06</w:t>
            </w:r>
          </w:p>
        </w:tc>
        <w:tc>
          <w:tcPr>
            <w:tcW w:w="1175" w:type="dxa"/>
            <w:tcBorders>
              <w:top w:val="nil"/>
            </w:tcBorders>
          </w:tcPr>
          <w:p w:rsidR="00000000" w:rsidRDefault="00000000">
            <w:pPr>
              <w:jc w:val="center"/>
              <w:rPr>
                <w:kern w:val="20"/>
              </w:rPr>
            </w:pPr>
            <w:r>
              <w:rPr>
                <w:kern w:val="20"/>
              </w:rPr>
              <w:t>6.07</w:t>
            </w:r>
          </w:p>
        </w:tc>
      </w:tr>
    </w:tbl>
    <w:p w:rsidR="00000000" w:rsidRDefault="00000000">
      <w:pPr>
        <w:rPr>
          <w:kern w:val="16"/>
        </w:rPr>
      </w:pPr>
    </w:p>
    <w:p w:rsidR="00000000" w:rsidRDefault="00000000">
      <w:pPr>
        <w:ind w:left="720"/>
        <w:rPr>
          <w:kern w:val="16"/>
        </w:rPr>
      </w:pPr>
      <w:r>
        <w:rPr>
          <w:kern w:val="16"/>
          <w:u w:val="single"/>
        </w:rPr>
        <w:t>Source</w:t>
      </w:r>
      <w:r>
        <w:rPr>
          <w:kern w:val="16"/>
        </w:rPr>
        <w:t xml:space="preserve">:  Central Bank of Brazil </w:t>
      </w:r>
      <w:r>
        <w:rPr>
          <w:kern w:val="16"/>
        </w:rPr>
        <w:noBreakHyphen/>
        <w:t xml:space="preserve"> BACEN.</w:t>
      </w:r>
    </w:p>
    <w:p w:rsidR="00000000" w:rsidRDefault="00000000">
      <w:pPr>
        <w:rPr>
          <w:kern w:val="20"/>
        </w:rPr>
      </w:pPr>
    </w:p>
    <w:p w:rsidR="00000000" w:rsidRDefault="00000000">
      <w:pPr>
        <w:pStyle w:val="Heading1"/>
        <w:spacing w:line="360" w:lineRule="auto"/>
      </w:pPr>
      <w:r>
        <w:t>Table 9</w:t>
      </w:r>
    </w:p>
    <w:p w:rsidR="00000000" w:rsidRDefault="00000000">
      <w:pPr>
        <w:pStyle w:val="Heading1"/>
      </w:pPr>
      <w:r>
        <w:t>Open unemployment rate by metropolitan region</w:t>
      </w:r>
    </w:p>
    <w:p w:rsidR="00000000" w:rsidRDefault="00000000">
      <w:pPr>
        <w:rPr>
          <w:kern w:val="20"/>
        </w:rPr>
      </w:pPr>
    </w:p>
    <w:tbl>
      <w:tblPr>
        <w:tblW w:w="0" w:type="auto"/>
        <w:jc w:val="center"/>
        <w:tblInd w:w="-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1780"/>
        <w:gridCol w:w="850"/>
        <w:gridCol w:w="992"/>
        <w:gridCol w:w="1436"/>
        <w:gridCol w:w="1560"/>
        <w:gridCol w:w="1134"/>
        <w:gridCol w:w="908"/>
      </w:tblGrid>
      <w:tr w:rsidR="00000000">
        <w:tblPrEx>
          <w:tblCellMar>
            <w:top w:w="0" w:type="dxa"/>
            <w:bottom w:w="0" w:type="dxa"/>
          </w:tblCellMar>
        </w:tblPrEx>
        <w:trPr>
          <w:jc w:val="center"/>
        </w:trPr>
        <w:tc>
          <w:tcPr>
            <w:tcW w:w="1780" w:type="dxa"/>
            <w:tcBorders>
              <w:bottom w:val="single" w:sz="4" w:space="0" w:color="auto"/>
            </w:tcBorders>
          </w:tcPr>
          <w:p w:rsidR="00000000" w:rsidRDefault="00000000">
            <w:pPr>
              <w:jc w:val="center"/>
              <w:rPr>
                <w:kern w:val="20"/>
              </w:rPr>
            </w:pPr>
            <w:r>
              <w:rPr>
                <w:kern w:val="20"/>
              </w:rPr>
              <w:t>Period</w:t>
            </w:r>
          </w:p>
        </w:tc>
        <w:tc>
          <w:tcPr>
            <w:tcW w:w="850" w:type="dxa"/>
            <w:tcBorders>
              <w:bottom w:val="single" w:sz="4" w:space="0" w:color="auto"/>
            </w:tcBorders>
          </w:tcPr>
          <w:p w:rsidR="00000000" w:rsidRDefault="00000000">
            <w:pPr>
              <w:jc w:val="center"/>
              <w:rPr>
                <w:kern w:val="20"/>
              </w:rPr>
            </w:pPr>
            <w:r>
              <w:rPr>
                <w:kern w:val="20"/>
              </w:rPr>
              <w:t>Recife</w:t>
            </w:r>
          </w:p>
        </w:tc>
        <w:tc>
          <w:tcPr>
            <w:tcW w:w="992" w:type="dxa"/>
            <w:tcBorders>
              <w:bottom w:val="single" w:sz="4" w:space="0" w:color="auto"/>
            </w:tcBorders>
          </w:tcPr>
          <w:p w:rsidR="00000000" w:rsidRDefault="00000000">
            <w:pPr>
              <w:jc w:val="center"/>
              <w:rPr>
                <w:kern w:val="20"/>
              </w:rPr>
            </w:pPr>
            <w:r>
              <w:rPr>
                <w:kern w:val="20"/>
              </w:rPr>
              <w:t>Salvador</w:t>
            </w:r>
          </w:p>
        </w:tc>
        <w:tc>
          <w:tcPr>
            <w:tcW w:w="1436" w:type="dxa"/>
            <w:tcBorders>
              <w:bottom w:val="single" w:sz="4" w:space="0" w:color="auto"/>
            </w:tcBorders>
          </w:tcPr>
          <w:p w:rsidR="00000000" w:rsidRDefault="00000000">
            <w:pPr>
              <w:jc w:val="center"/>
              <w:rPr>
                <w:kern w:val="20"/>
              </w:rPr>
            </w:pPr>
            <w:r>
              <w:rPr>
                <w:kern w:val="20"/>
              </w:rPr>
              <w:t>Belo Horizonte</w:t>
            </w:r>
          </w:p>
        </w:tc>
        <w:tc>
          <w:tcPr>
            <w:tcW w:w="1560" w:type="dxa"/>
            <w:tcBorders>
              <w:bottom w:val="single" w:sz="4" w:space="0" w:color="auto"/>
            </w:tcBorders>
          </w:tcPr>
          <w:p w:rsidR="00000000" w:rsidRDefault="00000000">
            <w:pPr>
              <w:jc w:val="center"/>
              <w:rPr>
                <w:kern w:val="20"/>
              </w:rPr>
            </w:pPr>
            <w:r>
              <w:rPr>
                <w:kern w:val="20"/>
              </w:rPr>
              <w:t>Rio de Janeiro</w:t>
            </w:r>
          </w:p>
        </w:tc>
        <w:tc>
          <w:tcPr>
            <w:tcW w:w="1134" w:type="dxa"/>
            <w:tcBorders>
              <w:bottom w:val="single" w:sz="4" w:space="0" w:color="auto"/>
            </w:tcBorders>
          </w:tcPr>
          <w:p w:rsidR="00000000" w:rsidRDefault="00000000">
            <w:pPr>
              <w:jc w:val="center"/>
              <w:rPr>
                <w:kern w:val="20"/>
              </w:rPr>
            </w:pPr>
            <w:r>
              <w:rPr>
                <w:kern w:val="20"/>
              </w:rPr>
              <w:t>São Paulo</w:t>
            </w:r>
          </w:p>
        </w:tc>
        <w:tc>
          <w:tcPr>
            <w:tcW w:w="908" w:type="dxa"/>
            <w:tcBorders>
              <w:bottom w:val="single" w:sz="4" w:space="0" w:color="auto"/>
            </w:tcBorders>
          </w:tcPr>
          <w:p w:rsidR="00000000" w:rsidRDefault="00000000">
            <w:pPr>
              <w:jc w:val="center"/>
              <w:rPr>
                <w:kern w:val="20"/>
              </w:rPr>
            </w:pPr>
            <w:r>
              <w:rPr>
                <w:kern w:val="20"/>
              </w:rPr>
              <w:t>Porto Alegre</w:t>
            </w:r>
          </w:p>
        </w:tc>
      </w:tr>
      <w:tr w:rsidR="00000000">
        <w:tblPrEx>
          <w:tblCellMar>
            <w:top w:w="0" w:type="dxa"/>
            <w:bottom w:w="0" w:type="dxa"/>
          </w:tblCellMar>
        </w:tblPrEx>
        <w:trPr>
          <w:jc w:val="center"/>
        </w:trPr>
        <w:tc>
          <w:tcPr>
            <w:tcW w:w="1780" w:type="dxa"/>
            <w:tcBorders>
              <w:bottom w:val="nil"/>
            </w:tcBorders>
          </w:tcPr>
          <w:p w:rsidR="00000000" w:rsidRDefault="00000000">
            <w:pPr>
              <w:rPr>
                <w:kern w:val="20"/>
              </w:rPr>
            </w:pPr>
            <w:r>
              <w:rPr>
                <w:kern w:val="20"/>
              </w:rPr>
              <w:t>Average for 1997</w:t>
            </w:r>
          </w:p>
        </w:tc>
        <w:tc>
          <w:tcPr>
            <w:tcW w:w="850" w:type="dxa"/>
            <w:tcBorders>
              <w:bottom w:val="nil"/>
            </w:tcBorders>
          </w:tcPr>
          <w:p w:rsidR="00000000" w:rsidRDefault="00000000">
            <w:pPr>
              <w:jc w:val="center"/>
              <w:rPr>
                <w:kern w:val="20"/>
              </w:rPr>
            </w:pPr>
            <w:r>
              <w:rPr>
                <w:kern w:val="20"/>
              </w:rPr>
              <w:t>5.89</w:t>
            </w:r>
          </w:p>
        </w:tc>
        <w:tc>
          <w:tcPr>
            <w:tcW w:w="992" w:type="dxa"/>
            <w:tcBorders>
              <w:bottom w:val="nil"/>
            </w:tcBorders>
          </w:tcPr>
          <w:p w:rsidR="00000000" w:rsidRDefault="00000000">
            <w:pPr>
              <w:jc w:val="center"/>
              <w:rPr>
                <w:kern w:val="20"/>
              </w:rPr>
            </w:pPr>
            <w:r>
              <w:rPr>
                <w:kern w:val="20"/>
              </w:rPr>
              <w:t>7.73</w:t>
            </w:r>
          </w:p>
        </w:tc>
        <w:tc>
          <w:tcPr>
            <w:tcW w:w="1436" w:type="dxa"/>
            <w:tcBorders>
              <w:bottom w:val="nil"/>
            </w:tcBorders>
          </w:tcPr>
          <w:p w:rsidR="00000000" w:rsidRDefault="00000000">
            <w:pPr>
              <w:jc w:val="center"/>
              <w:rPr>
                <w:kern w:val="20"/>
              </w:rPr>
            </w:pPr>
            <w:r>
              <w:rPr>
                <w:kern w:val="20"/>
              </w:rPr>
              <w:t>5.09</w:t>
            </w:r>
          </w:p>
        </w:tc>
        <w:tc>
          <w:tcPr>
            <w:tcW w:w="1560" w:type="dxa"/>
            <w:tcBorders>
              <w:bottom w:val="nil"/>
            </w:tcBorders>
          </w:tcPr>
          <w:p w:rsidR="00000000" w:rsidRDefault="00000000">
            <w:pPr>
              <w:jc w:val="center"/>
              <w:rPr>
                <w:kern w:val="20"/>
              </w:rPr>
            </w:pPr>
            <w:r>
              <w:rPr>
                <w:kern w:val="20"/>
              </w:rPr>
              <w:t>3.73</w:t>
            </w:r>
          </w:p>
        </w:tc>
        <w:tc>
          <w:tcPr>
            <w:tcW w:w="1134" w:type="dxa"/>
            <w:tcBorders>
              <w:bottom w:val="nil"/>
            </w:tcBorders>
          </w:tcPr>
          <w:p w:rsidR="00000000" w:rsidRDefault="00000000">
            <w:pPr>
              <w:jc w:val="center"/>
              <w:rPr>
                <w:kern w:val="20"/>
              </w:rPr>
            </w:pPr>
            <w:r>
              <w:rPr>
                <w:kern w:val="20"/>
              </w:rPr>
              <w:t>6.60</w:t>
            </w:r>
          </w:p>
        </w:tc>
        <w:tc>
          <w:tcPr>
            <w:tcW w:w="908" w:type="dxa"/>
            <w:tcBorders>
              <w:bottom w:val="nil"/>
            </w:tcBorders>
          </w:tcPr>
          <w:p w:rsidR="00000000" w:rsidRDefault="00000000">
            <w:pPr>
              <w:jc w:val="center"/>
              <w:rPr>
                <w:kern w:val="20"/>
              </w:rPr>
            </w:pPr>
            <w:r>
              <w:rPr>
                <w:kern w:val="20"/>
              </w:rPr>
              <w:t>5.47</w:t>
            </w:r>
          </w:p>
        </w:tc>
      </w:tr>
      <w:tr w:rsidR="00000000">
        <w:tblPrEx>
          <w:tblCellMar>
            <w:top w:w="0" w:type="dxa"/>
            <w:bottom w:w="0" w:type="dxa"/>
          </w:tblCellMar>
        </w:tblPrEx>
        <w:trPr>
          <w:jc w:val="center"/>
        </w:trPr>
        <w:tc>
          <w:tcPr>
            <w:tcW w:w="1780" w:type="dxa"/>
            <w:tcBorders>
              <w:top w:val="nil"/>
              <w:bottom w:val="nil"/>
            </w:tcBorders>
          </w:tcPr>
          <w:p w:rsidR="00000000" w:rsidRDefault="00000000">
            <w:pPr>
              <w:rPr>
                <w:kern w:val="20"/>
              </w:rPr>
            </w:pPr>
            <w:r>
              <w:rPr>
                <w:kern w:val="20"/>
              </w:rPr>
              <w:t>Average for 1998</w:t>
            </w:r>
          </w:p>
        </w:tc>
        <w:tc>
          <w:tcPr>
            <w:tcW w:w="850" w:type="dxa"/>
            <w:tcBorders>
              <w:top w:val="nil"/>
              <w:bottom w:val="nil"/>
            </w:tcBorders>
          </w:tcPr>
          <w:p w:rsidR="00000000" w:rsidRDefault="00000000">
            <w:pPr>
              <w:jc w:val="center"/>
              <w:rPr>
                <w:kern w:val="20"/>
              </w:rPr>
            </w:pPr>
            <w:r>
              <w:rPr>
                <w:kern w:val="20"/>
              </w:rPr>
              <w:t>8.69</w:t>
            </w:r>
          </w:p>
        </w:tc>
        <w:tc>
          <w:tcPr>
            <w:tcW w:w="992" w:type="dxa"/>
            <w:tcBorders>
              <w:top w:val="nil"/>
              <w:bottom w:val="nil"/>
            </w:tcBorders>
          </w:tcPr>
          <w:p w:rsidR="00000000" w:rsidRDefault="00000000">
            <w:pPr>
              <w:jc w:val="center"/>
              <w:rPr>
                <w:kern w:val="20"/>
              </w:rPr>
            </w:pPr>
            <w:r>
              <w:rPr>
                <w:kern w:val="20"/>
              </w:rPr>
              <w:t>9.27</w:t>
            </w:r>
          </w:p>
        </w:tc>
        <w:tc>
          <w:tcPr>
            <w:tcW w:w="1436" w:type="dxa"/>
            <w:tcBorders>
              <w:top w:val="nil"/>
              <w:bottom w:val="nil"/>
            </w:tcBorders>
          </w:tcPr>
          <w:p w:rsidR="00000000" w:rsidRDefault="00000000">
            <w:pPr>
              <w:jc w:val="center"/>
              <w:rPr>
                <w:kern w:val="20"/>
              </w:rPr>
            </w:pPr>
            <w:r>
              <w:rPr>
                <w:kern w:val="20"/>
              </w:rPr>
              <w:t>7.18</w:t>
            </w:r>
          </w:p>
        </w:tc>
        <w:tc>
          <w:tcPr>
            <w:tcW w:w="1560" w:type="dxa"/>
            <w:tcBorders>
              <w:top w:val="nil"/>
              <w:bottom w:val="nil"/>
            </w:tcBorders>
          </w:tcPr>
          <w:p w:rsidR="00000000" w:rsidRDefault="00000000">
            <w:pPr>
              <w:jc w:val="center"/>
              <w:rPr>
                <w:kern w:val="20"/>
              </w:rPr>
            </w:pPr>
            <w:r>
              <w:rPr>
                <w:kern w:val="20"/>
              </w:rPr>
              <w:t>5.40</w:t>
            </w:r>
          </w:p>
        </w:tc>
        <w:tc>
          <w:tcPr>
            <w:tcW w:w="1134" w:type="dxa"/>
            <w:tcBorders>
              <w:top w:val="nil"/>
              <w:bottom w:val="nil"/>
            </w:tcBorders>
          </w:tcPr>
          <w:p w:rsidR="00000000" w:rsidRDefault="00000000">
            <w:pPr>
              <w:jc w:val="center"/>
              <w:rPr>
                <w:kern w:val="20"/>
              </w:rPr>
            </w:pPr>
            <w:r>
              <w:rPr>
                <w:kern w:val="20"/>
              </w:rPr>
              <w:t>8.59</w:t>
            </w:r>
          </w:p>
        </w:tc>
        <w:tc>
          <w:tcPr>
            <w:tcW w:w="908" w:type="dxa"/>
            <w:tcBorders>
              <w:top w:val="nil"/>
              <w:bottom w:val="nil"/>
            </w:tcBorders>
          </w:tcPr>
          <w:p w:rsidR="00000000" w:rsidRDefault="00000000">
            <w:pPr>
              <w:jc w:val="center"/>
              <w:rPr>
                <w:kern w:val="20"/>
              </w:rPr>
            </w:pPr>
            <w:r>
              <w:rPr>
                <w:kern w:val="20"/>
              </w:rPr>
              <w:t>7.28</w:t>
            </w:r>
          </w:p>
        </w:tc>
      </w:tr>
      <w:tr w:rsidR="00000000">
        <w:tblPrEx>
          <w:tblCellMar>
            <w:top w:w="0" w:type="dxa"/>
            <w:bottom w:w="0" w:type="dxa"/>
          </w:tblCellMar>
        </w:tblPrEx>
        <w:trPr>
          <w:jc w:val="center"/>
        </w:trPr>
        <w:tc>
          <w:tcPr>
            <w:tcW w:w="1780" w:type="dxa"/>
            <w:tcBorders>
              <w:top w:val="nil"/>
            </w:tcBorders>
          </w:tcPr>
          <w:p w:rsidR="00000000" w:rsidRDefault="00000000">
            <w:pPr>
              <w:rPr>
                <w:kern w:val="20"/>
              </w:rPr>
            </w:pPr>
            <w:r>
              <w:rPr>
                <w:kern w:val="20"/>
              </w:rPr>
              <w:t>Average for 1999</w:t>
            </w:r>
          </w:p>
        </w:tc>
        <w:tc>
          <w:tcPr>
            <w:tcW w:w="850" w:type="dxa"/>
            <w:tcBorders>
              <w:top w:val="nil"/>
            </w:tcBorders>
          </w:tcPr>
          <w:p w:rsidR="00000000" w:rsidRDefault="00000000">
            <w:pPr>
              <w:jc w:val="center"/>
              <w:rPr>
                <w:kern w:val="20"/>
              </w:rPr>
            </w:pPr>
            <w:r>
              <w:rPr>
                <w:kern w:val="20"/>
              </w:rPr>
              <w:t>8.17</w:t>
            </w:r>
          </w:p>
        </w:tc>
        <w:tc>
          <w:tcPr>
            <w:tcW w:w="992" w:type="dxa"/>
            <w:tcBorders>
              <w:top w:val="nil"/>
            </w:tcBorders>
          </w:tcPr>
          <w:p w:rsidR="00000000" w:rsidRDefault="00000000">
            <w:pPr>
              <w:jc w:val="center"/>
              <w:rPr>
                <w:kern w:val="20"/>
              </w:rPr>
            </w:pPr>
            <w:r>
              <w:rPr>
                <w:kern w:val="20"/>
              </w:rPr>
              <w:t>9.94</w:t>
            </w:r>
          </w:p>
        </w:tc>
        <w:tc>
          <w:tcPr>
            <w:tcW w:w="1436" w:type="dxa"/>
            <w:tcBorders>
              <w:top w:val="nil"/>
            </w:tcBorders>
          </w:tcPr>
          <w:p w:rsidR="00000000" w:rsidRDefault="00000000">
            <w:pPr>
              <w:jc w:val="center"/>
              <w:rPr>
                <w:kern w:val="20"/>
              </w:rPr>
            </w:pPr>
            <w:r>
              <w:rPr>
                <w:kern w:val="20"/>
              </w:rPr>
              <w:t>7.69</w:t>
            </w:r>
          </w:p>
        </w:tc>
        <w:tc>
          <w:tcPr>
            <w:tcW w:w="1560" w:type="dxa"/>
            <w:tcBorders>
              <w:top w:val="nil"/>
            </w:tcBorders>
          </w:tcPr>
          <w:p w:rsidR="00000000" w:rsidRDefault="00000000">
            <w:pPr>
              <w:jc w:val="center"/>
              <w:rPr>
                <w:kern w:val="20"/>
              </w:rPr>
            </w:pPr>
            <w:r>
              <w:rPr>
                <w:kern w:val="20"/>
              </w:rPr>
              <w:t>5.40</w:t>
            </w:r>
          </w:p>
        </w:tc>
        <w:tc>
          <w:tcPr>
            <w:tcW w:w="1134" w:type="dxa"/>
            <w:tcBorders>
              <w:top w:val="nil"/>
            </w:tcBorders>
          </w:tcPr>
          <w:p w:rsidR="00000000" w:rsidRDefault="00000000">
            <w:pPr>
              <w:jc w:val="center"/>
              <w:rPr>
                <w:kern w:val="20"/>
              </w:rPr>
            </w:pPr>
            <w:r>
              <w:rPr>
                <w:kern w:val="20"/>
              </w:rPr>
              <w:t>8.30</w:t>
            </w:r>
          </w:p>
        </w:tc>
        <w:tc>
          <w:tcPr>
            <w:tcW w:w="908" w:type="dxa"/>
            <w:tcBorders>
              <w:top w:val="nil"/>
            </w:tcBorders>
          </w:tcPr>
          <w:p w:rsidR="00000000" w:rsidRDefault="00000000">
            <w:pPr>
              <w:jc w:val="center"/>
              <w:rPr>
                <w:kern w:val="20"/>
              </w:rPr>
            </w:pPr>
            <w:r>
              <w:rPr>
                <w:kern w:val="20"/>
              </w:rPr>
              <w:t>7.22</w:t>
            </w:r>
          </w:p>
        </w:tc>
      </w:tr>
    </w:tbl>
    <w:p w:rsidR="00000000" w:rsidRDefault="00000000">
      <w:pPr>
        <w:rPr>
          <w:kern w:val="16"/>
        </w:rPr>
      </w:pPr>
    </w:p>
    <w:p w:rsidR="00000000" w:rsidRDefault="00000000">
      <w:pPr>
        <w:rPr>
          <w:kern w:val="16"/>
        </w:rPr>
      </w:pPr>
      <w:r>
        <w:rPr>
          <w:kern w:val="16"/>
        </w:rPr>
        <w:tab/>
      </w:r>
      <w:r>
        <w:rPr>
          <w:kern w:val="16"/>
          <w:u w:val="single"/>
        </w:rPr>
        <w:t>Source</w:t>
      </w:r>
      <w:r>
        <w:rPr>
          <w:kern w:val="16"/>
        </w:rPr>
        <w:t xml:space="preserve">:  Central Bank of Brazil </w:t>
      </w:r>
      <w:r>
        <w:rPr>
          <w:kern w:val="16"/>
        </w:rPr>
        <w:noBreakHyphen/>
        <w:t xml:space="preserve"> BACEN.</w:t>
      </w:r>
    </w:p>
    <w:p w:rsidR="00000000" w:rsidRDefault="00000000">
      <w:pPr>
        <w:rPr>
          <w:kern w:val="20"/>
        </w:rPr>
      </w:pPr>
    </w:p>
    <w:p w:rsidR="00000000" w:rsidRDefault="00000000">
      <w:pPr>
        <w:pStyle w:val="Heading1"/>
        <w:spacing w:line="360" w:lineRule="auto"/>
      </w:pPr>
      <w:r>
        <w:t>Table 10</w:t>
      </w:r>
    </w:p>
    <w:p w:rsidR="00000000" w:rsidRDefault="00000000">
      <w:pPr>
        <w:pStyle w:val="Heading1"/>
      </w:pPr>
      <w:r>
        <w:t>Programme to provide vocational training for workers</w:t>
      </w:r>
    </w:p>
    <w:p w:rsidR="00000000" w:rsidRDefault="00000000">
      <w:pPr>
        <w:rPr>
          <w:kern w:val="20"/>
        </w:rPr>
      </w:pPr>
    </w:p>
    <w:tbl>
      <w:tblPr>
        <w:tblW w:w="0" w:type="auto"/>
        <w:jc w:val="center"/>
        <w:tblInd w:w="-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2051"/>
        <w:gridCol w:w="2493"/>
        <w:gridCol w:w="2674"/>
      </w:tblGrid>
      <w:tr w:rsidR="00000000">
        <w:tblPrEx>
          <w:tblCellMar>
            <w:top w:w="0" w:type="dxa"/>
            <w:bottom w:w="0" w:type="dxa"/>
          </w:tblCellMar>
        </w:tblPrEx>
        <w:trPr>
          <w:jc w:val="center"/>
        </w:trPr>
        <w:tc>
          <w:tcPr>
            <w:tcW w:w="2051" w:type="dxa"/>
          </w:tcPr>
          <w:p w:rsidR="00000000" w:rsidRDefault="00000000">
            <w:pPr>
              <w:jc w:val="center"/>
              <w:rPr>
                <w:kern w:val="20"/>
              </w:rPr>
            </w:pPr>
            <w:r>
              <w:rPr>
                <w:kern w:val="20"/>
              </w:rPr>
              <w:t>Period</w:t>
            </w:r>
          </w:p>
        </w:tc>
        <w:tc>
          <w:tcPr>
            <w:tcW w:w="2493" w:type="dxa"/>
          </w:tcPr>
          <w:p w:rsidR="00000000" w:rsidRDefault="00000000">
            <w:pPr>
              <w:jc w:val="center"/>
              <w:rPr>
                <w:kern w:val="20"/>
              </w:rPr>
            </w:pPr>
            <w:r>
              <w:rPr>
                <w:kern w:val="20"/>
              </w:rPr>
              <w:t>Trainees  (in thousands)</w:t>
            </w:r>
          </w:p>
        </w:tc>
        <w:tc>
          <w:tcPr>
            <w:tcW w:w="2674" w:type="dxa"/>
          </w:tcPr>
          <w:p w:rsidR="00000000" w:rsidRDefault="00000000">
            <w:pPr>
              <w:jc w:val="center"/>
              <w:rPr>
                <w:kern w:val="20"/>
              </w:rPr>
            </w:pPr>
            <w:r>
              <w:rPr>
                <w:kern w:val="20"/>
              </w:rPr>
              <w:t>Funds spent (in millions)</w:t>
            </w:r>
          </w:p>
        </w:tc>
      </w:tr>
      <w:tr w:rsidR="00000000">
        <w:tblPrEx>
          <w:tblCellMar>
            <w:top w:w="0" w:type="dxa"/>
            <w:bottom w:w="0" w:type="dxa"/>
          </w:tblCellMar>
        </w:tblPrEx>
        <w:trPr>
          <w:jc w:val="center"/>
        </w:trPr>
        <w:tc>
          <w:tcPr>
            <w:tcW w:w="2051" w:type="dxa"/>
            <w:tcBorders>
              <w:bottom w:val="nil"/>
            </w:tcBorders>
          </w:tcPr>
          <w:p w:rsidR="00000000" w:rsidRDefault="00000000">
            <w:pPr>
              <w:jc w:val="center"/>
              <w:rPr>
                <w:kern w:val="20"/>
              </w:rPr>
            </w:pPr>
            <w:r>
              <w:rPr>
                <w:kern w:val="20"/>
              </w:rPr>
              <w:t>1995</w:t>
            </w:r>
          </w:p>
        </w:tc>
        <w:tc>
          <w:tcPr>
            <w:tcW w:w="2493" w:type="dxa"/>
            <w:tcBorders>
              <w:bottom w:val="nil"/>
            </w:tcBorders>
          </w:tcPr>
          <w:p w:rsidR="00000000" w:rsidRDefault="00000000">
            <w:pPr>
              <w:ind w:right="966"/>
              <w:jc w:val="right"/>
              <w:rPr>
                <w:kern w:val="20"/>
              </w:rPr>
            </w:pPr>
            <w:r>
              <w:rPr>
                <w:kern w:val="20"/>
              </w:rPr>
              <w:t>153</w:t>
            </w:r>
          </w:p>
        </w:tc>
        <w:tc>
          <w:tcPr>
            <w:tcW w:w="2674" w:type="dxa"/>
            <w:tcBorders>
              <w:bottom w:val="nil"/>
            </w:tcBorders>
          </w:tcPr>
          <w:p w:rsidR="00000000" w:rsidRDefault="00000000">
            <w:pPr>
              <w:ind w:right="1333"/>
              <w:jc w:val="right"/>
              <w:rPr>
                <w:kern w:val="20"/>
              </w:rPr>
            </w:pPr>
            <w:r>
              <w:rPr>
                <w:kern w:val="20"/>
              </w:rPr>
              <w:t>28</w:t>
            </w:r>
          </w:p>
        </w:tc>
      </w:tr>
      <w:tr w:rsidR="00000000">
        <w:tblPrEx>
          <w:tblCellMar>
            <w:top w:w="0" w:type="dxa"/>
            <w:bottom w:w="0" w:type="dxa"/>
          </w:tblCellMar>
        </w:tblPrEx>
        <w:trPr>
          <w:jc w:val="center"/>
        </w:trPr>
        <w:tc>
          <w:tcPr>
            <w:tcW w:w="2051" w:type="dxa"/>
            <w:tcBorders>
              <w:top w:val="nil"/>
              <w:bottom w:val="nil"/>
            </w:tcBorders>
          </w:tcPr>
          <w:p w:rsidR="00000000" w:rsidRDefault="00000000">
            <w:pPr>
              <w:jc w:val="center"/>
              <w:rPr>
                <w:kern w:val="20"/>
              </w:rPr>
            </w:pPr>
            <w:r>
              <w:rPr>
                <w:kern w:val="20"/>
              </w:rPr>
              <w:t>1996</w:t>
            </w:r>
          </w:p>
        </w:tc>
        <w:tc>
          <w:tcPr>
            <w:tcW w:w="2493" w:type="dxa"/>
            <w:tcBorders>
              <w:top w:val="nil"/>
              <w:bottom w:val="nil"/>
            </w:tcBorders>
          </w:tcPr>
          <w:p w:rsidR="00000000" w:rsidRDefault="00000000">
            <w:pPr>
              <w:ind w:right="966"/>
              <w:jc w:val="right"/>
              <w:rPr>
                <w:kern w:val="20"/>
              </w:rPr>
            </w:pPr>
            <w:r>
              <w:rPr>
                <w:kern w:val="20"/>
              </w:rPr>
              <w:t>1 198</w:t>
            </w:r>
          </w:p>
        </w:tc>
        <w:tc>
          <w:tcPr>
            <w:tcW w:w="2674" w:type="dxa"/>
            <w:tcBorders>
              <w:top w:val="nil"/>
              <w:bottom w:val="nil"/>
            </w:tcBorders>
          </w:tcPr>
          <w:p w:rsidR="00000000" w:rsidRDefault="00000000">
            <w:pPr>
              <w:ind w:right="1333"/>
              <w:jc w:val="right"/>
              <w:rPr>
                <w:kern w:val="20"/>
              </w:rPr>
            </w:pPr>
            <w:r>
              <w:rPr>
                <w:kern w:val="20"/>
              </w:rPr>
              <w:t>220</w:t>
            </w:r>
          </w:p>
        </w:tc>
      </w:tr>
      <w:tr w:rsidR="00000000">
        <w:tblPrEx>
          <w:tblCellMar>
            <w:top w:w="0" w:type="dxa"/>
            <w:bottom w:w="0" w:type="dxa"/>
          </w:tblCellMar>
        </w:tblPrEx>
        <w:trPr>
          <w:jc w:val="center"/>
        </w:trPr>
        <w:tc>
          <w:tcPr>
            <w:tcW w:w="2051" w:type="dxa"/>
            <w:tcBorders>
              <w:top w:val="nil"/>
              <w:bottom w:val="nil"/>
            </w:tcBorders>
          </w:tcPr>
          <w:p w:rsidR="00000000" w:rsidRDefault="00000000">
            <w:pPr>
              <w:jc w:val="center"/>
              <w:rPr>
                <w:kern w:val="20"/>
              </w:rPr>
            </w:pPr>
            <w:r>
              <w:rPr>
                <w:kern w:val="20"/>
              </w:rPr>
              <w:t>1997</w:t>
            </w:r>
          </w:p>
        </w:tc>
        <w:tc>
          <w:tcPr>
            <w:tcW w:w="2493" w:type="dxa"/>
            <w:tcBorders>
              <w:top w:val="nil"/>
              <w:bottom w:val="nil"/>
            </w:tcBorders>
          </w:tcPr>
          <w:p w:rsidR="00000000" w:rsidRDefault="00000000">
            <w:pPr>
              <w:ind w:right="966"/>
              <w:jc w:val="right"/>
              <w:rPr>
                <w:kern w:val="20"/>
              </w:rPr>
            </w:pPr>
            <w:r>
              <w:rPr>
                <w:kern w:val="20"/>
              </w:rPr>
              <w:t>2 001</w:t>
            </w:r>
          </w:p>
        </w:tc>
        <w:tc>
          <w:tcPr>
            <w:tcW w:w="2674" w:type="dxa"/>
            <w:tcBorders>
              <w:top w:val="nil"/>
              <w:bottom w:val="nil"/>
            </w:tcBorders>
          </w:tcPr>
          <w:p w:rsidR="00000000" w:rsidRDefault="00000000">
            <w:pPr>
              <w:ind w:right="1333"/>
              <w:jc w:val="right"/>
              <w:rPr>
                <w:kern w:val="20"/>
              </w:rPr>
            </w:pPr>
            <w:r>
              <w:rPr>
                <w:kern w:val="20"/>
              </w:rPr>
              <w:t>348</w:t>
            </w:r>
          </w:p>
        </w:tc>
      </w:tr>
      <w:tr w:rsidR="00000000">
        <w:tblPrEx>
          <w:tblCellMar>
            <w:top w:w="0" w:type="dxa"/>
            <w:bottom w:w="0" w:type="dxa"/>
          </w:tblCellMar>
        </w:tblPrEx>
        <w:trPr>
          <w:jc w:val="center"/>
        </w:trPr>
        <w:tc>
          <w:tcPr>
            <w:tcW w:w="2051" w:type="dxa"/>
            <w:tcBorders>
              <w:top w:val="nil"/>
              <w:bottom w:val="nil"/>
            </w:tcBorders>
          </w:tcPr>
          <w:p w:rsidR="00000000" w:rsidRDefault="00000000">
            <w:pPr>
              <w:jc w:val="center"/>
              <w:rPr>
                <w:kern w:val="20"/>
              </w:rPr>
            </w:pPr>
            <w:r>
              <w:rPr>
                <w:kern w:val="20"/>
              </w:rPr>
              <w:t>1998</w:t>
            </w:r>
          </w:p>
        </w:tc>
        <w:tc>
          <w:tcPr>
            <w:tcW w:w="2493" w:type="dxa"/>
            <w:tcBorders>
              <w:top w:val="nil"/>
              <w:bottom w:val="nil"/>
            </w:tcBorders>
          </w:tcPr>
          <w:p w:rsidR="00000000" w:rsidRDefault="00000000">
            <w:pPr>
              <w:ind w:right="966"/>
              <w:jc w:val="right"/>
              <w:rPr>
                <w:kern w:val="20"/>
              </w:rPr>
            </w:pPr>
            <w:r>
              <w:rPr>
                <w:kern w:val="20"/>
              </w:rPr>
              <w:t>2 400</w:t>
            </w:r>
          </w:p>
        </w:tc>
        <w:tc>
          <w:tcPr>
            <w:tcW w:w="2674" w:type="dxa"/>
            <w:tcBorders>
              <w:top w:val="nil"/>
              <w:bottom w:val="nil"/>
            </w:tcBorders>
          </w:tcPr>
          <w:p w:rsidR="00000000" w:rsidRDefault="00000000">
            <w:pPr>
              <w:ind w:right="1333"/>
              <w:jc w:val="right"/>
              <w:rPr>
                <w:kern w:val="20"/>
              </w:rPr>
            </w:pPr>
            <w:r>
              <w:rPr>
                <w:kern w:val="20"/>
              </w:rPr>
              <w:t>414</w:t>
            </w:r>
          </w:p>
        </w:tc>
      </w:tr>
      <w:tr w:rsidR="00000000">
        <w:tblPrEx>
          <w:tblCellMar>
            <w:top w:w="0" w:type="dxa"/>
            <w:bottom w:w="0" w:type="dxa"/>
          </w:tblCellMar>
        </w:tblPrEx>
        <w:trPr>
          <w:jc w:val="center"/>
        </w:trPr>
        <w:tc>
          <w:tcPr>
            <w:tcW w:w="2051" w:type="dxa"/>
            <w:tcBorders>
              <w:top w:val="nil"/>
            </w:tcBorders>
          </w:tcPr>
          <w:p w:rsidR="00000000" w:rsidRDefault="00000000">
            <w:pPr>
              <w:jc w:val="center"/>
              <w:rPr>
                <w:kern w:val="20"/>
              </w:rPr>
            </w:pPr>
            <w:r>
              <w:rPr>
                <w:kern w:val="20"/>
              </w:rPr>
              <w:t>1999</w:t>
            </w:r>
          </w:p>
        </w:tc>
        <w:tc>
          <w:tcPr>
            <w:tcW w:w="2493" w:type="dxa"/>
            <w:tcBorders>
              <w:top w:val="nil"/>
            </w:tcBorders>
          </w:tcPr>
          <w:p w:rsidR="00000000" w:rsidRDefault="00000000">
            <w:pPr>
              <w:ind w:right="966"/>
              <w:jc w:val="right"/>
              <w:rPr>
                <w:kern w:val="20"/>
              </w:rPr>
            </w:pPr>
            <w:r>
              <w:rPr>
                <w:kern w:val="20"/>
              </w:rPr>
              <w:t>2 600</w:t>
            </w:r>
          </w:p>
        </w:tc>
        <w:tc>
          <w:tcPr>
            <w:tcW w:w="2674" w:type="dxa"/>
            <w:tcBorders>
              <w:top w:val="nil"/>
            </w:tcBorders>
          </w:tcPr>
          <w:p w:rsidR="00000000" w:rsidRDefault="00000000">
            <w:pPr>
              <w:ind w:right="1333"/>
              <w:jc w:val="right"/>
              <w:rPr>
                <w:kern w:val="20"/>
              </w:rPr>
            </w:pPr>
            <w:r>
              <w:rPr>
                <w:kern w:val="20"/>
              </w:rPr>
              <w:t>356</w:t>
            </w:r>
          </w:p>
        </w:tc>
      </w:tr>
    </w:tbl>
    <w:p w:rsidR="00000000" w:rsidRDefault="00000000">
      <w:pPr>
        <w:rPr>
          <w:kern w:val="16"/>
        </w:rPr>
      </w:pPr>
    </w:p>
    <w:p w:rsidR="00000000" w:rsidRDefault="00000000">
      <w:pPr>
        <w:rPr>
          <w:kern w:val="16"/>
        </w:rPr>
      </w:pPr>
      <w:r>
        <w:rPr>
          <w:kern w:val="16"/>
        </w:rPr>
        <w:tab/>
      </w:r>
      <w:r>
        <w:rPr>
          <w:kern w:val="16"/>
        </w:rPr>
        <w:tab/>
      </w:r>
      <w:r>
        <w:rPr>
          <w:kern w:val="16"/>
          <w:u w:val="single"/>
        </w:rPr>
        <w:t>Source</w:t>
      </w:r>
      <w:r>
        <w:rPr>
          <w:kern w:val="16"/>
        </w:rPr>
        <w:t>:  Ministry of Labour and Employment.</w:t>
      </w:r>
    </w:p>
    <w:p w:rsidR="00000000" w:rsidRDefault="00000000">
      <w:pPr>
        <w:rPr>
          <w:kern w:val="20"/>
        </w:rPr>
      </w:pPr>
    </w:p>
    <w:p w:rsidR="00000000" w:rsidRDefault="00000000">
      <w:pPr>
        <w:pStyle w:val="Heading1"/>
        <w:spacing w:line="360" w:lineRule="auto"/>
      </w:pPr>
      <w:r>
        <w:t>Table 11</w:t>
      </w:r>
    </w:p>
    <w:p w:rsidR="00000000" w:rsidRDefault="00000000">
      <w:pPr>
        <w:pStyle w:val="Heading1"/>
      </w:pPr>
      <w:r>
        <w:t>Agrarian reform:  rural settlements</w:t>
      </w:r>
    </w:p>
    <w:p w:rsidR="00000000" w:rsidRDefault="00000000">
      <w:pPr>
        <w:rPr>
          <w:kern w:val="20"/>
        </w:rPr>
      </w:pPr>
    </w:p>
    <w:tbl>
      <w:tblPr>
        <w:tblW w:w="0" w:type="auto"/>
        <w:jc w:val="center"/>
        <w:tblInd w:w="-1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2040"/>
        <w:gridCol w:w="2551"/>
        <w:gridCol w:w="2605"/>
      </w:tblGrid>
      <w:tr w:rsidR="00000000">
        <w:tblPrEx>
          <w:tblCellMar>
            <w:top w:w="0" w:type="dxa"/>
            <w:bottom w:w="0" w:type="dxa"/>
          </w:tblCellMar>
        </w:tblPrEx>
        <w:trPr>
          <w:jc w:val="center"/>
        </w:trPr>
        <w:tc>
          <w:tcPr>
            <w:tcW w:w="2040" w:type="dxa"/>
            <w:tcBorders>
              <w:bottom w:val="single" w:sz="4" w:space="0" w:color="auto"/>
            </w:tcBorders>
          </w:tcPr>
          <w:p w:rsidR="00000000" w:rsidRDefault="00000000">
            <w:pPr>
              <w:jc w:val="center"/>
              <w:rPr>
                <w:kern w:val="20"/>
              </w:rPr>
            </w:pPr>
            <w:r>
              <w:rPr>
                <w:kern w:val="20"/>
              </w:rPr>
              <w:t>Year</w:t>
            </w:r>
          </w:p>
        </w:tc>
        <w:tc>
          <w:tcPr>
            <w:tcW w:w="2551" w:type="dxa"/>
            <w:tcBorders>
              <w:bottom w:val="single" w:sz="4" w:space="0" w:color="auto"/>
            </w:tcBorders>
          </w:tcPr>
          <w:p w:rsidR="00000000" w:rsidRDefault="00000000">
            <w:pPr>
              <w:jc w:val="center"/>
              <w:rPr>
                <w:kern w:val="20"/>
              </w:rPr>
            </w:pPr>
            <w:r>
              <w:rPr>
                <w:kern w:val="20"/>
              </w:rPr>
              <w:t>Families settled</w:t>
            </w:r>
          </w:p>
        </w:tc>
        <w:tc>
          <w:tcPr>
            <w:tcW w:w="2605" w:type="dxa"/>
            <w:tcBorders>
              <w:bottom w:val="single" w:sz="4" w:space="0" w:color="auto"/>
            </w:tcBorders>
          </w:tcPr>
          <w:p w:rsidR="00000000" w:rsidRDefault="00000000">
            <w:pPr>
              <w:jc w:val="center"/>
              <w:rPr>
                <w:kern w:val="20"/>
              </w:rPr>
            </w:pPr>
            <w:r>
              <w:rPr>
                <w:kern w:val="20"/>
              </w:rPr>
              <w:t>Settlement projects</w:t>
            </w:r>
          </w:p>
        </w:tc>
      </w:tr>
      <w:tr w:rsidR="00000000">
        <w:tblPrEx>
          <w:tblCellMar>
            <w:top w:w="0" w:type="dxa"/>
            <w:bottom w:w="0" w:type="dxa"/>
          </w:tblCellMar>
        </w:tblPrEx>
        <w:trPr>
          <w:jc w:val="center"/>
        </w:trPr>
        <w:tc>
          <w:tcPr>
            <w:tcW w:w="2040" w:type="dxa"/>
            <w:tcBorders>
              <w:bottom w:val="nil"/>
            </w:tcBorders>
          </w:tcPr>
          <w:p w:rsidR="00000000" w:rsidRDefault="00000000">
            <w:pPr>
              <w:jc w:val="center"/>
              <w:rPr>
                <w:kern w:val="20"/>
              </w:rPr>
            </w:pPr>
            <w:r>
              <w:rPr>
                <w:kern w:val="20"/>
              </w:rPr>
              <w:t>1995</w:t>
            </w:r>
          </w:p>
        </w:tc>
        <w:tc>
          <w:tcPr>
            <w:tcW w:w="2551" w:type="dxa"/>
            <w:tcBorders>
              <w:bottom w:val="nil"/>
            </w:tcBorders>
          </w:tcPr>
          <w:p w:rsidR="00000000" w:rsidRDefault="00000000">
            <w:pPr>
              <w:ind w:right="843"/>
              <w:jc w:val="right"/>
              <w:rPr>
                <w:kern w:val="20"/>
              </w:rPr>
            </w:pPr>
            <w:r>
              <w:rPr>
                <w:kern w:val="20"/>
              </w:rPr>
              <w:t>42 827</w:t>
            </w:r>
          </w:p>
        </w:tc>
        <w:tc>
          <w:tcPr>
            <w:tcW w:w="2605" w:type="dxa"/>
            <w:tcBorders>
              <w:bottom w:val="nil"/>
            </w:tcBorders>
          </w:tcPr>
          <w:p w:rsidR="00000000" w:rsidRDefault="00000000">
            <w:pPr>
              <w:ind w:right="1181"/>
              <w:jc w:val="right"/>
              <w:rPr>
                <w:kern w:val="20"/>
              </w:rPr>
            </w:pPr>
            <w:r>
              <w:rPr>
                <w:kern w:val="20"/>
              </w:rPr>
              <w:t>314</w:t>
            </w:r>
          </w:p>
        </w:tc>
      </w:tr>
      <w:tr w:rsidR="00000000">
        <w:tblPrEx>
          <w:tblCellMar>
            <w:top w:w="0" w:type="dxa"/>
            <w:bottom w:w="0" w:type="dxa"/>
          </w:tblCellMar>
        </w:tblPrEx>
        <w:trPr>
          <w:jc w:val="center"/>
        </w:trPr>
        <w:tc>
          <w:tcPr>
            <w:tcW w:w="2040" w:type="dxa"/>
            <w:tcBorders>
              <w:top w:val="nil"/>
              <w:bottom w:val="nil"/>
            </w:tcBorders>
          </w:tcPr>
          <w:p w:rsidR="00000000" w:rsidRDefault="00000000">
            <w:pPr>
              <w:jc w:val="center"/>
              <w:rPr>
                <w:kern w:val="20"/>
              </w:rPr>
            </w:pPr>
            <w:r>
              <w:rPr>
                <w:kern w:val="20"/>
              </w:rPr>
              <w:t>1996</w:t>
            </w:r>
          </w:p>
        </w:tc>
        <w:tc>
          <w:tcPr>
            <w:tcW w:w="2551" w:type="dxa"/>
            <w:tcBorders>
              <w:top w:val="nil"/>
              <w:bottom w:val="nil"/>
            </w:tcBorders>
          </w:tcPr>
          <w:p w:rsidR="00000000" w:rsidRDefault="00000000">
            <w:pPr>
              <w:ind w:right="843"/>
              <w:jc w:val="right"/>
              <w:rPr>
                <w:kern w:val="20"/>
              </w:rPr>
            </w:pPr>
            <w:r>
              <w:rPr>
                <w:kern w:val="20"/>
              </w:rPr>
              <w:t>61 674</w:t>
            </w:r>
          </w:p>
        </w:tc>
        <w:tc>
          <w:tcPr>
            <w:tcW w:w="2605" w:type="dxa"/>
            <w:tcBorders>
              <w:top w:val="nil"/>
              <w:bottom w:val="nil"/>
            </w:tcBorders>
          </w:tcPr>
          <w:p w:rsidR="00000000" w:rsidRDefault="00000000">
            <w:pPr>
              <w:ind w:right="1181"/>
              <w:jc w:val="right"/>
              <w:rPr>
                <w:kern w:val="20"/>
              </w:rPr>
            </w:pPr>
            <w:r>
              <w:rPr>
                <w:kern w:val="20"/>
              </w:rPr>
              <w:t>433</w:t>
            </w:r>
          </w:p>
        </w:tc>
      </w:tr>
      <w:tr w:rsidR="00000000">
        <w:tblPrEx>
          <w:tblCellMar>
            <w:top w:w="0" w:type="dxa"/>
            <w:bottom w:w="0" w:type="dxa"/>
          </w:tblCellMar>
        </w:tblPrEx>
        <w:trPr>
          <w:jc w:val="center"/>
        </w:trPr>
        <w:tc>
          <w:tcPr>
            <w:tcW w:w="2040" w:type="dxa"/>
            <w:tcBorders>
              <w:top w:val="nil"/>
              <w:bottom w:val="nil"/>
            </w:tcBorders>
          </w:tcPr>
          <w:p w:rsidR="00000000" w:rsidRDefault="00000000">
            <w:pPr>
              <w:jc w:val="center"/>
              <w:rPr>
                <w:kern w:val="20"/>
              </w:rPr>
            </w:pPr>
            <w:r>
              <w:rPr>
                <w:kern w:val="20"/>
              </w:rPr>
              <w:t>1997</w:t>
            </w:r>
          </w:p>
        </w:tc>
        <w:tc>
          <w:tcPr>
            <w:tcW w:w="2551" w:type="dxa"/>
            <w:tcBorders>
              <w:top w:val="nil"/>
              <w:bottom w:val="nil"/>
            </w:tcBorders>
          </w:tcPr>
          <w:p w:rsidR="00000000" w:rsidRDefault="00000000">
            <w:pPr>
              <w:ind w:right="843"/>
              <w:jc w:val="right"/>
              <w:rPr>
                <w:kern w:val="20"/>
              </w:rPr>
            </w:pPr>
            <w:r>
              <w:rPr>
                <w:kern w:val="20"/>
              </w:rPr>
              <w:t>81 944</w:t>
            </w:r>
          </w:p>
        </w:tc>
        <w:tc>
          <w:tcPr>
            <w:tcW w:w="2605" w:type="dxa"/>
            <w:tcBorders>
              <w:top w:val="nil"/>
              <w:bottom w:val="nil"/>
            </w:tcBorders>
          </w:tcPr>
          <w:p w:rsidR="00000000" w:rsidRDefault="00000000">
            <w:pPr>
              <w:ind w:right="1181"/>
              <w:jc w:val="right"/>
              <w:rPr>
                <w:kern w:val="20"/>
              </w:rPr>
            </w:pPr>
            <w:r>
              <w:rPr>
                <w:kern w:val="20"/>
              </w:rPr>
              <w:t>637</w:t>
            </w:r>
          </w:p>
        </w:tc>
      </w:tr>
      <w:tr w:rsidR="00000000">
        <w:tblPrEx>
          <w:tblCellMar>
            <w:top w:w="0" w:type="dxa"/>
            <w:bottom w:w="0" w:type="dxa"/>
          </w:tblCellMar>
        </w:tblPrEx>
        <w:trPr>
          <w:jc w:val="center"/>
        </w:trPr>
        <w:tc>
          <w:tcPr>
            <w:tcW w:w="2040" w:type="dxa"/>
            <w:tcBorders>
              <w:top w:val="nil"/>
              <w:bottom w:val="nil"/>
            </w:tcBorders>
          </w:tcPr>
          <w:p w:rsidR="00000000" w:rsidRDefault="00000000">
            <w:pPr>
              <w:jc w:val="center"/>
              <w:rPr>
                <w:kern w:val="20"/>
              </w:rPr>
            </w:pPr>
            <w:r>
              <w:rPr>
                <w:kern w:val="20"/>
              </w:rPr>
              <w:t>1998</w:t>
            </w:r>
          </w:p>
        </w:tc>
        <w:tc>
          <w:tcPr>
            <w:tcW w:w="2551" w:type="dxa"/>
            <w:tcBorders>
              <w:top w:val="nil"/>
              <w:bottom w:val="nil"/>
            </w:tcBorders>
          </w:tcPr>
          <w:p w:rsidR="00000000" w:rsidRDefault="00000000">
            <w:pPr>
              <w:ind w:right="843"/>
              <w:jc w:val="right"/>
              <w:rPr>
                <w:kern w:val="20"/>
              </w:rPr>
            </w:pPr>
            <w:r>
              <w:rPr>
                <w:kern w:val="20"/>
              </w:rPr>
              <w:t>101 094</w:t>
            </w:r>
          </w:p>
        </w:tc>
        <w:tc>
          <w:tcPr>
            <w:tcW w:w="2605" w:type="dxa"/>
            <w:tcBorders>
              <w:top w:val="nil"/>
              <w:bottom w:val="nil"/>
            </w:tcBorders>
          </w:tcPr>
          <w:p w:rsidR="00000000" w:rsidRDefault="00000000">
            <w:pPr>
              <w:ind w:right="1181"/>
              <w:jc w:val="right"/>
              <w:rPr>
                <w:kern w:val="20"/>
              </w:rPr>
            </w:pPr>
            <w:r>
              <w:rPr>
                <w:kern w:val="20"/>
              </w:rPr>
              <w:t>850</w:t>
            </w:r>
          </w:p>
        </w:tc>
      </w:tr>
      <w:tr w:rsidR="00000000">
        <w:tblPrEx>
          <w:tblCellMar>
            <w:top w:w="0" w:type="dxa"/>
            <w:bottom w:w="0" w:type="dxa"/>
          </w:tblCellMar>
        </w:tblPrEx>
        <w:trPr>
          <w:jc w:val="center"/>
        </w:trPr>
        <w:tc>
          <w:tcPr>
            <w:tcW w:w="2040" w:type="dxa"/>
            <w:tcBorders>
              <w:top w:val="nil"/>
              <w:bottom w:val="single" w:sz="4" w:space="0" w:color="auto"/>
            </w:tcBorders>
          </w:tcPr>
          <w:p w:rsidR="00000000" w:rsidRDefault="00000000">
            <w:pPr>
              <w:jc w:val="center"/>
              <w:rPr>
                <w:kern w:val="20"/>
              </w:rPr>
            </w:pPr>
            <w:r>
              <w:rPr>
                <w:kern w:val="20"/>
              </w:rPr>
              <w:t>1999</w:t>
            </w:r>
          </w:p>
        </w:tc>
        <w:tc>
          <w:tcPr>
            <w:tcW w:w="2551" w:type="dxa"/>
            <w:tcBorders>
              <w:top w:val="nil"/>
              <w:bottom w:val="single" w:sz="4" w:space="0" w:color="auto"/>
            </w:tcBorders>
          </w:tcPr>
          <w:p w:rsidR="00000000" w:rsidRDefault="00000000">
            <w:pPr>
              <w:ind w:right="843"/>
              <w:jc w:val="right"/>
              <w:rPr>
                <w:kern w:val="20"/>
              </w:rPr>
            </w:pPr>
            <w:r>
              <w:rPr>
                <w:kern w:val="20"/>
              </w:rPr>
              <w:t>85 327</w:t>
            </w:r>
          </w:p>
        </w:tc>
        <w:tc>
          <w:tcPr>
            <w:tcW w:w="2605" w:type="dxa"/>
            <w:tcBorders>
              <w:top w:val="nil"/>
              <w:bottom w:val="single" w:sz="4" w:space="0" w:color="auto"/>
            </w:tcBorders>
          </w:tcPr>
          <w:p w:rsidR="00000000" w:rsidRDefault="00000000">
            <w:pPr>
              <w:ind w:right="1181"/>
              <w:jc w:val="right"/>
              <w:rPr>
                <w:kern w:val="20"/>
              </w:rPr>
            </w:pPr>
            <w:r>
              <w:rPr>
                <w:kern w:val="20"/>
              </w:rPr>
              <w:t>489</w:t>
            </w:r>
          </w:p>
        </w:tc>
      </w:tr>
      <w:tr w:rsidR="00000000">
        <w:tblPrEx>
          <w:tblCellMar>
            <w:top w:w="0" w:type="dxa"/>
            <w:bottom w:w="0" w:type="dxa"/>
          </w:tblCellMar>
        </w:tblPrEx>
        <w:trPr>
          <w:jc w:val="center"/>
        </w:trPr>
        <w:tc>
          <w:tcPr>
            <w:tcW w:w="2040" w:type="dxa"/>
            <w:tcBorders>
              <w:top w:val="single" w:sz="4" w:space="0" w:color="auto"/>
            </w:tcBorders>
          </w:tcPr>
          <w:p w:rsidR="00000000" w:rsidRDefault="00000000">
            <w:pPr>
              <w:jc w:val="center"/>
              <w:rPr>
                <w:kern w:val="20"/>
              </w:rPr>
            </w:pPr>
            <w:r>
              <w:rPr>
                <w:kern w:val="20"/>
              </w:rPr>
              <w:t>Total</w:t>
            </w:r>
          </w:p>
        </w:tc>
        <w:tc>
          <w:tcPr>
            <w:tcW w:w="2551" w:type="dxa"/>
            <w:tcBorders>
              <w:top w:val="single" w:sz="4" w:space="0" w:color="auto"/>
            </w:tcBorders>
          </w:tcPr>
          <w:p w:rsidR="00000000" w:rsidRDefault="00000000">
            <w:pPr>
              <w:ind w:right="843"/>
              <w:jc w:val="right"/>
              <w:rPr>
                <w:kern w:val="20"/>
              </w:rPr>
            </w:pPr>
            <w:r>
              <w:rPr>
                <w:kern w:val="20"/>
              </w:rPr>
              <w:t>372 866</w:t>
            </w:r>
          </w:p>
        </w:tc>
        <w:tc>
          <w:tcPr>
            <w:tcW w:w="2605" w:type="dxa"/>
            <w:tcBorders>
              <w:top w:val="single" w:sz="4" w:space="0" w:color="auto"/>
            </w:tcBorders>
          </w:tcPr>
          <w:p w:rsidR="00000000" w:rsidRDefault="00000000">
            <w:pPr>
              <w:ind w:right="1181"/>
              <w:jc w:val="right"/>
              <w:rPr>
                <w:kern w:val="20"/>
              </w:rPr>
            </w:pPr>
            <w:r>
              <w:rPr>
                <w:kern w:val="20"/>
              </w:rPr>
              <w:t>2 723</w:t>
            </w:r>
          </w:p>
        </w:tc>
      </w:tr>
    </w:tbl>
    <w:p w:rsidR="00000000" w:rsidRDefault="00000000">
      <w:pPr>
        <w:rPr>
          <w:kern w:val="16"/>
        </w:rPr>
      </w:pPr>
    </w:p>
    <w:p w:rsidR="00000000" w:rsidRDefault="00000000">
      <w:pPr>
        <w:rPr>
          <w:kern w:val="16"/>
        </w:rPr>
      </w:pPr>
      <w:r>
        <w:rPr>
          <w:kern w:val="16"/>
        </w:rPr>
        <w:tab/>
      </w:r>
      <w:r>
        <w:rPr>
          <w:kern w:val="16"/>
        </w:rPr>
        <w:tab/>
      </w:r>
      <w:r>
        <w:rPr>
          <w:kern w:val="16"/>
          <w:u w:val="single"/>
        </w:rPr>
        <w:t>Source</w:t>
      </w:r>
      <w:r>
        <w:rPr>
          <w:kern w:val="16"/>
        </w:rPr>
        <w:t>:  Agrarian Development Ministry.</w:t>
      </w:r>
    </w:p>
    <w:p w:rsidR="00000000" w:rsidRDefault="00000000">
      <w:pPr>
        <w:pStyle w:val="Heading1"/>
        <w:rPr>
          <w:kern w:val="2"/>
        </w:rPr>
      </w:pPr>
      <w:r>
        <w:rPr>
          <w:kern w:val="2"/>
        </w:rPr>
        <w:t>Table 12</w:t>
      </w:r>
    </w:p>
    <w:p w:rsidR="00000000" w:rsidRDefault="00000000">
      <w:pPr>
        <w:pStyle w:val="Heading1"/>
        <w:rPr>
          <w:kern w:val="2"/>
        </w:rPr>
      </w:pPr>
    </w:p>
    <w:p w:rsidR="00000000" w:rsidRDefault="00000000">
      <w:pPr>
        <w:pStyle w:val="Heading1"/>
        <w:rPr>
          <w:kern w:val="2"/>
        </w:rPr>
      </w:pPr>
      <w:r>
        <w:rPr>
          <w:kern w:val="2"/>
        </w:rPr>
        <w:t xml:space="preserve">Agrarian </w:t>
      </w:r>
      <w:r>
        <w:t>reform</w:t>
      </w:r>
      <w:r>
        <w:rPr>
          <w:kern w:val="2"/>
        </w:rPr>
        <w:t>:  expropriations</w:t>
      </w:r>
    </w:p>
    <w:p w:rsidR="00000000" w:rsidRDefault="00000000">
      <w:pPr>
        <w:rPr>
          <w:kern w:val="2"/>
        </w:rPr>
      </w:pPr>
    </w:p>
    <w:tbl>
      <w:tblPr>
        <w:tblW w:w="0" w:type="auto"/>
        <w:jc w:val="center"/>
        <w:tblInd w:w="-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1326"/>
        <w:gridCol w:w="2551"/>
      </w:tblGrid>
      <w:tr w:rsidR="00000000">
        <w:tblPrEx>
          <w:tblCellMar>
            <w:top w:w="0" w:type="dxa"/>
            <w:bottom w:w="0" w:type="dxa"/>
          </w:tblCellMar>
        </w:tblPrEx>
        <w:trPr>
          <w:jc w:val="center"/>
        </w:trPr>
        <w:tc>
          <w:tcPr>
            <w:tcW w:w="1326" w:type="dxa"/>
            <w:tcBorders>
              <w:bottom w:val="single" w:sz="4" w:space="0" w:color="auto"/>
            </w:tcBorders>
          </w:tcPr>
          <w:p w:rsidR="00000000" w:rsidRDefault="00000000">
            <w:pPr>
              <w:jc w:val="center"/>
              <w:rPr>
                <w:kern w:val="2"/>
              </w:rPr>
            </w:pPr>
            <w:r>
              <w:rPr>
                <w:kern w:val="2"/>
              </w:rPr>
              <w:t>Period</w:t>
            </w:r>
          </w:p>
        </w:tc>
        <w:tc>
          <w:tcPr>
            <w:tcW w:w="2551" w:type="dxa"/>
            <w:tcBorders>
              <w:bottom w:val="single" w:sz="4" w:space="0" w:color="auto"/>
            </w:tcBorders>
          </w:tcPr>
          <w:p w:rsidR="00000000" w:rsidRDefault="00000000">
            <w:pPr>
              <w:jc w:val="center"/>
              <w:rPr>
                <w:kern w:val="2"/>
              </w:rPr>
            </w:pPr>
            <w:r>
              <w:rPr>
                <w:kern w:val="2"/>
              </w:rPr>
              <w:t>Hectares expropriated</w:t>
            </w:r>
          </w:p>
        </w:tc>
      </w:tr>
      <w:tr w:rsidR="00000000">
        <w:tblPrEx>
          <w:tblCellMar>
            <w:top w:w="0" w:type="dxa"/>
            <w:bottom w:w="0" w:type="dxa"/>
          </w:tblCellMar>
        </w:tblPrEx>
        <w:trPr>
          <w:jc w:val="center"/>
        </w:trPr>
        <w:tc>
          <w:tcPr>
            <w:tcW w:w="1326" w:type="dxa"/>
            <w:tcBorders>
              <w:bottom w:val="nil"/>
            </w:tcBorders>
          </w:tcPr>
          <w:p w:rsidR="00000000" w:rsidRDefault="00000000">
            <w:pPr>
              <w:ind w:right="230"/>
              <w:jc w:val="right"/>
              <w:rPr>
                <w:kern w:val="2"/>
              </w:rPr>
            </w:pPr>
            <w:r>
              <w:rPr>
                <w:kern w:val="2"/>
              </w:rPr>
              <w:t>1985/89</w:t>
            </w:r>
          </w:p>
        </w:tc>
        <w:tc>
          <w:tcPr>
            <w:tcW w:w="2551" w:type="dxa"/>
            <w:tcBorders>
              <w:bottom w:val="nil"/>
            </w:tcBorders>
          </w:tcPr>
          <w:p w:rsidR="00000000" w:rsidRDefault="00000000">
            <w:pPr>
              <w:jc w:val="center"/>
              <w:rPr>
                <w:kern w:val="2"/>
              </w:rPr>
            </w:pPr>
            <w:r>
              <w:rPr>
                <w:kern w:val="2"/>
              </w:rPr>
              <w:t>4 191 147</w:t>
            </w:r>
          </w:p>
        </w:tc>
      </w:tr>
      <w:tr w:rsidR="00000000">
        <w:tblPrEx>
          <w:tblCellMar>
            <w:top w:w="0" w:type="dxa"/>
            <w:bottom w:w="0" w:type="dxa"/>
          </w:tblCellMar>
        </w:tblPrEx>
        <w:trPr>
          <w:jc w:val="center"/>
        </w:trPr>
        <w:tc>
          <w:tcPr>
            <w:tcW w:w="1326" w:type="dxa"/>
            <w:tcBorders>
              <w:top w:val="nil"/>
              <w:bottom w:val="nil"/>
            </w:tcBorders>
          </w:tcPr>
          <w:p w:rsidR="00000000" w:rsidRDefault="00000000">
            <w:pPr>
              <w:ind w:right="230"/>
              <w:jc w:val="right"/>
              <w:rPr>
                <w:kern w:val="2"/>
              </w:rPr>
            </w:pPr>
            <w:r>
              <w:rPr>
                <w:kern w:val="2"/>
              </w:rPr>
              <w:t>1990/93</w:t>
            </w:r>
          </w:p>
        </w:tc>
        <w:tc>
          <w:tcPr>
            <w:tcW w:w="2551" w:type="dxa"/>
            <w:tcBorders>
              <w:top w:val="nil"/>
              <w:bottom w:val="nil"/>
            </w:tcBorders>
          </w:tcPr>
          <w:p w:rsidR="00000000" w:rsidRDefault="00000000">
            <w:pPr>
              <w:jc w:val="center"/>
              <w:rPr>
                <w:kern w:val="2"/>
              </w:rPr>
            </w:pPr>
            <w:r>
              <w:rPr>
                <w:kern w:val="2"/>
              </w:rPr>
              <w:t>2 775 282</w:t>
            </w:r>
          </w:p>
        </w:tc>
      </w:tr>
      <w:tr w:rsidR="00000000">
        <w:tblPrEx>
          <w:tblCellMar>
            <w:top w:w="0" w:type="dxa"/>
            <w:bottom w:w="0" w:type="dxa"/>
          </w:tblCellMar>
        </w:tblPrEx>
        <w:trPr>
          <w:jc w:val="center"/>
        </w:trPr>
        <w:tc>
          <w:tcPr>
            <w:tcW w:w="1326" w:type="dxa"/>
            <w:tcBorders>
              <w:top w:val="nil"/>
              <w:bottom w:val="nil"/>
            </w:tcBorders>
          </w:tcPr>
          <w:p w:rsidR="00000000" w:rsidRDefault="00000000">
            <w:pPr>
              <w:ind w:right="230"/>
              <w:jc w:val="right"/>
              <w:rPr>
                <w:kern w:val="2"/>
              </w:rPr>
            </w:pPr>
            <w:r>
              <w:rPr>
                <w:kern w:val="2"/>
              </w:rPr>
              <w:t>1993/94</w:t>
            </w:r>
          </w:p>
        </w:tc>
        <w:tc>
          <w:tcPr>
            <w:tcW w:w="2551" w:type="dxa"/>
            <w:tcBorders>
              <w:top w:val="nil"/>
              <w:bottom w:val="nil"/>
            </w:tcBorders>
          </w:tcPr>
          <w:p w:rsidR="00000000" w:rsidRDefault="00000000">
            <w:pPr>
              <w:jc w:val="center"/>
              <w:rPr>
                <w:kern w:val="2"/>
              </w:rPr>
            </w:pPr>
            <w:r>
              <w:rPr>
                <w:kern w:val="2"/>
              </w:rPr>
              <w:t>1 086 546</w:t>
            </w:r>
          </w:p>
        </w:tc>
      </w:tr>
      <w:tr w:rsidR="00000000">
        <w:tblPrEx>
          <w:tblCellMar>
            <w:top w:w="0" w:type="dxa"/>
            <w:bottom w:w="0" w:type="dxa"/>
          </w:tblCellMar>
        </w:tblPrEx>
        <w:trPr>
          <w:jc w:val="center"/>
        </w:trPr>
        <w:tc>
          <w:tcPr>
            <w:tcW w:w="1326" w:type="dxa"/>
            <w:tcBorders>
              <w:top w:val="nil"/>
              <w:bottom w:val="nil"/>
            </w:tcBorders>
          </w:tcPr>
          <w:p w:rsidR="00000000" w:rsidRDefault="00000000">
            <w:pPr>
              <w:ind w:right="230"/>
              <w:jc w:val="right"/>
              <w:rPr>
                <w:kern w:val="2"/>
              </w:rPr>
            </w:pPr>
            <w:r>
              <w:rPr>
                <w:kern w:val="2"/>
              </w:rPr>
              <w:t>1995/98</w:t>
            </w:r>
          </w:p>
        </w:tc>
        <w:tc>
          <w:tcPr>
            <w:tcW w:w="2551" w:type="dxa"/>
            <w:tcBorders>
              <w:top w:val="nil"/>
              <w:bottom w:val="nil"/>
            </w:tcBorders>
          </w:tcPr>
          <w:p w:rsidR="00000000" w:rsidRDefault="00000000">
            <w:pPr>
              <w:jc w:val="center"/>
              <w:rPr>
                <w:kern w:val="2"/>
              </w:rPr>
            </w:pPr>
            <w:r>
              <w:rPr>
                <w:kern w:val="2"/>
              </w:rPr>
              <w:t>7 321 270</w:t>
            </w:r>
          </w:p>
        </w:tc>
      </w:tr>
      <w:tr w:rsidR="00000000">
        <w:tblPrEx>
          <w:tblCellMar>
            <w:top w:w="0" w:type="dxa"/>
            <w:bottom w:w="0" w:type="dxa"/>
          </w:tblCellMar>
        </w:tblPrEx>
        <w:trPr>
          <w:jc w:val="center"/>
        </w:trPr>
        <w:tc>
          <w:tcPr>
            <w:tcW w:w="1326" w:type="dxa"/>
            <w:tcBorders>
              <w:top w:val="nil"/>
            </w:tcBorders>
          </w:tcPr>
          <w:p w:rsidR="00000000" w:rsidRDefault="00000000">
            <w:pPr>
              <w:ind w:right="230"/>
              <w:jc w:val="right"/>
              <w:rPr>
                <w:kern w:val="2"/>
              </w:rPr>
            </w:pPr>
            <w:r>
              <w:rPr>
                <w:kern w:val="2"/>
              </w:rPr>
              <w:t>1999</w:t>
            </w:r>
          </w:p>
        </w:tc>
        <w:tc>
          <w:tcPr>
            <w:tcW w:w="2551" w:type="dxa"/>
            <w:tcBorders>
              <w:top w:val="nil"/>
            </w:tcBorders>
          </w:tcPr>
          <w:p w:rsidR="00000000" w:rsidRDefault="00000000">
            <w:pPr>
              <w:jc w:val="center"/>
              <w:rPr>
                <w:kern w:val="2"/>
              </w:rPr>
            </w:pPr>
            <w:r>
              <w:rPr>
                <w:kern w:val="2"/>
              </w:rPr>
              <w:t>1 463 844</w:t>
            </w:r>
          </w:p>
        </w:tc>
      </w:tr>
    </w:tbl>
    <w:p w:rsidR="00000000" w:rsidRDefault="00000000">
      <w:pPr>
        <w:rPr>
          <w:kern w:val="2"/>
        </w:rPr>
      </w:pPr>
    </w:p>
    <w:p w:rsidR="00000000" w:rsidRDefault="00000000">
      <w:pPr>
        <w:ind w:left="2880"/>
        <w:rPr>
          <w:kern w:val="2"/>
        </w:rPr>
      </w:pPr>
      <w:r>
        <w:rPr>
          <w:kern w:val="2"/>
        </w:rPr>
        <w:t xml:space="preserve">  </w:t>
      </w:r>
      <w:r>
        <w:rPr>
          <w:kern w:val="2"/>
          <w:u w:val="single"/>
        </w:rPr>
        <w:t>Source</w:t>
      </w:r>
      <w:r>
        <w:rPr>
          <w:kern w:val="2"/>
        </w:rPr>
        <w:t>:  Agrarian Development Ministry</w:t>
      </w:r>
    </w:p>
    <w:p w:rsidR="00000000" w:rsidRDefault="00000000">
      <w:pPr>
        <w:rPr>
          <w:kern w:val="2"/>
        </w:rPr>
      </w:pPr>
    </w:p>
    <w:p w:rsidR="00000000" w:rsidRDefault="00000000">
      <w:pPr>
        <w:pStyle w:val="Heading1"/>
        <w:rPr>
          <w:kern w:val="2"/>
        </w:rPr>
      </w:pPr>
      <w:r>
        <w:rPr>
          <w:kern w:val="2"/>
        </w:rPr>
        <w:t>Table 13</w:t>
      </w:r>
    </w:p>
    <w:p w:rsidR="00000000" w:rsidRDefault="00000000">
      <w:pPr>
        <w:pStyle w:val="Heading1"/>
        <w:rPr>
          <w:kern w:val="2"/>
        </w:rPr>
      </w:pPr>
    </w:p>
    <w:p w:rsidR="00000000" w:rsidRDefault="00000000">
      <w:pPr>
        <w:pStyle w:val="Heading1"/>
        <w:rPr>
          <w:kern w:val="2"/>
        </w:rPr>
      </w:pPr>
      <w:r>
        <w:rPr>
          <w:kern w:val="2"/>
        </w:rPr>
        <w:t>Primary education (grades 1</w:t>
      </w:r>
      <w:r>
        <w:rPr>
          <w:kern w:val="2"/>
        </w:rPr>
        <w:noBreakHyphen/>
        <w:t xml:space="preserve">8):  number of </w:t>
      </w:r>
    </w:p>
    <w:p w:rsidR="00000000" w:rsidRDefault="00000000">
      <w:pPr>
        <w:pStyle w:val="Heading1"/>
        <w:rPr>
          <w:kern w:val="2"/>
        </w:rPr>
      </w:pPr>
      <w:r>
        <w:rPr>
          <w:kern w:val="2"/>
        </w:rPr>
        <w:t>students registered (in thousands)</w:t>
      </w:r>
    </w:p>
    <w:p w:rsidR="00000000" w:rsidRDefault="00000000">
      <w:pPr>
        <w:rPr>
          <w:kern w:val="2"/>
        </w:rPr>
      </w:pPr>
    </w:p>
    <w:tbl>
      <w:tblPr>
        <w:tblW w:w="0" w:type="auto"/>
        <w:jc w:val="center"/>
        <w:tblInd w:w="-1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2195"/>
        <w:gridCol w:w="1693"/>
        <w:gridCol w:w="1695"/>
        <w:gridCol w:w="1492"/>
      </w:tblGrid>
      <w:tr w:rsidR="00000000">
        <w:tblPrEx>
          <w:tblCellMar>
            <w:top w:w="0" w:type="dxa"/>
            <w:bottom w:w="0" w:type="dxa"/>
          </w:tblCellMar>
        </w:tblPrEx>
        <w:trPr>
          <w:jc w:val="center"/>
        </w:trPr>
        <w:tc>
          <w:tcPr>
            <w:tcW w:w="2195" w:type="dxa"/>
            <w:tcBorders>
              <w:bottom w:val="single" w:sz="4" w:space="0" w:color="auto"/>
            </w:tcBorders>
          </w:tcPr>
          <w:p w:rsidR="00000000" w:rsidRDefault="00000000">
            <w:pPr>
              <w:jc w:val="center"/>
              <w:rPr>
                <w:kern w:val="2"/>
              </w:rPr>
            </w:pPr>
            <w:r>
              <w:rPr>
                <w:kern w:val="2"/>
              </w:rPr>
              <w:t>Period</w:t>
            </w:r>
          </w:p>
        </w:tc>
        <w:tc>
          <w:tcPr>
            <w:tcW w:w="1693" w:type="dxa"/>
            <w:tcBorders>
              <w:bottom w:val="single" w:sz="4" w:space="0" w:color="auto"/>
            </w:tcBorders>
          </w:tcPr>
          <w:p w:rsidR="00000000" w:rsidRDefault="00000000">
            <w:pPr>
              <w:jc w:val="center"/>
              <w:rPr>
                <w:kern w:val="2"/>
              </w:rPr>
            </w:pPr>
            <w:r>
              <w:rPr>
                <w:kern w:val="2"/>
              </w:rPr>
              <w:t>Grades 1</w:t>
            </w:r>
            <w:r>
              <w:rPr>
                <w:kern w:val="2"/>
              </w:rPr>
              <w:noBreakHyphen/>
              <w:t>4</w:t>
            </w:r>
          </w:p>
        </w:tc>
        <w:tc>
          <w:tcPr>
            <w:tcW w:w="1695" w:type="dxa"/>
            <w:tcBorders>
              <w:bottom w:val="single" w:sz="4" w:space="0" w:color="auto"/>
            </w:tcBorders>
          </w:tcPr>
          <w:p w:rsidR="00000000" w:rsidRDefault="00000000">
            <w:pPr>
              <w:jc w:val="center"/>
              <w:rPr>
                <w:kern w:val="2"/>
              </w:rPr>
            </w:pPr>
            <w:r>
              <w:rPr>
                <w:kern w:val="2"/>
              </w:rPr>
              <w:t>Grades 5</w:t>
            </w:r>
            <w:r>
              <w:rPr>
                <w:kern w:val="2"/>
              </w:rPr>
              <w:noBreakHyphen/>
              <w:t>8</w:t>
            </w:r>
          </w:p>
        </w:tc>
        <w:tc>
          <w:tcPr>
            <w:tcW w:w="1492" w:type="dxa"/>
            <w:tcBorders>
              <w:bottom w:val="single" w:sz="4" w:space="0" w:color="auto"/>
            </w:tcBorders>
          </w:tcPr>
          <w:p w:rsidR="00000000" w:rsidRDefault="00000000">
            <w:pPr>
              <w:jc w:val="center"/>
              <w:rPr>
                <w:kern w:val="2"/>
              </w:rPr>
            </w:pPr>
            <w:r>
              <w:rPr>
                <w:kern w:val="2"/>
              </w:rPr>
              <w:t>Total</w:t>
            </w:r>
          </w:p>
        </w:tc>
      </w:tr>
      <w:tr w:rsidR="00000000">
        <w:tblPrEx>
          <w:tblCellMar>
            <w:top w:w="0" w:type="dxa"/>
            <w:bottom w:w="0" w:type="dxa"/>
          </w:tblCellMar>
        </w:tblPrEx>
        <w:trPr>
          <w:jc w:val="center"/>
        </w:trPr>
        <w:tc>
          <w:tcPr>
            <w:tcW w:w="2195" w:type="dxa"/>
            <w:tcBorders>
              <w:bottom w:val="nil"/>
            </w:tcBorders>
          </w:tcPr>
          <w:p w:rsidR="00000000" w:rsidRDefault="00000000">
            <w:pPr>
              <w:jc w:val="center"/>
              <w:rPr>
                <w:kern w:val="2"/>
              </w:rPr>
            </w:pPr>
            <w:r>
              <w:rPr>
                <w:kern w:val="2"/>
              </w:rPr>
              <w:t>1996</w:t>
            </w:r>
          </w:p>
        </w:tc>
        <w:tc>
          <w:tcPr>
            <w:tcW w:w="1693" w:type="dxa"/>
            <w:tcBorders>
              <w:bottom w:val="nil"/>
            </w:tcBorders>
          </w:tcPr>
          <w:p w:rsidR="00000000" w:rsidRDefault="00000000">
            <w:pPr>
              <w:jc w:val="center"/>
              <w:rPr>
                <w:kern w:val="2"/>
              </w:rPr>
            </w:pPr>
            <w:r>
              <w:rPr>
                <w:kern w:val="2"/>
              </w:rPr>
              <w:t>20 027</w:t>
            </w:r>
          </w:p>
        </w:tc>
        <w:tc>
          <w:tcPr>
            <w:tcW w:w="1695" w:type="dxa"/>
            <w:tcBorders>
              <w:bottom w:val="nil"/>
            </w:tcBorders>
          </w:tcPr>
          <w:p w:rsidR="00000000" w:rsidRDefault="00000000">
            <w:pPr>
              <w:jc w:val="center"/>
              <w:rPr>
                <w:kern w:val="2"/>
              </w:rPr>
            </w:pPr>
            <w:r>
              <w:rPr>
                <w:kern w:val="2"/>
              </w:rPr>
              <w:t>13 104</w:t>
            </w:r>
          </w:p>
        </w:tc>
        <w:tc>
          <w:tcPr>
            <w:tcW w:w="1492" w:type="dxa"/>
            <w:tcBorders>
              <w:bottom w:val="nil"/>
            </w:tcBorders>
          </w:tcPr>
          <w:p w:rsidR="00000000" w:rsidRDefault="00000000">
            <w:pPr>
              <w:jc w:val="center"/>
              <w:rPr>
                <w:kern w:val="2"/>
              </w:rPr>
            </w:pPr>
            <w:r>
              <w:rPr>
                <w:kern w:val="2"/>
              </w:rPr>
              <w:t>33 131</w:t>
            </w:r>
          </w:p>
        </w:tc>
      </w:tr>
      <w:tr w:rsidR="00000000">
        <w:tblPrEx>
          <w:tblCellMar>
            <w:top w:w="0" w:type="dxa"/>
            <w:bottom w:w="0" w:type="dxa"/>
          </w:tblCellMar>
        </w:tblPrEx>
        <w:trPr>
          <w:jc w:val="center"/>
        </w:trPr>
        <w:tc>
          <w:tcPr>
            <w:tcW w:w="2195" w:type="dxa"/>
            <w:tcBorders>
              <w:top w:val="nil"/>
              <w:bottom w:val="nil"/>
            </w:tcBorders>
          </w:tcPr>
          <w:p w:rsidR="00000000" w:rsidRDefault="00000000">
            <w:pPr>
              <w:jc w:val="center"/>
              <w:rPr>
                <w:kern w:val="2"/>
              </w:rPr>
            </w:pPr>
            <w:r>
              <w:rPr>
                <w:kern w:val="2"/>
              </w:rPr>
              <w:t>1997</w:t>
            </w:r>
          </w:p>
        </w:tc>
        <w:tc>
          <w:tcPr>
            <w:tcW w:w="1693" w:type="dxa"/>
            <w:tcBorders>
              <w:top w:val="nil"/>
              <w:bottom w:val="nil"/>
            </w:tcBorders>
          </w:tcPr>
          <w:p w:rsidR="00000000" w:rsidRDefault="00000000">
            <w:pPr>
              <w:jc w:val="center"/>
              <w:rPr>
                <w:kern w:val="2"/>
              </w:rPr>
            </w:pPr>
            <w:r>
              <w:rPr>
                <w:kern w:val="2"/>
              </w:rPr>
              <w:t>20 568</w:t>
            </w:r>
          </w:p>
        </w:tc>
        <w:tc>
          <w:tcPr>
            <w:tcW w:w="1695" w:type="dxa"/>
            <w:tcBorders>
              <w:top w:val="nil"/>
              <w:bottom w:val="nil"/>
            </w:tcBorders>
          </w:tcPr>
          <w:p w:rsidR="00000000" w:rsidRDefault="00000000">
            <w:pPr>
              <w:jc w:val="center"/>
              <w:rPr>
                <w:kern w:val="2"/>
              </w:rPr>
            </w:pPr>
            <w:r>
              <w:rPr>
                <w:kern w:val="2"/>
              </w:rPr>
              <w:t>13 661</w:t>
            </w:r>
          </w:p>
        </w:tc>
        <w:tc>
          <w:tcPr>
            <w:tcW w:w="1492" w:type="dxa"/>
            <w:tcBorders>
              <w:top w:val="nil"/>
              <w:bottom w:val="nil"/>
            </w:tcBorders>
          </w:tcPr>
          <w:p w:rsidR="00000000" w:rsidRDefault="00000000">
            <w:pPr>
              <w:jc w:val="center"/>
              <w:rPr>
                <w:kern w:val="2"/>
              </w:rPr>
            </w:pPr>
            <w:r>
              <w:rPr>
                <w:kern w:val="2"/>
              </w:rPr>
              <w:t>34 229</w:t>
            </w:r>
          </w:p>
        </w:tc>
      </w:tr>
      <w:tr w:rsidR="00000000">
        <w:tblPrEx>
          <w:tblCellMar>
            <w:top w:w="0" w:type="dxa"/>
            <w:bottom w:w="0" w:type="dxa"/>
          </w:tblCellMar>
        </w:tblPrEx>
        <w:trPr>
          <w:jc w:val="center"/>
        </w:trPr>
        <w:tc>
          <w:tcPr>
            <w:tcW w:w="2195" w:type="dxa"/>
            <w:tcBorders>
              <w:top w:val="nil"/>
              <w:bottom w:val="nil"/>
            </w:tcBorders>
          </w:tcPr>
          <w:p w:rsidR="00000000" w:rsidRDefault="00000000">
            <w:pPr>
              <w:jc w:val="center"/>
              <w:rPr>
                <w:kern w:val="2"/>
              </w:rPr>
            </w:pPr>
            <w:r>
              <w:rPr>
                <w:kern w:val="2"/>
              </w:rPr>
              <w:t>1998</w:t>
            </w:r>
          </w:p>
        </w:tc>
        <w:tc>
          <w:tcPr>
            <w:tcW w:w="1693" w:type="dxa"/>
            <w:tcBorders>
              <w:top w:val="nil"/>
              <w:bottom w:val="nil"/>
            </w:tcBorders>
          </w:tcPr>
          <w:p w:rsidR="00000000" w:rsidRDefault="00000000">
            <w:pPr>
              <w:jc w:val="center"/>
              <w:rPr>
                <w:kern w:val="2"/>
              </w:rPr>
            </w:pPr>
            <w:r>
              <w:rPr>
                <w:kern w:val="2"/>
              </w:rPr>
              <w:t>21 333</w:t>
            </w:r>
          </w:p>
        </w:tc>
        <w:tc>
          <w:tcPr>
            <w:tcW w:w="1695" w:type="dxa"/>
            <w:tcBorders>
              <w:top w:val="nil"/>
              <w:bottom w:val="nil"/>
            </w:tcBorders>
          </w:tcPr>
          <w:p w:rsidR="00000000" w:rsidRDefault="00000000">
            <w:pPr>
              <w:jc w:val="center"/>
              <w:rPr>
                <w:kern w:val="2"/>
              </w:rPr>
            </w:pPr>
            <w:r>
              <w:rPr>
                <w:kern w:val="2"/>
              </w:rPr>
              <w:t>14 459</w:t>
            </w:r>
          </w:p>
        </w:tc>
        <w:tc>
          <w:tcPr>
            <w:tcW w:w="1492" w:type="dxa"/>
            <w:tcBorders>
              <w:top w:val="nil"/>
              <w:bottom w:val="nil"/>
            </w:tcBorders>
          </w:tcPr>
          <w:p w:rsidR="00000000" w:rsidRDefault="00000000">
            <w:pPr>
              <w:jc w:val="center"/>
              <w:rPr>
                <w:kern w:val="2"/>
              </w:rPr>
            </w:pPr>
            <w:r>
              <w:rPr>
                <w:kern w:val="2"/>
              </w:rPr>
              <w:t>35 793</w:t>
            </w:r>
          </w:p>
        </w:tc>
      </w:tr>
      <w:tr w:rsidR="00000000">
        <w:tblPrEx>
          <w:tblCellMar>
            <w:top w:w="0" w:type="dxa"/>
            <w:bottom w:w="0" w:type="dxa"/>
          </w:tblCellMar>
        </w:tblPrEx>
        <w:trPr>
          <w:jc w:val="center"/>
        </w:trPr>
        <w:tc>
          <w:tcPr>
            <w:tcW w:w="2195" w:type="dxa"/>
            <w:tcBorders>
              <w:top w:val="nil"/>
            </w:tcBorders>
          </w:tcPr>
          <w:p w:rsidR="00000000" w:rsidRDefault="00000000">
            <w:pPr>
              <w:jc w:val="center"/>
              <w:rPr>
                <w:kern w:val="2"/>
              </w:rPr>
            </w:pPr>
            <w:r>
              <w:rPr>
                <w:kern w:val="2"/>
              </w:rPr>
              <w:t>1999</w:t>
            </w:r>
          </w:p>
        </w:tc>
        <w:tc>
          <w:tcPr>
            <w:tcW w:w="1693" w:type="dxa"/>
            <w:tcBorders>
              <w:top w:val="nil"/>
            </w:tcBorders>
          </w:tcPr>
          <w:p w:rsidR="00000000" w:rsidRDefault="00000000">
            <w:pPr>
              <w:jc w:val="center"/>
              <w:rPr>
                <w:kern w:val="2"/>
              </w:rPr>
            </w:pPr>
            <w:r>
              <w:rPr>
                <w:kern w:val="2"/>
              </w:rPr>
              <w:t>21 014</w:t>
            </w:r>
          </w:p>
        </w:tc>
        <w:tc>
          <w:tcPr>
            <w:tcW w:w="1695" w:type="dxa"/>
            <w:tcBorders>
              <w:top w:val="nil"/>
            </w:tcBorders>
          </w:tcPr>
          <w:p w:rsidR="00000000" w:rsidRDefault="00000000">
            <w:pPr>
              <w:jc w:val="center"/>
              <w:rPr>
                <w:kern w:val="2"/>
              </w:rPr>
            </w:pPr>
            <w:r>
              <w:rPr>
                <w:kern w:val="2"/>
              </w:rPr>
              <w:t>15 157</w:t>
            </w:r>
          </w:p>
        </w:tc>
        <w:tc>
          <w:tcPr>
            <w:tcW w:w="1492" w:type="dxa"/>
            <w:tcBorders>
              <w:top w:val="nil"/>
            </w:tcBorders>
          </w:tcPr>
          <w:p w:rsidR="00000000" w:rsidRDefault="00000000">
            <w:pPr>
              <w:jc w:val="center"/>
              <w:rPr>
                <w:kern w:val="2"/>
              </w:rPr>
            </w:pPr>
            <w:r>
              <w:rPr>
                <w:kern w:val="2"/>
              </w:rPr>
              <w:t>36 171</w:t>
            </w:r>
          </w:p>
        </w:tc>
      </w:tr>
    </w:tbl>
    <w:p w:rsidR="00000000" w:rsidRDefault="00000000">
      <w:pPr>
        <w:ind w:left="2160"/>
        <w:rPr>
          <w:kern w:val="2"/>
        </w:rPr>
      </w:pPr>
    </w:p>
    <w:p w:rsidR="00000000" w:rsidRDefault="00000000">
      <w:pPr>
        <w:ind w:left="1440"/>
        <w:rPr>
          <w:kern w:val="2"/>
        </w:rPr>
      </w:pPr>
      <w:r>
        <w:rPr>
          <w:kern w:val="2"/>
          <w:u w:val="single"/>
        </w:rPr>
        <w:t>Source</w:t>
      </w:r>
      <w:r>
        <w:rPr>
          <w:kern w:val="2"/>
        </w:rPr>
        <w:t>:  Ministry of Education.</w:t>
      </w:r>
    </w:p>
    <w:p w:rsidR="00000000" w:rsidRDefault="00000000">
      <w:pPr>
        <w:rPr>
          <w:kern w:val="2"/>
        </w:rPr>
      </w:pPr>
    </w:p>
    <w:p w:rsidR="00000000" w:rsidRDefault="00000000">
      <w:pPr>
        <w:pStyle w:val="Heading1"/>
        <w:rPr>
          <w:kern w:val="2"/>
        </w:rPr>
      </w:pPr>
      <w:r>
        <w:rPr>
          <w:kern w:val="2"/>
        </w:rPr>
        <w:t>Table 14</w:t>
      </w:r>
    </w:p>
    <w:p w:rsidR="00000000" w:rsidRDefault="00000000">
      <w:pPr>
        <w:pStyle w:val="Heading1"/>
        <w:rPr>
          <w:kern w:val="2"/>
        </w:rPr>
      </w:pPr>
    </w:p>
    <w:p w:rsidR="00000000" w:rsidRDefault="00000000">
      <w:pPr>
        <w:pStyle w:val="Heading1"/>
        <w:rPr>
          <w:kern w:val="2"/>
        </w:rPr>
      </w:pPr>
      <w:r>
        <w:rPr>
          <w:kern w:val="2"/>
        </w:rPr>
        <w:t xml:space="preserve">Higher </w:t>
      </w:r>
      <w:r>
        <w:t>education</w:t>
      </w:r>
      <w:r>
        <w:rPr>
          <w:kern w:val="2"/>
        </w:rPr>
        <w:t>:  evolution by administrative hierarchy</w:t>
      </w:r>
    </w:p>
    <w:p w:rsidR="00000000" w:rsidRDefault="00000000">
      <w:pPr>
        <w:rPr>
          <w:kern w:val="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975"/>
        <w:gridCol w:w="1155"/>
        <w:gridCol w:w="1275"/>
        <w:gridCol w:w="1200"/>
        <w:gridCol w:w="1155"/>
        <w:gridCol w:w="1320"/>
      </w:tblGrid>
      <w:tr w:rsidR="00000000">
        <w:tblPrEx>
          <w:tblCellMar>
            <w:top w:w="0" w:type="dxa"/>
            <w:bottom w:w="0" w:type="dxa"/>
          </w:tblCellMar>
        </w:tblPrEx>
        <w:trPr>
          <w:jc w:val="center"/>
        </w:trPr>
        <w:tc>
          <w:tcPr>
            <w:tcW w:w="975" w:type="dxa"/>
            <w:tcBorders>
              <w:bottom w:val="single" w:sz="4" w:space="0" w:color="auto"/>
            </w:tcBorders>
          </w:tcPr>
          <w:p w:rsidR="00000000" w:rsidRDefault="00000000">
            <w:pPr>
              <w:jc w:val="center"/>
              <w:rPr>
                <w:kern w:val="2"/>
              </w:rPr>
            </w:pPr>
            <w:r>
              <w:rPr>
                <w:kern w:val="2"/>
              </w:rPr>
              <w:t>Period</w:t>
            </w:r>
          </w:p>
        </w:tc>
        <w:tc>
          <w:tcPr>
            <w:tcW w:w="1155" w:type="dxa"/>
            <w:tcBorders>
              <w:bottom w:val="single" w:sz="4" w:space="0" w:color="auto"/>
            </w:tcBorders>
          </w:tcPr>
          <w:p w:rsidR="00000000" w:rsidRDefault="00000000">
            <w:pPr>
              <w:jc w:val="center"/>
              <w:rPr>
                <w:kern w:val="2"/>
              </w:rPr>
            </w:pPr>
            <w:r>
              <w:rPr>
                <w:kern w:val="2"/>
              </w:rPr>
              <w:t>Federal</w:t>
            </w:r>
          </w:p>
        </w:tc>
        <w:tc>
          <w:tcPr>
            <w:tcW w:w="1275" w:type="dxa"/>
            <w:tcBorders>
              <w:bottom w:val="single" w:sz="4" w:space="0" w:color="auto"/>
            </w:tcBorders>
          </w:tcPr>
          <w:p w:rsidR="00000000" w:rsidRDefault="00000000">
            <w:pPr>
              <w:jc w:val="center"/>
              <w:rPr>
                <w:kern w:val="2"/>
              </w:rPr>
            </w:pPr>
            <w:r>
              <w:rPr>
                <w:kern w:val="2"/>
              </w:rPr>
              <w:t>State</w:t>
            </w:r>
          </w:p>
        </w:tc>
        <w:tc>
          <w:tcPr>
            <w:tcW w:w="1200" w:type="dxa"/>
            <w:tcBorders>
              <w:bottom w:val="single" w:sz="4" w:space="0" w:color="auto"/>
            </w:tcBorders>
          </w:tcPr>
          <w:p w:rsidR="00000000" w:rsidRDefault="00000000">
            <w:pPr>
              <w:jc w:val="center"/>
              <w:rPr>
                <w:kern w:val="2"/>
              </w:rPr>
            </w:pPr>
            <w:r>
              <w:rPr>
                <w:kern w:val="2"/>
              </w:rPr>
              <w:t>Municipal</w:t>
            </w:r>
          </w:p>
        </w:tc>
        <w:tc>
          <w:tcPr>
            <w:tcW w:w="1155" w:type="dxa"/>
            <w:tcBorders>
              <w:bottom w:val="single" w:sz="4" w:space="0" w:color="auto"/>
            </w:tcBorders>
          </w:tcPr>
          <w:p w:rsidR="00000000" w:rsidRDefault="00000000">
            <w:pPr>
              <w:jc w:val="center"/>
              <w:rPr>
                <w:kern w:val="2"/>
              </w:rPr>
            </w:pPr>
            <w:r>
              <w:rPr>
                <w:kern w:val="2"/>
              </w:rPr>
              <w:t>Private</w:t>
            </w:r>
          </w:p>
        </w:tc>
        <w:tc>
          <w:tcPr>
            <w:tcW w:w="1320" w:type="dxa"/>
            <w:tcBorders>
              <w:bottom w:val="single" w:sz="4" w:space="0" w:color="auto"/>
            </w:tcBorders>
          </w:tcPr>
          <w:p w:rsidR="00000000" w:rsidRDefault="00000000">
            <w:pPr>
              <w:jc w:val="center"/>
              <w:rPr>
                <w:kern w:val="2"/>
              </w:rPr>
            </w:pPr>
            <w:r>
              <w:rPr>
                <w:kern w:val="2"/>
              </w:rPr>
              <w:t>Total</w:t>
            </w:r>
          </w:p>
        </w:tc>
      </w:tr>
      <w:tr w:rsidR="00000000">
        <w:tblPrEx>
          <w:tblCellMar>
            <w:top w:w="0" w:type="dxa"/>
            <w:bottom w:w="0" w:type="dxa"/>
          </w:tblCellMar>
        </w:tblPrEx>
        <w:trPr>
          <w:jc w:val="center"/>
        </w:trPr>
        <w:tc>
          <w:tcPr>
            <w:tcW w:w="975" w:type="dxa"/>
            <w:tcBorders>
              <w:bottom w:val="nil"/>
            </w:tcBorders>
          </w:tcPr>
          <w:p w:rsidR="00000000" w:rsidRDefault="00000000">
            <w:pPr>
              <w:jc w:val="center"/>
              <w:rPr>
                <w:kern w:val="2"/>
              </w:rPr>
            </w:pPr>
            <w:r>
              <w:rPr>
                <w:kern w:val="2"/>
              </w:rPr>
              <w:t>1990</w:t>
            </w:r>
          </w:p>
        </w:tc>
        <w:tc>
          <w:tcPr>
            <w:tcW w:w="1155" w:type="dxa"/>
            <w:tcBorders>
              <w:bottom w:val="nil"/>
            </w:tcBorders>
          </w:tcPr>
          <w:p w:rsidR="00000000" w:rsidRDefault="00000000">
            <w:pPr>
              <w:jc w:val="center"/>
              <w:rPr>
                <w:kern w:val="2"/>
              </w:rPr>
            </w:pPr>
            <w:r>
              <w:rPr>
                <w:kern w:val="2"/>
              </w:rPr>
              <w:t>308 867</w:t>
            </w:r>
          </w:p>
        </w:tc>
        <w:tc>
          <w:tcPr>
            <w:tcW w:w="1275" w:type="dxa"/>
            <w:tcBorders>
              <w:bottom w:val="nil"/>
            </w:tcBorders>
          </w:tcPr>
          <w:p w:rsidR="00000000" w:rsidRDefault="00000000">
            <w:pPr>
              <w:jc w:val="center"/>
              <w:rPr>
                <w:kern w:val="2"/>
              </w:rPr>
            </w:pPr>
            <w:r>
              <w:rPr>
                <w:kern w:val="2"/>
              </w:rPr>
              <w:t>194 417</w:t>
            </w:r>
          </w:p>
        </w:tc>
        <w:tc>
          <w:tcPr>
            <w:tcW w:w="1200" w:type="dxa"/>
            <w:tcBorders>
              <w:bottom w:val="nil"/>
            </w:tcBorders>
          </w:tcPr>
          <w:p w:rsidR="00000000" w:rsidRDefault="00000000">
            <w:pPr>
              <w:ind w:right="206"/>
              <w:jc w:val="right"/>
              <w:rPr>
                <w:kern w:val="2"/>
              </w:rPr>
            </w:pPr>
            <w:r>
              <w:rPr>
                <w:kern w:val="2"/>
              </w:rPr>
              <w:t>75 341</w:t>
            </w:r>
          </w:p>
        </w:tc>
        <w:tc>
          <w:tcPr>
            <w:tcW w:w="1155" w:type="dxa"/>
            <w:tcBorders>
              <w:bottom w:val="nil"/>
            </w:tcBorders>
          </w:tcPr>
          <w:p w:rsidR="00000000" w:rsidRDefault="00000000">
            <w:pPr>
              <w:ind w:right="86"/>
              <w:jc w:val="right"/>
              <w:rPr>
                <w:kern w:val="2"/>
              </w:rPr>
            </w:pPr>
            <w:r>
              <w:rPr>
                <w:kern w:val="2"/>
              </w:rPr>
              <w:t>961 455</w:t>
            </w:r>
          </w:p>
        </w:tc>
        <w:tc>
          <w:tcPr>
            <w:tcW w:w="1320" w:type="dxa"/>
            <w:tcBorders>
              <w:bottom w:val="nil"/>
            </w:tcBorders>
          </w:tcPr>
          <w:p w:rsidR="00000000" w:rsidRDefault="00000000">
            <w:pPr>
              <w:jc w:val="center"/>
              <w:rPr>
                <w:kern w:val="2"/>
              </w:rPr>
            </w:pPr>
            <w:r>
              <w:rPr>
                <w:kern w:val="2"/>
              </w:rPr>
              <w:t>1 540 080</w:t>
            </w:r>
          </w:p>
        </w:tc>
      </w:tr>
      <w:tr w:rsidR="00000000">
        <w:tblPrEx>
          <w:tblCellMar>
            <w:top w:w="0" w:type="dxa"/>
            <w:bottom w:w="0" w:type="dxa"/>
          </w:tblCellMar>
        </w:tblPrEx>
        <w:trPr>
          <w:jc w:val="center"/>
        </w:trPr>
        <w:tc>
          <w:tcPr>
            <w:tcW w:w="975" w:type="dxa"/>
            <w:tcBorders>
              <w:top w:val="nil"/>
              <w:bottom w:val="nil"/>
            </w:tcBorders>
          </w:tcPr>
          <w:p w:rsidR="00000000" w:rsidRDefault="00000000">
            <w:pPr>
              <w:jc w:val="center"/>
              <w:rPr>
                <w:kern w:val="2"/>
              </w:rPr>
            </w:pPr>
            <w:r>
              <w:rPr>
                <w:kern w:val="2"/>
              </w:rPr>
              <w:t>1991</w:t>
            </w:r>
          </w:p>
        </w:tc>
        <w:tc>
          <w:tcPr>
            <w:tcW w:w="1155" w:type="dxa"/>
            <w:tcBorders>
              <w:top w:val="nil"/>
              <w:bottom w:val="nil"/>
            </w:tcBorders>
          </w:tcPr>
          <w:p w:rsidR="00000000" w:rsidRDefault="00000000">
            <w:pPr>
              <w:jc w:val="center"/>
              <w:rPr>
                <w:kern w:val="2"/>
              </w:rPr>
            </w:pPr>
            <w:r>
              <w:rPr>
                <w:kern w:val="2"/>
              </w:rPr>
              <w:t>320 135</w:t>
            </w:r>
          </w:p>
        </w:tc>
        <w:tc>
          <w:tcPr>
            <w:tcW w:w="1275" w:type="dxa"/>
            <w:tcBorders>
              <w:top w:val="nil"/>
              <w:bottom w:val="nil"/>
            </w:tcBorders>
          </w:tcPr>
          <w:p w:rsidR="00000000" w:rsidRDefault="00000000">
            <w:pPr>
              <w:jc w:val="center"/>
              <w:rPr>
                <w:kern w:val="2"/>
              </w:rPr>
            </w:pPr>
            <w:r>
              <w:rPr>
                <w:kern w:val="2"/>
              </w:rPr>
              <w:t>202 315</w:t>
            </w:r>
          </w:p>
        </w:tc>
        <w:tc>
          <w:tcPr>
            <w:tcW w:w="1200" w:type="dxa"/>
            <w:tcBorders>
              <w:top w:val="nil"/>
              <w:bottom w:val="nil"/>
            </w:tcBorders>
          </w:tcPr>
          <w:p w:rsidR="00000000" w:rsidRDefault="00000000">
            <w:pPr>
              <w:ind w:right="206"/>
              <w:jc w:val="right"/>
              <w:rPr>
                <w:kern w:val="2"/>
              </w:rPr>
            </w:pPr>
            <w:r>
              <w:rPr>
                <w:kern w:val="2"/>
              </w:rPr>
              <w:t>83 286</w:t>
            </w:r>
          </w:p>
        </w:tc>
        <w:tc>
          <w:tcPr>
            <w:tcW w:w="1155" w:type="dxa"/>
            <w:tcBorders>
              <w:top w:val="nil"/>
              <w:bottom w:val="nil"/>
            </w:tcBorders>
          </w:tcPr>
          <w:p w:rsidR="00000000" w:rsidRDefault="00000000">
            <w:pPr>
              <w:ind w:right="86"/>
              <w:jc w:val="right"/>
              <w:rPr>
                <w:kern w:val="2"/>
              </w:rPr>
            </w:pPr>
            <w:r>
              <w:rPr>
                <w:kern w:val="2"/>
              </w:rPr>
              <w:t>959 320</w:t>
            </w:r>
          </w:p>
        </w:tc>
        <w:tc>
          <w:tcPr>
            <w:tcW w:w="1320" w:type="dxa"/>
            <w:tcBorders>
              <w:top w:val="nil"/>
              <w:bottom w:val="nil"/>
            </w:tcBorders>
          </w:tcPr>
          <w:p w:rsidR="00000000" w:rsidRDefault="00000000">
            <w:pPr>
              <w:jc w:val="center"/>
              <w:rPr>
                <w:kern w:val="2"/>
              </w:rPr>
            </w:pPr>
            <w:r>
              <w:rPr>
                <w:kern w:val="2"/>
              </w:rPr>
              <w:t>1 565 056</w:t>
            </w:r>
          </w:p>
        </w:tc>
      </w:tr>
      <w:tr w:rsidR="00000000">
        <w:tblPrEx>
          <w:tblCellMar>
            <w:top w:w="0" w:type="dxa"/>
            <w:bottom w:w="0" w:type="dxa"/>
          </w:tblCellMar>
        </w:tblPrEx>
        <w:trPr>
          <w:jc w:val="center"/>
        </w:trPr>
        <w:tc>
          <w:tcPr>
            <w:tcW w:w="975" w:type="dxa"/>
            <w:tcBorders>
              <w:top w:val="nil"/>
              <w:bottom w:val="nil"/>
            </w:tcBorders>
          </w:tcPr>
          <w:p w:rsidR="00000000" w:rsidRDefault="00000000">
            <w:pPr>
              <w:jc w:val="center"/>
              <w:rPr>
                <w:kern w:val="2"/>
              </w:rPr>
            </w:pPr>
            <w:r>
              <w:rPr>
                <w:kern w:val="2"/>
              </w:rPr>
              <w:t>1992</w:t>
            </w:r>
          </w:p>
        </w:tc>
        <w:tc>
          <w:tcPr>
            <w:tcW w:w="1155" w:type="dxa"/>
            <w:tcBorders>
              <w:top w:val="nil"/>
              <w:bottom w:val="nil"/>
            </w:tcBorders>
          </w:tcPr>
          <w:p w:rsidR="00000000" w:rsidRDefault="00000000">
            <w:pPr>
              <w:jc w:val="center"/>
              <w:rPr>
                <w:kern w:val="2"/>
              </w:rPr>
            </w:pPr>
            <w:r>
              <w:rPr>
                <w:kern w:val="2"/>
              </w:rPr>
              <w:t>325 884</w:t>
            </w:r>
          </w:p>
        </w:tc>
        <w:tc>
          <w:tcPr>
            <w:tcW w:w="1275" w:type="dxa"/>
            <w:tcBorders>
              <w:top w:val="nil"/>
              <w:bottom w:val="nil"/>
            </w:tcBorders>
          </w:tcPr>
          <w:p w:rsidR="00000000" w:rsidRDefault="00000000">
            <w:pPr>
              <w:jc w:val="center"/>
              <w:rPr>
                <w:kern w:val="2"/>
              </w:rPr>
            </w:pPr>
            <w:r>
              <w:rPr>
                <w:kern w:val="2"/>
              </w:rPr>
              <w:t>210 133</w:t>
            </w:r>
          </w:p>
        </w:tc>
        <w:tc>
          <w:tcPr>
            <w:tcW w:w="1200" w:type="dxa"/>
            <w:tcBorders>
              <w:top w:val="nil"/>
              <w:bottom w:val="nil"/>
            </w:tcBorders>
          </w:tcPr>
          <w:p w:rsidR="00000000" w:rsidRDefault="00000000">
            <w:pPr>
              <w:ind w:right="206"/>
              <w:jc w:val="right"/>
              <w:rPr>
                <w:kern w:val="2"/>
              </w:rPr>
            </w:pPr>
            <w:r>
              <w:rPr>
                <w:kern w:val="2"/>
              </w:rPr>
              <w:t>93 645</w:t>
            </w:r>
          </w:p>
        </w:tc>
        <w:tc>
          <w:tcPr>
            <w:tcW w:w="1155" w:type="dxa"/>
            <w:tcBorders>
              <w:top w:val="nil"/>
              <w:bottom w:val="nil"/>
            </w:tcBorders>
          </w:tcPr>
          <w:p w:rsidR="00000000" w:rsidRDefault="00000000">
            <w:pPr>
              <w:ind w:right="86"/>
              <w:jc w:val="right"/>
              <w:rPr>
                <w:kern w:val="2"/>
              </w:rPr>
            </w:pPr>
            <w:r>
              <w:rPr>
                <w:kern w:val="2"/>
              </w:rPr>
              <w:t>906 126</w:t>
            </w:r>
          </w:p>
        </w:tc>
        <w:tc>
          <w:tcPr>
            <w:tcW w:w="1320" w:type="dxa"/>
            <w:tcBorders>
              <w:top w:val="nil"/>
              <w:bottom w:val="nil"/>
            </w:tcBorders>
          </w:tcPr>
          <w:p w:rsidR="00000000" w:rsidRDefault="00000000">
            <w:pPr>
              <w:jc w:val="center"/>
              <w:rPr>
                <w:kern w:val="2"/>
              </w:rPr>
            </w:pPr>
            <w:r>
              <w:rPr>
                <w:kern w:val="2"/>
              </w:rPr>
              <w:t>1 535 788</w:t>
            </w:r>
          </w:p>
        </w:tc>
      </w:tr>
      <w:tr w:rsidR="00000000">
        <w:tblPrEx>
          <w:tblCellMar>
            <w:top w:w="0" w:type="dxa"/>
            <w:bottom w:w="0" w:type="dxa"/>
          </w:tblCellMar>
        </w:tblPrEx>
        <w:trPr>
          <w:jc w:val="center"/>
        </w:trPr>
        <w:tc>
          <w:tcPr>
            <w:tcW w:w="975" w:type="dxa"/>
            <w:tcBorders>
              <w:top w:val="nil"/>
              <w:bottom w:val="nil"/>
            </w:tcBorders>
          </w:tcPr>
          <w:p w:rsidR="00000000" w:rsidRDefault="00000000">
            <w:pPr>
              <w:jc w:val="center"/>
              <w:rPr>
                <w:kern w:val="2"/>
              </w:rPr>
            </w:pPr>
            <w:r>
              <w:rPr>
                <w:kern w:val="2"/>
              </w:rPr>
              <w:t>1993</w:t>
            </w:r>
          </w:p>
        </w:tc>
        <w:tc>
          <w:tcPr>
            <w:tcW w:w="1155" w:type="dxa"/>
            <w:tcBorders>
              <w:top w:val="nil"/>
              <w:bottom w:val="nil"/>
            </w:tcBorders>
          </w:tcPr>
          <w:p w:rsidR="00000000" w:rsidRDefault="00000000">
            <w:pPr>
              <w:jc w:val="center"/>
              <w:rPr>
                <w:kern w:val="2"/>
              </w:rPr>
            </w:pPr>
            <w:r>
              <w:rPr>
                <w:kern w:val="2"/>
              </w:rPr>
              <w:t>344 387</w:t>
            </w:r>
          </w:p>
        </w:tc>
        <w:tc>
          <w:tcPr>
            <w:tcW w:w="1275" w:type="dxa"/>
            <w:tcBorders>
              <w:top w:val="nil"/>
              <w:bottom w:val="nil"/>
            </w:tcBorders>
          </w:tcPr>
          <w:p w:rsidR="00000000" w:rsidRDefault="00000000">
            <w:pPr>
              <w:jc w:val="center"/>
              <w:rPr>
                <w:kern w:val="2"/>
              </w:rPr>
            </w:pPr>
            <w:r>
              <w:rPr>
                <w:kern w:val="2"/>
              </w:rPr>
              <w:t>216 535</w:t>
            </w:r>
          </w:p>
        </w:tc>
        <w:tc>
          <w:tcPr>
            <w:tcW w:w="1200" w:type="dxa"/>
            <w:tcBorders>
              <w:top w:val="nil"/>
              <w:bottom w:val="nil"/>
            </w:tcBorders>
          </w:tcPr>
          <w:p w:rsidR="00000000" w:rsidRDefault="00000000">
            <w:pPr>
              <w:ind w:right="206"/>
              <w:jc w:val="right"/>
              <w:rPr>
                <w:kern w:val="2"/>
              </w:rPr>
            </w:pPr>
            <w:r>
              <w:rPr>
                <w:kern w:val="2"/>
              </w:rPr>
              <w:t>92 594</w:t>
            </w:r>
          </w:p>
        </w:tc>
        <w:tc>
          <w:tcPr>
            <w:tcW w:w="1155" w:type="dxa"/>
            <w:tcBorders>
              <w:top w:val="nil"/>
              <w:bottom w:val="nil"/>
            </w:tcBorders>
          </w:tcPr>
          <w:p w:rsidR="00000000" w:rsidRDefault="00000000">
            <w:pPr>
              <w:ind w:right="86"/>
              <w:jc w:val="right"/>
              <w:rPr>
                <w:kern w:val="2"/>
              </w:rPr>
            </w:pPr>
            <w:r>
              <w:rPr>
                <w:kern w:val="2"/>
              </w:rPr>
              <w:t>941 152</w:t>
            </w:r>
          </w:p>
        </w:tc>
        <w:tc>
          <w:tcPr>
            <w:tcW w:w="1320" w:type="dxa"/>
            <w:tcBorders>
              <w:top w:val="nil"/>
              <w:bottom w:val="nil"/>
            </w:tcBorders>
          </w:tcPr>
          <w:p w:rsidR="00000000" w:rsidRDefault="00000000">
            <w:pPr>
              <w:jc w:val="center"/>
              <w:rPr>
                <w:kern w:val="2"/>
              </w:rPr>
            </w:pPr>
            <w:r>
              <w:rPr>
                <w:kern w:val="2"/>
              </w:rPr>
              <w:t>1 594 668</w:t>
            </w:r>
          </w:p>
        </w:tc>
      </w:tr>
      <w:tr w:rsidR="00000000">
        <w:tblPrEx>
          <w:tblCellMar>
            <w:top w:w="0" w:type="dxa"/>
            <w:bottom w:w="0" w:type="dxa"/>
          </w:tblCellMar>
        </w:tblPrEx>
        <w:trPr>
          <w:jc w:val="center"/>
        </w:trPr>
        <w:tc>
          <w:tcPr>
            <w:tcW w:w="975" w:type="dxa"/>
            <w:tcBorders>
              <w:top w:val="nil"/>
              <w:bottom w:val="nil"/>
            </w:tcBorders>
          </w:tcPr>
          <w:p w:rsidR="00000000" w:rsidRDefault="00000000">
            <w:pPr>
              <w:jc w:val="center"/>
              <w:rPr>
                <w:kern w:val="2"/>
              </w:rPr>
            </w:pPr>
            <w:r>
              <w:rPr>
                <w:kern w:val="2"/>
              </w:rPr>
              <w:t>1994</w:t>
            </w:r>
          </w:p>
        </w:tc>
        <w:tc>
          <w:tcPr>
            <w:tcW w:w="1155" w:type="dxa"/>
            <w:tcBorders>
              <w:top w:val="nil"/>
              <w:bottom w:val="nil"/>
            </w:tcBorders>
          </w:tcPr>
          <w:p w:rsidR="00000000" w:rsidRDefault="00000000">
            <w:pPr>
              <w:jc w:val="center"/>
              <w:rPr>
                <w:kern w:val="2"/>
              </w:rPr>
            </w:pPr>
            <w:r>
              <w:rPr>
                <w:kern w:val="2"/>
              </w:rPr>
              <w:t>363 543</w:t>
            </w:r>
          </w:p>
        </w:tc>
        <w:tc>
          <w:tcPr>
            <w:tcW w:w="1275" w:type="dxa"/>
            <w:tcBorders>
              <w:top w:val="nil"/>
              <w:bottom w:val="nil"/>
            </w:tcBorders>
          </w:tcPr>
          <w:p w:rsidR="00000000" w:rsidRDefault="00000000">
            <w:pPr>
              <w:jc w:val="center"/>
              <w:rPr>
                <w:kern w:val="2"/>
              </w:rPr>
            </w:pPr>
            <w:r>
              <w:rPr>
                <w:kern w:val="2"/>
              </w:rPr>
              <w:t>231 936</w:t>
            </w:r>
          </w:p>
        </w:tc>
        <w:tc>
          <w:tcPr>
            <w:tcW w:w="1200" w:type="dxa"/>
            <w:tcBorders>
              <w:top w:val="nil"/>
              <w:bottom w:val="nil"/>
            </w:tcBorders>
          </w:tcPr>
          <w:p w:rsidR="00000000" w:rsidRDefault="00000000">
            <w:pPr>
              <w:ind w:right="206"/>
              <w:jc w:val="right"/>
              <w:rPr>
                <w:kern w:val="2"/>
              </w:rPr>
            </w:pPr>
            <w:r>
              <w:rPr>
                <w:kern w:val="2"/>
              </w:rPr>
              <w:t>94 971</w:t>
            </w:r>
          </w:p>
        </w:tc>
        <w:tc>
          <w:tcPr>
            <w:tcW w:w="1155" w:type="dxa"/>
            <w:tcBorders>
              <w:top w:val="nil"/>
              <w:bottom w:val="nil"/>
            </w:tcBorders>
          </w:tcPr>
          <w:p w:rsidR="00000000" w:rsidRDefault="00000000">
            <w:pPr>
              <w:ind w:right="86"/>
              <w:jc w:val="right"/>
              <w:rPr>
                <w:kern w:val="2"/>
              </w:rPr>
            </w:pPr>
            <w:r>
              <w:rPr>
                <w:kern w:val="2"/>
              </w:rPr>
              <w:t>970 584</w:t>
            </w:r>
          </w:p>
        </w:tc>
        <w:tc>
          <w:tcPr>
            <w:tcW w:w="1320" w:type="dxa"/>
            <w:tcBorders>
              <w:top w:val="nil"/>
              <w:bottom w:val="nil"/>
            </w:tcBorders>
          </w:tcPr>
          <w:p w:rsidR="00000000" w:rsidRDefault="00000000">
            <w:pPr>
              <w:jc w:val="center"/>
              <w:rPr>
                <w:kern w:val="2"/>
              </w:rPr>
            </w:pPr>
            <w:r>
              <w:rPr>
                <w:kern w:val="2"/>
              </w:rPr>
              <w:t>1 661 034</w:t>
            </w:r>
          </w:p>
        </w:tc>
      </w:tr>
      <w:tr w:rsidR="00000000">
        <w:tblPrEx>
          <w:tblCellMar>
            <w:top w:w="0" w:type="dxa"/>
            <w:bottom w:w="0" w:type="dxa"/>
          </w:tblCellMar>
        </w:tblPrEx>
        <w:trPr>
          <w:jc w:val="center"/>
        </w:trPr>
        <w:tc>
          <w:tcPr>
            <w:tcW w:w="975" w:type="dxa"/>
            <w:tcBorders>
              <w:top w:val="nil"/>
              <w:bottom w:val="nil"/>
            </w:tcBorders>
          </w:tcPr>
          <w:p w:rsidR="00000000" w:rsidRDefault="00000000">
            <w:pPr>
              <w:jc w:val="center"/>
              <w:rPr>
                <w:kern w:val="2"/>
              </w:rPr>
            </w:pPr>
            <w:r>
              <w:rPr>
                <w:kern w:val="2"/>
              </w:rPr>
              <w:t>1995</w:t>
            </w:r>
          </w:p>
        </w:tc>
        <w:tc>
          <w:tcPr>
            <w:tcW w:w="1155" w:type="dxa"/>
            <w:tcBorders>
              <w:top w:val="nil"/>
              <w:bottom w:val="nil"/>
            </w:tcBorders>
          </w:tcPr>
          <w:p w:rsidR="00000000" w:rsidRDefault="00000000">
            <w:pPr>
              <w:jc w:val="center"/>
              <w:rPr>
                <w:kern w:val="2"/>
              </w:rPr>
            </w:pPr>
            <w:r>
              <w:rPr>
                <w:kern w:val="2"/>
              </w:rPr>
              <w:t>367 531</w:t>
            </w:r>
          </w:p>
        </w:tc>
        <w:tc>
          <w:tcPr>
            <w:tcW w:w="1275" w:type="dxa"/>
            <w:tcBorders>
              <w:top w:val="nil"/>
              <w:bottom w:val="nil"/>
            </w:tcBorders>
          </w:tcPr>
          <w:p w:rsidR="00000000" w:rsidRDefault="00000000">
            <w:pPr>
              <w:jc w:val="center"/>
              <w:rPr>
                <w:kern w:val="2"/>
              </w:rPr>
            </w:pPr>
            <w:r>
              <w:rPr>
                <w:kern w:val="2"/>
              </w:rPr>
              <w:t>239 215</w:t>
            </w:r>
          </w:p>
        </w:tc>
        <w:tc>
          <w:tcPr>
            <w:tcW w:w="1200" w:type="dxa"/>
            <w:tcBorders>
              <w:top w:val="nil"/>
              <w:bottom w:val="nil"/>
            </w:tcBorders>
          </w:tcPr>
          <w:p w:rsidR="00000000" w:rsidRDefault="00000000">
            <w:pPr>
              <w:ind w:right="206"/>
              <w:jc w:val="right"/>
              <w:rPr>
                <w:kern w:val="2"/>
              </w:rPr>
            </w:pPr>
            <w:r>
              <w:rPr>
                <w:kern w:val="2"/>
              </w:rPr>
              <w:t>93 794</w:t>
            </w:r>
          </w:p>
        </w:tc>
        <w:tc>
          <w:tcPr>
            <w:tcW w:w="1155" w:type="dxa"/>
            <w:tcBorders>
              <w:top w:val="nil"/>
              <w:bottom w:val="nil"/>
            </w:tcBorders>
          </w:tcPr>
          <w:p w:rsidR="00000000" w:rsidRDefault="00000000">
            <w:pPr>
              <w:ind w:right="86"/>
              <w:jc w:val="right"/>
              <w:rPr>
                <w:kern w:val="2"/>
              </w:rPr>
            </w:pPr>
            <w:r>
              <w:rPr>
                <w:kern w:val="2"/>
              </w:rPr>
              <w:t>1 059 163</w:t>
            </w:r>
          </w:p>
        </w:tc>
        <w:tc>
          <w:tcPr>
            <w:tcW w:w="1320" w:type="dxa"/>
            <w:tcBorders>
              <w:top w:val="nil"/>
              <w:bottom w:val="nil"/>
            </w:tcBorders>
          </w:tcPr>
          <w:p w:rsidR="00000000" w:rsidRDefault="00000000">
            <w:pPr>
              <w:jc w:val="center"/>
              <w:rPr>
                <w:kern w:val="2"/>
              </w:rPr>
            </w:pPr>
            <w:r>
              <w:rPr>
                <w:kern w:val="2"/>
              </w:rPr>
              <w:t>1 759 703</w:t>
            </w:r>
          </w:p>
        </w:tc>
      </w:tr>
      <w:tr w:rsidR="00000000">
        <w:tblPrEx>
          <w:tblCellMar>
            <w:top w:w="0" w:type="dxa"/>
            <w:bottom w:w="0" w:type="dxa"/>
          </w:tblCellMar>
        </w:tblPrEx>
        <w:trPr>
          <w:jc w:val="center"/>
        </w:trPr>
        <w:tc>
          <w:tcPr>
            <w:tcW w:w="975" w:type="dxa"/>
            <w:tcBorders>
              <w:top w:val="nil"/>
              <w:bottom w:val="nil"/>
            </w:tcBorders>
          </w:tcPr>
          <w:p w:rsidR="00000000" w:rsidRDefault="00000000">
            <w:pPr>
              <w:jc w:val="center"/>
              <w:rPr>
                <w:kern w:val="2"/>
              </w:rPr>
            </w:pPr>
            <w:r>
              <w:rPr>
                <w:kern w:val="2"/>
              </w:rPr>
              <w:t>1996</w:t>
            </w:r>
          </w:p>
        </w:tc>
        <w:tc>
          <w:tcPr>
            <w:tcW w:w="1155" w:type="dxa"/>
            <w:tcBorders>
              <w:top w:val="nil"/>
              <w:bottom w:val="nil"/>
            </w:tcBorders>
          </w:tcPr>
          <w:p w:rsidR="00000000" w:rsidRDefault="00000000">
            <w:pPr>
              <w:jc w:val="center"/>
              <w:rPr>
                <w:kern w:val="2"/>
              </w:rPr>
            </w:pPr>
            <w:r>
              <w:rPr>
                <w:kern w:val="2"/>
              </w:rPr>
              <w:t>388 987</w:t>
            </w:r>
          </w:p>
        </w:tc>
        <w:tc>
          <w:tcPr>
            <w:tcW w:w="1275" w:type="dxa"/>
            <w:tcBorders>
              <w:top w:val="nil"/>
              <w:bottom w:val="nil"/>
            </w:tcBorders>
          </w:tcPr>
          <w:p w:rsidR="00000000" w:rsidRDefault="00000000">
            <w:pPr>
              <w:jc w:val="center"/>
              <w:rPr>
                <w:kern w:val="2"/>
              </w:rPr>
            </w:pPr>
            <w:r>
              <w:rPr>
                <w:kern w:val="2"/>
              </w:rPr>
              <w:t>243 101</w:t>
            </w:r>
          </w:p>
        </w:tc>
        <w:tc>
          <w:tcPr>
            <w:tcW w:w="1200" w:type="dxa"/>
            <w:tcBorders>
              <w:top w:val="nil"/>
              <w:bottom w:val="nil"/>
            </w:tcBorders>
          </w:tcPr>
          <w:p w:rsidR="00000000" w:rsidRDefault="00000000">
            <w:pPr>
              <w:ind w:right="206"/>
              <w:jc w:val="right"/>
              <w:rPr>
                <w:kern w:val="2"/>
              </w:rPr>
            </w:pPr>
            <w:r>
              <w:rPr>
                <w:kern w:val="2"/>
              </w:rPr>
              <w:t>103 339</w:t>
            </w:r>
          </w:p>
        </w:tc>
        <w:tc>
          <w:tcPr>
            <w:tcW w:w="1155" w:type="dxa"/>
            <w:tcBorders>
              <w:top w:val="nil"/>
              <w:bottom w:val="nil"/>
            </w:tcBorders>
          </w:tcPr>
          <w:p w:rsidR="00000000" w:rsidRDefault="00000000">
            <w:pPr>
              <w:ind w:right="86"/>
              <w:jc w:val="right"/>
              <w:rPr>
                <w:kern w:val="2"/>
              </w:rPr>
            </w:pPr>
            <w:r>
              <w:rPr>
                <w:kern w:val="2"/>
              </w:rPr>
              <w:t>1 133 102</w:t>
            </w:r>
          </w:p>
        </w:tc>
        <w:tc>
          <w:tcPr>
            <w:tcW w:w="1320" w:type="dxa"/>
            <w:tcBorders>
              <w:top w:val="nil"/>
              <w:bottom w:val="nil"/>
            </w:tcBorders>
          </w:tcPr>
          <w:p w:rsidR="00000000" w:rsidRDefault="00000000">
            <w:pPr>
              <w:jc w:val="center"/>
              <w:rPr>
                <w:kern w:val="2"/>
              </w:rPr>
            </w:pPr>
            <w:r>
              <w:rPr>
                <w:kern w:val="2"/>
              </w:rPr>
              <w:t>1 868 529</w:t>
            </w:r>
          </w:p>
        </w:tc>
      </w:tr>
      <w:tr w:rsidR="00000000">
        <w:tblPrEx>
          <w:tblCellMar>
            <w:top w:w="0" w:type="dxa"/>
            <w:bottom w:w="0" w:type="dxa"/>
          </w:tblCellMar>
        </w:tblPrEx>
        <w:trPr>
          <w:jc w:val="center"/>
        </w:trPr>
        <w:tc>
          <w:tcPr>
            <w:tcW w:w="975" w:type="dxa"/>
            <w:tcBorders>
              <w:top w:val="nil"/>
              <w:bottom w:val="nil"/>
            </w:tcBorders>
          </w:tcPr>
          <w:p w:rsidR="00000000" w:rsidRDefault="00000000">
            <w:pPr>
              <w:jc w:val="center"/>
              <w:rPr>
                <w:kern w:val="2"/>
              </w:rPr>
            </w:pPr>
            <w:r>
              <w:rPr>
                <w:kern w:val="2"/>
              </w:rPr>
              <w:t>1997</w:t>
            </w:r>
          </w:p>
        </w:tc>
        <w:tc>
          <w:tcPr>
            <w:tcW w:w="1155" w:type="dxa"/>
            <w:tcBorders>
              <w:top w:val="nil"/>
              <w:bottom w:val="nil"/>
            </w:tcBorders>
          </w:tcPr>
          <w:p w:rsidR="00000000" w:rsidRDefault="00000000">
            <w:pPr>
              <w:jc w:val="center"/>
              <w:rPr>
                <w:kern w:val="2"/>
              </w:rPr>
            </w:pPr>
            <w:r>
              <w:rPr>
                <w:kern w:val="2"/>
              </w:rPr>
              <w:t>395 833</w:t>
            </w:r>
          </w:p>
        </w:tc>
        <w:tc>
          <w:tcPr>
            <w:tcW w:w="1275" w:type="dxa"/>
            <w:tcBorders>
              <w:top w:val="nil"/>
              <w:bottom w:val="nil"/>
            </w:tcBorders>
          </w:tcPr>
          <w:p w:rsidR="00000000" w:rsidRDefault="00000000">
            <w:pPr>
              <w:jc w:val="center"/>
              <w:rPr>
                <w:kern w:val="2"/>
              </w:rPr>
            </w:pPr>
            <w:r>
              <w:rPr>
                <w:kern w:val="2"/>
              </w:rPr>
              <w:t>253 678</w:t>
            </w:r>
          </w:p>
        </w:tc>
        <w:tc>
          <w:tcPr>
            <w:tcW w:w="1200" w:type="dxa"/>
            <w:tcBorders>
              <w:top w:val="nil"/>
              <w:bottom w:val="nil"/>
            </w:tcBorders>
          </w:tcPr>
          <w:p w:rsidR="00000000" w:rsidRDefault="00000000">
            <w:pPr>
              <w:ind w:right="206"/>
              <w:jc w:val="right"/>
              <w:rPr>
                <w:kern w:val="2"/>
              </w:rPr>
            </w:pPr>
            <w:r>
              <w:rPr>
                <w:kern w:val="2"/>
              </w:rPr>
              <w:t>109 671</w:t>
            </w:r>
          </w:p>
        </w:tc>
        <w:tc>
          <w:tcPr>
            <w:tcW w:w="1155" w:type="dxa"/>
            <w:tcBorders>
              <w:top w:val="nil"/>
              <w:bottom w:val="nil"/>
            </w:tcBorders>
          </w:tcPr>
          <w:p w:rsidR="00000000" w:rsidRDefault="00000000">
            <w:pPr>
              <w:ind w:right="86"/>
              <w:jc w:val="right"/>
              <w:rPr>
                <w:kern w:val="2"/>
              </w:rPr>
            </w:pPr>
            <w:r>
              <w:rPr>
                <w:kern w:val="2"/>
              </w:rPr>
              <w:t>1 186 433</w:t>
            </w:r>
          </w:p>
        </w:tc>
        <w:tc>
          <w:tcPr>
            <w:tcW w:w="1320" w:type="dxa"/>
            <w:tcBorders>
              <w:top w:val="nil"/>
              <w:bottom w:val="nil"/>
            </w:tcBorders>
          </w:tcPr>
          <w:p w:rsidR="00000000" w:rsidRDefault="00000000">
            <w:pPr>
              <w:jc w:val="center"/>
              <w:rPr>
                <w:kern w:val="2"/>
              </w:rPr>
            </w:pPr>
            <w:r>
              <w:rPr>
                <w:kern w:val="2"/>
              </w:rPr>
              <w:t>1 945 615</w:t>
            </w:r>
          </w:p>
        </w:tc>
      </w:tr>
      <w:tr w:rsidR="00000000">
        <w:tblPrEx>
          <w:tblCellMar>
            <w:top w:w="0" w:type="dxa"/>
            <w:bottom w:w="0" w:type="dxa"/>
          </w:tblCellMar>
        </w:tblPrEx>
        <w:trPr>
          <w:jc w:val="center"/>
        </w:trPr>
        <w:tc>
          <w:tcPr>
            <w:tcW w:w="975" w:type="dxa"/>
            <w:tcBorders>
              <w:top w:val="nil"/>
            </w:tcBorders>
          </w:tcPr>
          <w:p w:rsidR="00000000" w:rsidRDefault="00000000">
            <w:pPr>
              <w:jc w:val="center"/>
              <w:rPr>
                <w:kern w:val="2"/>
              </w:rPr>
            </w:pPr>
            <w:r>
              <w:rPr>
                <w:kern w:val="2"/>
              </w:rPr>
              <w:t>1998</w:t>
            </w:r>
          </w:p>
        </w:tc>
        <w:tc>
          <w:tcPr>
            <w:tcW w:w="1155" w:type="dxa"/>
            <w:tcBorders>
              <w:top w:val="nil"/>
            </w:tcBorders>
          </w:tcPr>
          <w:p w:rsidR="00000000" w:rsidRDefault="00000000">
            <w:pPr>
              <w:jc w:val="center"/>
              <w:rPr>
                <w:kern w:val="2"/>
              </w:rPr>
            </w:pPr>
            <w:r>
              <w:rPr>
                <w:kern w:val="2"/>
              </w:rPr>
              <w:t>408 640</w:t>
            </w:r>
          </w:p>
        </w:tc>
        <w:tc>
          <w:tcPr>
            <w:tcW w:w="1275" w:type="dxa"/>
            <w:tcBorders>
              <w:top w:val="nil"/>
            </w:tcBorders>
          </w:tcPr>
          <w:p w:rsidR="00000000" w:rsidRDefault="00000000">
            <w:pPr>
              <w:jc w:val="center"/>
              <w:rPr>
                <w:kern w:val="2"/>
              </w:rPr>
            </w:pPr>
            <w:r>
              <w:rPr>
                <w:kern w:val="2"/>
              </w:rPr>
              <w:t>274 934</w:t>
            </w:r>
          </w:p>
        </w:tc>
        <w:tc>
          <w:tcPr>
            <w:tcW w:w="1200" w:type="dxa"/>
            <w:tcBorders>
              <w:top w:val="nil"/>
            </w:tcBorders>
          </w:tcPr>
          <w:p w:rsidR="00000000" w:rsidRDefault="00000000">
            <w:pPr>
              <w:ind w:right="206"/>
              <w:jc w:val="right"/>
              <w:rPr>
                <w:kern w:val="2"/>
              </w:rPr>
            </w:pPr>
            <w:r>
              <w:rPr>
                <w:kern w:val="2"/>
              </w:rPr>
              <w:t>121 155</w:t>
            </w:r>
          </w:p>
        </w:tc>
        <w:tc>
          <w:tcPr>
            <w:tcW w:w="1155" w:type="dxa"/>
            <w:tcBorders>
              <w:top w:val="nil"/>
            </w:tcBorders>
          </w:tcPr>
          <w:p w:rsidR="00000000" w:rsidRDefault="00000000">
            <w:pPr>
              <w:ind w:right="86"/>
              <w:jc w:val="right"/>
              <w:rPr>
                <w:kern w:val="2"/>
              </w:rPr>
            </w:pPr>
            <w:r>
              <w:rPr>
                <w:kern w:val="2"/>
              </w:rPr>
              <w:t>1 321 229</w:t>
            </w:r>
          </w:p>
        </w:tc>
        <w:tc>
          <w:tcPr>
            <w:tcW w:w="1320" w:type="dxa"/>
            <w:tcBorders>
              <w:top w:val="nil"/>
            </w:tcBorders>
          </w:tcPr>
          <w:p w:rsidR="00000000" w:rsidRDefault="00000000">
            <w:pPr>
              <w:jc w:val="center"/>
              <w:rPr>
                <w:kern w:val="2"/>
              </w:rPr>
            </w:pPr>
            <w:r>
              <w:rPr>
                <w:kern w:val="2"/>
              </w:rPr>
              <w:t>2 125 958</w:t>
            </w:r>
          </w:p>
        </w:tc>
      </w:tr>
    </w:tbl>
    <w:p w:rsidR="00000000" w:rsidRDefault="00000000">
      <w:pPr>
        <w:rPr>
          <w:kern w:val="2"/>
        </w:rPr>
      </w:pPr>
    </w:p>
    <w:p w:rsidR="00000000" w:rsidRDefault="00000000">
      <w:pPr>
        <w:rPr>
          <w:kern w:val="2"/>
        </w:rPr>
      </w:pPr>
      <w:r>
        <w:rPr>
          <w:kern w:val="2"/>
        </w:rPr>
        <w:tab/>
      </w:r>
      <w:r>
        <w:rPr>
          <w:kern w:val="2"/>
        </w:rPr>
        <w:tab/>
      </w:r>
      <w:r>
        <w:rPr>
          <w:kern w:val="2"/>
          <w:u w:val="single"/>
        </w:rPr>
        <w:t>Source</w:t>
      </w:r>
      <w:r>
        <w:rPr>
          <w:kern w:val="2"/>
        </w:rPr>
        <w:t>:  Ministry of Education.</w:t>
      </w:r>
    </w:p>
    <w:p w:rsidR="00000000" w:rsidRDefault="00000000">
      <w:pPr>
        <w:rPr>
          <w:kern w:val="2"/>
        </w:rPr>
      </w:pPr>
    </w:p>
    <w:p w:rsidR="00000000" w:rsidRDefault="00000000">
      <w:pPr>
        <w:pStyle w:val="Heading1"/>
        <w:rPr>
          <w:kern w:val="2"/>
        </w:rPr>
      </w:pPr>
      <w:r>
        <w:rPr>
          <w:kern w:val="2"/>
        </w:rPr>
        <w:br w:type="page"/>
        <w:t>Table 15</w:t>
      </w:r>
    </w:p>
    <w:p w:rsidR="00000000" w:rsidRDefault="00000000">
      <w:pPr>
        <w:pStyle w:val="Heading1"/>
        <w:rPr>
          <w:kern w:val="2"/>
        </w:rPr>
      </w:pPr>
    </w:p>
    <w:p w:rsidR="00000000" w:rsidRDefault="00000000">
      <w:pPr>
        <w:pStyle w:val="Heading1"/>
        <w:rPr>
          <w:kern w:val="2"/>
        </w:rPr>
      </w:pPr>
      <w:r>
        <w:rPr>
          <w:kern w:val="2"/>
        </w:rPr>
        <w:t xml:space="preserve">Community health agents, </w:t>
      </w:r>
      <w:r>
        <w:t>number</w:t>
      </w:r>
      <w:r>
        <w:rPr>
          <w:kern w:val="2"/>
        </w:rPr>
        <w:t xml:space="preserve"> of agents, </w:t>
      </w:r>
    </w:p>
    <w:p w:rsidR="00000000" w:rsidRDefault="00000000">
      <w:pPr>
        <w:pStyle w:val="Heading1"/>
        <w:jc w:val="left"/>
        <w:rPr>
          <w:kern w:val="2"/>
        </w:rPr>
      </w:pPr>
      <w:r>
        <w:rPr>
          <w:kern w:val="2"/>
        </w:rPr>
        <w:tab/>
      </w:r>
      <w:r>
        <w:rPr>
          <w:kern w:val="2"/>
        </w:rPr>
        <w:tab/>
      </w:r>
      <w:r>
        <w:rPr>
          <w:kern w:val="2"/>
        </w:rPr>
        <w:tab/>
      </w:r>
      <w:r>
        <w:rPr>
          <w:kern w:val="2"/>
        </w:rPr>
        <w:tab/>
        <w:t xml:space="preserve"> number of municipalities served</w:t>
      </w:r>
    </w:p>
    <w:p w:rsidR="00000000" w:rsidRDefault="00000000">
      <w:pPr>
        <w:rPr>
          <w:kern w:val="2"/>
        </w:rPr>
      </w:pPr>
    </w:p>
    <w:tbl>
      <w:tblPr>
        <w:tblW w:w="0" w:type="auto"/>
        <w:jc w:val="center"/>
        <w:tblInd w:w="-3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1428"/>
        <w:gridCol w:w="1980"/>
        <w:gridCol w:w="2160"/>
      </w:tblGrid>
      <w:tr w:rsidR="00000000">
        <w:tblPrEx>
          <w:tblCellMar>
            <w:top w:w="0" w:type="dxa"/>
            <w:bottom w:w="0" w:type="dxa"/>
          </w:tblCellMar>
        </w:tblPrEx>
        <w:trPr>
          <w:jc w:val="center"/>
        </w:trPr>
        <w:tc>
          <w:tcPr>
            <w:tcW w:w="1428" w:type="dxa"/>
            <w:tcBorders>
              <w:bottom w:val="single" w:sz="4" w:space="0" w:color="auto"/>
            </w:tcBorders>
          </w:tcPr>
          <w:p w:rsidR="00000000" w:rsidRDefault="00000000">
            <w:pPr>
              <w:jc w:val="center"/>
              <w:rPr>
                <w:kern w:val="2"/>
              </w:rPr>
            </w:pPr>
            <w:r>
              <w:rPr>
                <w:kern w:val="2"/>
              </w:rPr>
              <w:t>Period</w:t>
            </w:r>
          </w:p>
        </w:tc>
        <w:tc>
          <w:tcPr>
            <w:tcW w:w="1980" w:type="dxa"/>
            <w:tcBorders>
              <w:bottom w:val="single" w:sz="4" w:space="0" w:color="auto"/>
            </w:tcBorders>
          </w:tcPr>
          <w:p w:rsidR="00000000" w:rsidRDefault="00000000">
            <w:pPr>
              <w:jc w:val="center"/>
              <w:rPr>
                <w:kern w:val="2"/>
              </w:rPr>
            </w:pPr>
            <w:r>
              <w:rPr>
                <w:kern w:val="2"/>
              </w:rPr>
              <w:t>No. of agents</w:t>
            </w:r>
          </w:p>
        </w:tc>
        <w:tc>
          <w:tcPr>
            <w:tcW w:w="2160" w:type="dxa"/>
            <w:tcBorders>
              <w:bottom w:val="single" w:sz="4" w:space="0" w:color="auto"/>
            </w:tcBorders>
          </w:tcPr>
          <w:p w:rsidR="00000000" w:rsidRDefault="00000000">
            <w:pPr>
              <w:jc w:val="center"/>
              <w:rPr>
                <w:kern w:val="2"/>
              </w:rPr>
            </w:pPr>
            <w:r>
              <w:rPr>
                <w:kern w:val="2"/>
              </w:rPr>
              <w:t>No. of municipalities</w:t>
            </w:r>
          </w:p>
        </w:tc>
      </w:tr>
      <w:tr w:rsidR="00000000">
        <w:tblPrEx>
          <w:tblCellMar>
            <w:top w:w="0" w:type="dxa"/>
            <w:bottom w:w="0" w:type="dxa"/>
          </w:tblCellMar>
        </w:tblPrEx>
        <w:trPr>
          <w:jc w:val="center"/>
        </w:trPr>
        <w:tc>
          <w:tcPr>
            <w:tcW w:w="1428" w:type="dxa"/>
            <w:tcBorders>
              <w:bottom w:val="nil"/>
            </w:tcBorders>
          </w:tcPr>
          <w:p w:rsidR="00000000" w:rsidRDefault="00000000">
            <w:pPr>
              <w:jc w:val="center"/>
              <w:rPr>
                <w:kern w:val="2"/>
              </w:rPr>
            </w:pPr>
            <w:r>
              <w:rPr>
                <w:kern w:val="2"/>
              </w:rPr>
              <w:t>1994</w:t>
            </w:r>
          </w:p>
        </w:tc>
        <w:tc>
          <w:tcPr>
            <w:tcW w:w="1980" w:type="dxa"/>
            <w:tcBorders>
              <w:bottom w:val="nil"/>
            </w:tcBorders>
          </w:tcPr>
          <w:p w:rsidR="00000000" w:rsidRDefault="00000000">
            <w:pPr>
              <w:ind w:right="607"/>
              <w:jc w:val="right"/>
              <w:rPr>
                <w:kern w:val="2"/>
              </w:rPr>
            </w:pPr>
            <w:r>
              <w:rPr>
                <w:kern w:val="2"/>
              </w:rPr>
              <w:t>29 098</w:t>
            </w:r>
          </w:p>
        </w:tc>
        <w:tc>
          <w:tcPr>
            <w:tcW w:w="2160" w:type="dxa"/>
            <w:tcBorders>
              <w:bottom w:val="nil"/>
            </w:tcBorders>
          </w:tcPr>
          <w:p w:rsidR="00000000" w:rsidRDefault="00000000">
            <w:pPr>
              <w:ind w:right="782"/>
              <w:jc w:val="right"/>
              <w:rPr>
                <w:kern w:val="2"/>
              </w:rPr>
            </w:pPr>
            <w:r>
              <w:rPr>
                <w:kern w:val="2"/>
              </w:rPr>
              <w:t>879</w:t>
            </w:r>
          </w:p>
        </w:tc>
      </w:tr>
      <w:tr w:rsidR="00000000">
        <w:tblPrEx>
          <w:tblCellMar>
            <w:top w:w="0" w:type="dxa"/>
            <w:bottom w:w="0" w:type="dxa"/>
          </w:tblCellMar>
        </w:tblPrEx>
        <w:trPr>
          <w:jc w:val="center"/>
        </w:trPr>
        <w:tc>
          <w:tcPr>
            <w:tcW w:w="1428" w:type="dxa"/>
            <w:tcBorders>
              <w:top w:val="nil"/>
              <w:bottom w:val="nil"/>
            </w:tcBorders>
          </w:tcPr>
          <w:p w:rsidR="00000000" w:rsidRDefault="00000000">
            <w:pPr>
              <w:jc w:val="center"/>
              <w:rPr>
                <w:kern w:val="2"/>
              </w:rPr>
            </w:pPr>
            <w:r>
              <w:rPr>
                <w:kern w:val="2"/>
              </w:rPr>
              <w:t>1995</w:t>
            </w:r>
          </w:p>
        </w:tc>
        <w:tc>
          <w:tcPr>
            <w:tcW w:w="1980" w:type="dxa"/>
            <w:tcBorders>
              <w:top w:val="nil"/>
              <w:bottom w:val="nil"/>
            </w:tcBorders>
          </w:tcPr>
          <w:p w:rsidR="00000000" w:rsidRDefault="00000000">
            <w:pPr>
              <w:ind w:right="607"/>
              <w:jc w:val="right"/>
              <w:rPr>
                <w:kern w:val="2"/>
              </w:rPr>
            </w:pPr>
            <w:r>
              <w:rPr>
                <w:kern w:val="2"/>
              </w:rPr>
              <w:t>34 546</w:t>
            </w:r>
          </w:p>
        </w:tc>
        <w:tc>
          <w:tcPr>
            <w:tcW w:w="2160" w:type="dxa"/>
            <w:tcBorders>
              <w:top w:val="nil"/>
              <w:bottom w:val="nil"/>
            </w:tcBorders>
          </w:tcPr>
          <w:p w:rsidR="00000000" w:rsidRDefault="00000000">
            <w:pPr>
              <w:ind w:right="782"/>
              <w:jc w:val="right"/>
              <w:rPr>
                <w:kern w:val="2"/>
              </w:rPr>
            </w:pPr>
            <w:r>
              <w:rPr>
                <w:kern w:val="2"/>
              </w:rPr>
              <w:t>1 088</w:t>
            </w:r>
          </w:p>
        </w:tc>
      </w:tr>
      <w:tr w:rsidR="00000000">
        <w:tblPrEx>
          <w:tblCellMar>
            <w:top w:w="0" w:type="dxa"/>
            <w:bottom w:w="0" w:type="dxa"/>
          </w:tblCellMar>
        </w:tblPrEx>
        <w:trPr>
          <w:jc w:val="center"/>
        </w:trPr>
        <w:tc>
          <w:tcPr>
            <w:tcW w:w="1428" w:type="dxa"/>
            <w:tcBorders>
              <w:top w:val="nil"/>
              <w:bottom w:val="nil"/>
            </w:tcBorders>
          </w:tcPr>
          <w:p w:rsidR="00000000" w:rsidRDefault="00000000">
            <w:pPr>
              <w:jc w:val="center"/>
              <w:rPr>
                <w:kern w:val="2"/>
              </w:rPr>
            </w:pPr>
            <w:r>
              <w:rPr>
                <w:kern w:val="2"/>
              </w:rPr>
              <w:t>1996</w:t>
            </w:r>
          </w:p>
        </w:tc>
        <w:tc>
          <w:tcPr>
            <w:tcW w:w="1980" w:type="dxa"/>
            <w:tcBorders>
              <w:top w:val="nil"/>
              <w:bottom w:val="nil"/>
            </w:tcBorders>
          </w:tcPr>
          <w:p w:rsidR="00000000" w:rsidRDefault="00000000">
            <w:pPr>
              <w:ind w:right="607"/>
              <w:jc w:val="right"/>
              <w:rPr>
                <w:kern w:val="2"/>
              </w:rPr>
            </w:pPr>
            <w:r>
              <w:rPr>
                <w:kern w:val="2"/>
              </w:rPr>
              <w:t>44 532</w:t>
            </w:r>
          </w:p>
        </w:tc>
        <w:tc>
          <w:tcPr>
            <w:tcW w:w="2160" w:type="dxa"/>
            <w:tcBorders>
              <w:top w:val="nil"/>
              <w:bottom w:val="nil"/>
            </w:tcBorders>
          </w:tcPr>
          <w:p w:rsidR="00000000" w:rsidRDefault="00000000">
            <w:pPr>
              <w:ind w:right="782"/>
              <w:jc w:val="right"/>
              <w:rPr>
                <w:kern w:val="2"/>
              </w:rPr>
            </w:pPr>
            <w:r>
              <w:rPr>
                <w:kern w:val="2"/>
              </w:rPr>
              <w:t>1 470</w:t>
            </w:r>
          </w:p>
        </w:tc>
      </w:tr>
      <w:tr w:rsidR="00000000">
        <w:tblPrEx>
          <w:tblCellMar>
            <w:top w:w="0" w:type="dxa"/>
            <w:bottom w:w="0" w:type="dxa"/>
          </w:tblCellMar>
        </w:tblPrEx>
        <w:trPr>
          <w:jc w:val="center"/>
        </w:trPr>
        <w:tc>
          <w:tcPr>
            <w:tcW w:w="1428" w:type="dxa"/>
            <w:tcBorders>
              <w:top w:val="nil"/>
              <w:bottom w:val="nil"/>
            </w:tcBorders>
          </w:tcPr>
          <w:p w:rsidR="00000000" w:rsidRDefault="00000000">
            <w:pPr>
              <w:jc w:val="center"/>
              <w:rPr>
                <w:kern w:val="2"/>
              </w:rPr>
            </w:pPr>
            <w:r>
              <w:rPr>
                <w:kern w:val="2"/>
              </w:rPr>
              <w:t>1997</w:t>
            </w:r>
          </w:p>
        </w:tc>
        <w:tc>
          <w:tcPr>
            <w:tcW w:w="1980" w:type="dxa"/>
            <w:tcBorders>
              <w:top w:val="nil"/>
              <w:bottom w:val="nil"/>
            </w:tcBorders>
          </w:tcPr>
          <w:p w:rsidR="00000000" w:rsidRDefault="00000000">
            <w:pPr>
              <w:ind w:right="607"/>
              <w:jc w:val="right"/>
              <w:rPr>
                <w:kern w:val="2"/>
              </w:rPr>
            </w:pPr>
            <w:r>
              <w:rPr>
                <w:kern w:val="2"/>
              </w:rPr>
              <w:t>54 934</w:t>
            </w:r>
          </w:p>
        </w:tc>
        <w:tc>
          <w:tcPr>
            <w:tcW w:w="2160" w:type="dxa"/>
            <w:tcBorders>
              <w:top w:val="nil"/>
              <w:bottom w:val="nil"/>
            </w:tcBorders>
          </w:tcPr>
          <w:p w:rsidR="00000000" w:rsidRDefault="00000000">
            <w:pPr>
              <w:ind w:right="782"/>
              <w:jc w:val="right"/>
              <w:rPr>
                <w:kern w:val="2"/>
              </w:rPr>
            </w:pPr>
            <w:r>
              <w:rPr>
                <w:kern w:val="2"/>
              </w:rPr>
              <w:t>2 203</w:t>
            </w:r>
          </w:p>
        </w:tc>
      </w:tr>
      <w:tr w:rsidR="00000000">
        <w:tblPrEx>
          <w:tblCellMar>
            <w:top w:w="0" w:type="dxa"/>
            <w:bottom w:w="0" w:type="dxa"/>
          </w:tblCellMar>
        </w:tblPrEx>
        <w:trPr>
          <w:jc w:val="center"/>
        </w:trPr>
        <w:tc>
          <w:tcPr>
            <w:tcW w:w="1428" w:type="dxa"/>
            <w:tcBorders>
              <w:top w:val="nil"/>
              <w:bottom w:val="nil"/>
            </w:tcBorders>
          </w:tcPr>
          <w:p w:rsidR="00000000" w:rsidRDefault="00000000">
            <w:pPr>
              <w:jc w:val="center"/>
              <w:rPr>
                <w:kern w:val="2"/>
              </w:rPr>
            </w:pPr>
            <w:r>
              <w:rPr>
                <w:kern w:val="2"/>
              </w:rPr>
              <w:t>1998</w:t>
            </w:r>
          </w:p>
        </w:tc>
        <w:tc>
          <w:tcPr>
            <w:tcW w:w="1980" w:type="dxa"/>
            <w:tcBorders>
              <w:top w:val="nil"/>
              <w:bottom w:val="nil"/>
            </w:tcBorders>
          </w:tcPr>
          <w:p w:rsidR="00000000" w:rsidRDefault="00000000">
            <w:pPr>
              <w:ind w:right="607"/>
              <w:jc w:val="right"/>
              <w:rPr>
                <w:kern w:val="2"/>
              </w:rPr>
            </w:pPr>
            <w:r>
              <w:rPr>
                <w:kern w:val="2"/>
              </w:rPr>
              <w:t>88 961</w:t>
            </w:r>
          </w:p>
        </w:tc>
        <w:tc>
          <w:tcPr>
            <w:tcW w:w="2160" w:type="dxa"/>
            <w:tcBorders>
              <w:top w:val="nil"/>
              <w:bottom w:val="nil"/>
            </w:tcBorders>
          </w:tcPr>
          <w:p w:rsidR="00000000" w:rsidRDefault="00000000">
            <w:pPr>
              <w:ind w:right="782"/>
              <w:jc w:val="right"/>
              <w:rPr>
                <w:kern w:val="2"/>
              </w:rPr>
            </w:pPr>
            <w:r>
              <w:rPr>
                <w:kern w:val="2"/>
              </w:rPr>
              <w:t>3 541</w:t>
            </w:r>
          </w:p>
        </w:tc>
      </w:tr>
      <w:tr w:rsidR="00000000">
        <w:tblPrEx>
          <w:tblCellMar>
            <w:top w:w="0" w:type="dxa"/>
            <w:bottom w:w="0" w:type="dxa"/>
          </w:tblCellMar>
        </w:tblPrEx>
        <w:trPr>
          <w:jc w:val="center"/>
        </w:trPr>
        <w:tc>
          <w:tcPr>
            <w:tcW w:w="1428" w:type="dxa"/>
            <w:tcBorders>
              <w:top w:val="nil"/>
            </w:tcBorders>
          </w:tcPr>
          <w:p w:rsidR="00000000" w:rsidRDefault="00000000">
            <w:pPr>
              <w:jc w:val="center"/>
              <w:rPr>
                <w:kern w:val="2"/>
              </w:rPr>
            </w:pPr>
            <w:r>
              <w:rPr>
                <w:kern w:val="2"/>
              </w:rPr>
              <w:t>1999</w:t>
            </w:r>
          </w:p>
        </w:tc>
        <w:tc>
          <w:tcPr>
            <w:tcW w:w="1980" w:type="dxa"/>
            <w:tcBorders>
              <w:top w:val="nil"/>
            </w:tcBorders>
          </w:tcPr>
          <w:p w:rsidR="00000000" w:rsidRDefault="00000000">
            <w:pPr>
              <w:ind w:right="607"/>
              <w:jc w:val="right"/>
              <w:rPr>
                <w:kern w:val="2"/>
              </w:rPr>
            </w:pPr>
            <w:r>
              <w:rPr>
                <w:kern w:val="2"/>
              </w:rPr>
              <w:t>111 659</w:t>
            </w:r>
          </w:p>
        </w:tc>
        <w:tc>
          <w:tcPr>
            <w:tcW w:w="2160" w:type="dxa"/>
            <w:tcBorders>
              <w:top w:val="nil"/>
            </w:tcBorders>
          </w:tcPr>
          <w:p w:rsidR="00000000" w:rsidRDefault="00000000">
            <w:pPr>
              <w:ind w:right="782"/>
              <w:jc w:val="right"/>
              <w:rPr>
                <w:kern w:val="2"/>
              </w:rPr>
            </w:pPr>
            <w:r>
              <w:rPr>
                <w:kern w:val="2"/>
              </w:rPr>
              <w:t>4 052</w:t>
            </w:r>
          </w:p>
        </w:tc>
      </w:tr>
    </w:tbl>
    <w:p w:rsidR="00000000" w:rsidRDefault="00000000">
      <w:pPr>
        <w:rPr>
          <w:kern w:val="2"/>
        </w:rPr>
      </w:pPr>
    </w:p>
    <w:p w:rsidR="00000000" w:rsidRDefault="00000000">
      <w:pPr>
        <w:rPr>
          <w:kern w:val="2"/>
        </w:rPr>
      </w:pPr>
      <w:r>
        <w:rPr>
          <w:kern w:val="2"/>
        </w:rPr>
        <w:tab/>
      </w:r>
      <w:r>
        <w:rPr>
          <w:kern w:val="2"/>
        </w:rPr>
        <w:tab/>
      </w:r>
      <w:r>
        <w:rPr>
          <w:kern w:val="2"/>
        </w:rPr>
        <w:tab/>
      </w:r>
      <w:r>
        <w:rPr>
          <w:kern w:val="2"/>
          <w:u w:val="single"/>
        </w:rPr>
        <w:t>Source</w:t>
      </w:r>
      <w:r>
        <w:rPr>
          <w:kern w:val="2"/>
        </w:rPr>
        <w:t>:  Ministry of Health.</w:t>
      </w:r>
    </w:p>
    <w:p w:rsidR="00000000" w:rsidRDefault="00000000">
      <w:pPr>
        <w:rPr>
          <w:kern w:val="2"/>
        </w:rPr>
      </w:pPr>
    </w:p>
    <w:p w:rsidR="00000000" w:rsidRDefault="00000000">
      <w:pPr>
        <w:pStyle w:val="Heading1"/>
        <w:rPr>
          <w:kern w:val="2"/>
        </w:rPr>
      </w:pPr>
      <w:r>
        <w:rPr>
          <w:kern w:val="2"/>
        </w:rPr>
        <w:t>Table 16</w:t>
      </w:r>
    </w:p>
    <w:p w:rsidR="00000000" w:rsidRDefault="00000000">
      <w:pPr>
        <w:pStyle w:val="Heading1"/>
        <w:rPr>
          <w:kern w:val="2"/>
        </w:rPr>
      </w:pPr>
    </w:p>
    <w:p w:rsidR="00000000" w:rsidRDefault="00000000">
      <w:pPr>
        <w:pStyle w:val="Heading1"/>
        <w:rPr>
          <w:kern w:val="2"/>
        </w:rPr>
      </w:pPr>
      <w:r>
        <w:rPr>
          <w:kern w:val="2"/>
        </w:rPr>
        <w:t xml:space="preserve">Family health </w:t>
      </w:r>
      <w:r>
        <w:t>teams</w:t>
      </w:r>
      <w:r>
        <w:rPr>
          <w:kern w:val="2"/>
        </w:rPr>
        <w:t xml:space="preserve">, number of teams and </w:t>
      </w:r>
    </w:p>
    <w:p w:rsidR="00000000" w:rsidRDefault="00000000">
      <w:pPr>
        <w:pStyle w:val="Heading1"/>
        <w:jc w:val="left"/>
        <w:rPr>
          <w:kern w:val="2"/>
        </w:rPr>
      </w:pPr>
      <w:r>
        <w:rPr>
          <w:kern w:val="2"/>
        </w:rPr>
        <w:tab/>
      </w:r>
      <w:r>
        <w:rPr>
          <w:kern w:val="2"/>
        </w:rPr>
        <w:tab/>
      </w:r>
      <w:r>
        <w:rPr>
          <w:kern w:val="2"/>
        </w:rPr>
        <w:tab/>
      </w:r>
      <w:r>
        <w:rPr>
          <w:kern w:val="2"/>
        </w:rPr>
        <w:tab/>
      </w:r>
      <w:r>
        <w:rPr>
          <w:kern w:val="2"/>
        </w:rPr>
        <w:tab/>
        <w:t xml:space="preserve">  municipalities served</w:t>
      </w:r>
    </w:p>
    <w:p w:rsidR="00000000" w:rsidRDefault="00000000"/>
    <w:tbl>
      <w:tblPr>
        <w:tblW w:w="0" w:type="auto"/>
        <w:jc w:val="center"/>
        <w:tblInd w:w="-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1544"/>
        <w:gridCol w:w="1821"/>
        <w:gridCol w:w="2199"/>
      </w:tblGrid>
      <w:tr w:rsidR="00000000">
        <w:tblPrEx>
          <w:tblCellMar>
            <w:top w:w="0" w:type="dxa"/>
            <w:bottom w:w="0" w:type="dxa"/>
          </w:tblCellMar>
        </w:tblPrEx>
        <w:trPr>
          <w:jc w:val="center"/>
        </w:trPr>
        <w:tc>
          <w:tcPr>
            <w:tcW w:w="1544" w:type="dxa"/>
            <w:tcBorders>
              <w:bottom w:val="single" w:sz="4" w:space="0" w:color="auto"/>
            </w:tcBorders>
          </w:tcPr>
          <w:p w:rsidR="00000000" w:rsidRDefault="00000000">
            <w:pPr>
              <w:jc w:val="center"/>
              <w:rPr>
                <w:kern w:val="2"/>
              </w:rPr>
            </w:pPr>
            <w:r>
              <w:rPr>
                <w:kern w:val="2"/>
              </w:rPr>
              <w:t>Period</w:t>
            </w:r>
          </w:p>
        </w:tc>
        <w:tc>
          <w:tcPr>
            <w:tcW w:w="1821" w:type="dxa"/>
            <w:tcBorders>
              <w:bottom w:val="single" w:sz="4" w:space="0" w:color="auto"/>
            </w:tcBorders>
          </w:tcPr>
          <w:p w:rsidR="00000000" w:rsidRDefault="00000000">
            <w:pPr>
              <w:jc w:val="center"/>
              <w:rPr>
                <w:kern w:val="2"/>
              </w:rPr>
            </w:pPr>
            <w:r>
              <w:rPr>
                <w:kern w:val="2"/>
              </w:rPr>
              <w:t>No. of teams</w:t>
            </w:r>
          </w:p>
        </w:tc>
        <w:tc>
          <w:tcPr>
            <w:tcW w:w="2199" w:type="dxa"/>
            <w:tcBorders>
              <w:bottom w:val="single" w:sz="4" w:space="0" w:color="auto"/>
            </w:tcBorders>
          </w:tcPr>
          <w:p w:rsidR="00000000" w:rsidRDefault="00000000">
            <w:pPr>
              <w:jc w:val="center"/>
              <w:rPr>
                <w:kern w:val="2"/>
              </w:rPr>
            </w:pPr>
            <w:r>
              <w:rPr>
                <w:kern w:val="2"/>
              </w:rPr>
              <w:t>No. of municipalities</w:t>
            </w:r>
          </w:p>
        </w:tc>
      </w:tr>
      <w:tr w:rsidR="00000000">
        <w:tblPrEx>
          <w:tblCellMar>
            <w:top w:w="0" w:type="dxa"/>
            <w:bottom w:w="0" w:type="dxa"/>
          </w:tblCellMar>
        </w:tblPrEx>
        <w:trPr>
          <w:jc w:val="center"/>
        </w:trPr>
        <w:tc>
          <w:tcPr>
            <w:tcW w:w="1544" w:type="dxa"/>
            <w:tcBorders>
              <w:bottom w:val="nil"/>
            </w:tcBorders>
          </w:tcPr>
          <w:p w:rsidR="00000000" w:rsidRDefault="00000000">
            <w:pPr>
              <w:jc w:val="center"/>
              <w:rPr>
                <w:kern w:val="2"/>
              </w:rPr>
            </w:pPr>
            <w:r>
              <w:rPr>
                <w:kern w:val="2"/>
              </w:rPr>
              <w:t>1994</w:t>
            </w:r>
          </w:p>
        </w:tc>
        <w:tc>
          <w:tcPr>
            <w:tcW w:w="1821" w:type="dxa"/>
            <w:tcBorders>
              <w:bottom w:val="nil"/>
            </w:tcBorders>
          </w:tcPr>
          <w:p w:rsidR="00000000" w:rsidRDefault="00000000">
            <w:pPr>
              <w:ind w:right="701"/>
              <w:jc w:val="right"/>
              <w:rPr>
                <w:kern w:val="2"/>
              </w:rPr>
            </w:pPr>
            <w:r>
              <w:rPr>
                <w:kern w:val="2"/>
              </w:rPr>
              <w:t>328</w:t>
            </w:r>
          </w:p>
        </w:tc>
        <w:tc>
          <w:tcPr>
            <w:tcW w:w="2199" w:type="dxa"/>
            <w:tcBorders>
              <w:bottom w:val="nil"/>
            </w:tcBorders>
          </w:tcPr>
          <w:p w:rsidR="00000000" w:rsidRDefault="00000000">
            <w:pPr>
              <w:ind w:right="774"/>
              <w:jc w:val="right"/>
              <w:rPr>
                <w:kern w:val="2"/>
              </w:rPr>
            </w:pPr>
            <w:r>
              <w:rPr>
                <w:kern w:val="2"/>
              </w:rPr>
              <w:t>55</w:t>
            </w:r>
          </w:p>
        </w:tc>
      </w:tr>
      <w:tr w:rsidR="00000000">
        <w:tblPrEx>
          <w:tblCellMar>
            <w:top w:w="0" w:type="dxa"/>
            <w:bottom w:w="0" w:type="dxa"/>
          </w:tblCellMar>
        </w:tblPrEx>
        <w:trPr>
          <w:jc w:val="center"/>
        </w:trPr>
        <w:tc>
          <w:tcPr>
            <w:tcW w:w="1544" w:type="dxa"/>
            <w:tcBorders>
              <w:top w:val="nil"/>
              <w:bottom w:val="nil"/>
            </w:tcBorders>
          </w:tcPr>
          <w:p w:rsidR="00000000" w:rsidRDefault="00000000">
            <w:pPr>
              <w:jc w:val="center"/>
              <w:rPr>
                <w:kern w:val="2"/>
              </w:rPr>
            </w:pPr>
            <w:r>
              <w:rPr>
                <w:kern w:val="2"/>
              </w:rPr>
              <w:t>1995</w:t>
            </w:r>
          </w:p>
        </w:tc>
        <w:tc>
          <w:tcPr>
            <w:tcW w:w="1821" w:type="dxa"/>
            <w:tcBorders>
              <w:top w:val="nil"/>
              <w:bottom w:val="nil"/>
            </w:tcBorders>
          </w:tcPr>
          <w:p w:rsidR="00000000" w:rsidRDefault="00000000">
            <w:pPr>
              <w:ind w:right="701"/>
              <w:jc w:val="right"/>
              <w:rPr>
                <w:kern w:val="2"/>
              </w:rPr>
            </w:pPr>
            <w:r>
              <w:rPr>
                <w:kern w:val="2"/>
              </w:rPr>
              <w:t>724</w:t>
            </w:r>
          </w:p>
        </w:tc>
        <w:tc>
          <w:tcPr>
            <w:tcW w:w="2199" w:type="dxa"/>
            <w:tcBorders>
              <w:top w:val="nil"/>
              <w:bottom w:val="nil"/>
            </w:tcBorders>
          </w:tcPr>
          <w:p w:rsidR="00000000" w:rsidRDefault="00000000">
            <w:pPr>
              <w:ind w:right="774"/>
              <w:jc w:val="right"/>
              <w:rPr>
                <w:kern w:val="2"/>
              </w:rPr>
            </w:pPr>
            <w:r>
              <w:rPr>
                <w:kern w:val="2"/>
              </w:rPr>
              <w:t>150</w:t>
            </w:r>
          </w:p>
        </w:tc>
      </w:tr>
      <w:tr w:rsidR="00000000">
        <w:tblPrEx>
          <w:tblCellMar>
            <w:top w:w="0" w:type="dxa"/>
            <w:bottom w:w="0" w:type="dxa"/>
          </w:tblCellMar>
        </w:tblPrEx>
        <w:trPr>
          <w:jc w:val="center"/>
        </w:trPr>
        <w:tc>
          <w:tcPr>
            <w:tcW w:w="1544" w:type="dxa"/>
            <w:tcBorders>
              <w:top w:val="nil"/>
              <w:bottom w:val="nil"/>
            </w:tcBorders>
          </w:tcPr>
          <w:p w:rsidR="00000000" w:rsidRDefault="00000000">
            <w:pPr>
              <w:jc w:val="center"/>
              <w:rPr>
                <w:kern w:val="2"/>
              </w:rPr>
            </w:pPr>
            <w:r>
              <w:rPr>
                <w:kern w:val="2"/>
              </w:rPr>
              <w:t>1996</w:t>
            </w:r>
          </w:p>
        </w:tc>
        <w:tc>
          <w:tcPr>
            <w:tcW w:w="1821" w:type="dxa"/>
            <w:tcBorders>
              <w:top w:val="nil"/>
              <w:bottom w:val="nil"/>
            </w:tcBorders>
          </w:tcPr>
          <w:p w:rsidR="00000000" w:rsidRDefault="00000000">
            <w:pPr>
              <w:ind w:right="701"/>
              <w:jc w:val="right"/>
              <w:rPr>
                <w:kern w:val="2"/>
              </w:rPr>
            </w:pPr>
            <w:r>
              <w:rPr>
                <w:kern w:val="2"/>
              </w:rPr>
              <w:t>847</w:t>
            </w:r>
          </w:p>
        </w:tc>
        <w:tc>
          <w:tcPr>
            <w:tcW w:w="2199" w:type="dxa"/>
            <w:tcBorders>
              <w:top w:val="nil"/>
              <w:bottom w:val="nil"/>
            </w:tcBorders>
          </w:tcPr>
          <w:p w:rsidR="00000000" w:rsidRDefault="00000000">
            <w:pPr>
              <w:ind w:right="774"/>
              <w:jc w:val="right"/>
              <w:rPr>
                <w:kern w:val="2"/>
              </w:rPr>
            </w:pPr>
            <w:r>
              <w:rPr>
                <w:kern w:val="2"/>
              </w:rPr>
              <w:t>228</w:t>
            </w:r>
          </w:p>
        </w:tc>
      </w:tr>
      <w:tr w:rsidR="00000000">
        <w:tblPrEx>
          <w:tblCellMar>
            <w:top w:w="0" w:type="dxa"/>
            <w:bottom w:w="0" w:type="dxa"/>
          </w:tblCellMar>
        </w:tblPrEx>
        <w:trPr>
          <w:jc w:val="center"/>
        </w:trPr>
        <w:tc>
          <w:tcPr>
            <w:tcW w:w="1544" w:type="dxa"/>
            <w:tcBorders>
              <w:top w:val="nil"/>
              <w:bottom w:val="nil"/>
            </w:tcBorders>
          </w:tcPr>
          <w:p w:rsidR="00000000" w:rsidRDefault="00000000">
            <w:pPr>
              <w:jc w:val="center"/>
              <w:rPr>
                <w:kern w:val="2"/>
              </w:rPr>
            </w:pPr>
            <w:r>
              <w:rPr>
                <w:kern w:val="2"/>
              </w:rPr>
              <w:t>1997</w:t>
            </w:r>
          </w:p>
        </w:tc>
        <w:tc>
          <w:tcPr>
            <w:tcW w:w="1821" w:type="dxa"/>
            <w:tcBorders>
              <w:top w:val="nil"/>
              <w:bottom w:val="nil"/>
            </w:tcBorders>
          </w:tcPr>
          <w:p w:rsidR="00000000" w:rsidRDefault="00000000">
            <w:pPr>
              <w:ind w:right="701"/>
              <w:jc w:val="right"/>
              <w:rPr>
                <w:kern w:val="2"/>
              </w:rPr>
            </w:pPr>
            <w:r>
              <w:rPr>
                <w:kern w:val="2"/>
              </w:rPr>
              <w:t>1 623</w:t>
            </w:r>
          </w:p>
        </w:tc>
        <w:tc>
          <w:tcPr>
            <w:tcW w:w="2199" w:type="dxa"/>
            <w:tcBorders>
              <w:top w:val="nil"/>
              <w:bottom w:val="nil"/>
            </w:tcBorders>
          </w:tcPr>
          <w:p w:rsidR="00000000" w:rsidRDefault="00000000">
            <w:pPr>
              <w:ind w:right="774"/>
              <w:jc w:val="right"/>
              <w:rPr>
                <w:kern w:val="2"/>
              </w:rPr>
            </w:pPr>
            <w:r>
              <w:rPr>
                <w:kern w:val="2"/>
              </w:rPr>
              <w:t>567</w:t>
            </w:r>
          </w:p>
        </w:tc>
      </w:tr>
      <w:tr w:rsidR="00000000">
        <w:tblPrEx>
          <w:tblCellMar>
            <w:top w:w="0" w:type="dxa"/>
            <w:bottom w:w="0" w:type="dxa"/>
          </w:tblCellMar>
        </w:tblPrEx>
        <w:trPr>
          <w:jc w:val="center"/>
        </w:trPr>
        <w:tc>
          <w:tcPr>
            <w:tcW w:w="1544" w:type="dxa"/>
            <w:tcBorders>
              <w:top w:val="nil"/>
              <w:bottom w:val="nil"/>
            </w:tcBorders>
          </w:tcPr>
          <w:p w:rsidR="00000000" w:rsidRDefault="00000000">
            <w:pPr>
              <w:jc w:val="center"/>
              <w:rPr>
                <w:kern w:val="2"/>
              </w:rPr>
            </w:pPr>
            <w:r>
              <w:rPr>
                <w:kern w:val="2"/>
              </w:rPr>
              <w:t>1998</w:t>
            </w:r>
          </w:p>
        </w:tc>
        <w:tc>
          <w:tcPr>
            <w:tcW w:w="1821" w:type="dxa"/>
            <w:tcBorders>
              <w:top w:val="nil"/>
              <w:bottom w:val="nil"/>
            </w:tcBorders>
          </w:tcPr>
          <w:p w:rsidR="00000000" w:rsidRDefault="00000000">
            <w:pPr>
              <w:ind w:right="701"/>
              <w:jc w:val="right"/>
              <w:rPr>
                <w:kern w:val="2"/>
              </w:rPr>
            </w:pPr>
            <w:r>
              <w:rPr>
                <w:kern w:val="2"/>
              </w:rPr>
              <w:t>3 147</w:t>
            </w:r>
          </w:p>
        </w:tc>
        <w:tc>
          <w:tcPr>
            <w:tcW w:w="2199" w:type="dxa"/>
            <w:tcBorders>
              <w:top w:val="nil"/>
              <w:bottom w:val="nil"/>
            </w:tcBorders>
          </w:tcPr>
          <w:p w:rsidR="00000000" w:rsidRDefault="00000000">
            <w:pPr>
              <w:ind w:right="774"/>
              <w:jc w:val="right"/>
              <w:rPr>
                <w:kern w:val="2"/>
              </w:rPr>
            </w:pPr>
            <w:r>
              <w:rPr>
                <w:kern w:val="2"/>
              </w:rPr>
              <w:t>1 117</w:t>
            </w:r>
          </w:p>
        </w:tc>
      </w:tr>
      <w:tr w:rsidR="00000000">
        <w:tblPrEx>
          <w:tblCellMar>
            <w:top w:w="0" w:type="dxa"/>
            <w:bottom w:w="0" w:type="dxa"/>
          </w:tblCellMar>
        </w:tblPrEx>
        <w:trPr>
          <w:jc w:val="center"/>
        </w:trPr>
        <w:tc>
          <w:tcPr>
            <w:tcW w:w="1544" w:type="dxa"/>
            <w:tcBorders>
              <w:top w:val="nil"/>
            </w:tcBorders>
          </w:tcPr>
          <w:p w:rsidR="00000000" w:rsidRDefault="00000000">
            <w:pPr>
              <w:jc w:val="center"/>
              <w:rPr>
                <w:kern w:val="2"/>
              </w:rPr>
            </w:pPr>
            <w:r>
              <w:rPr>
                <w:kern w:val="2"/>
              </w:rPr>
              <w:t>1999</w:t>
            </w:r>
          </w:p>
        </w:tc>
        <w:tc>
          <w:tcPr>
            <w:tcW w:w="1821" w:type="dxa"/>
            <w:tcBorders>
              <w:top w:val="nil"/>
            </w:tcBorders>
          </w:tcPr>
          <w:p w:rsidR="00000000" w:rsidRDefault="00000000">
            <w:pPr>
              <w:ind w:right="701"/>
              <w:jc w:val="right"/>
              <w:rPr>
                <w:kern w:val="2"/>
              </w:rPr>
            </w:pPr>
            <w:r>
              <w:rPr>
                <w:kern w:val="2"/>
              </w:rPr>
              <w:t>4 945</w:t>
            </w:r>
          </w:p>
        </w:tc>
        <w:tc>
          <w:tcPr>
            <w:tcW w:w="2199" w:type="dxa"/>
            <w:tcBorders>
              <w:top w:val="nil"/>
            </w:tcBorders>
          </w:tcPr>
          <w:p w:rsidR="00000000" w:rsidRDefault="00000000">
            <w:pPr>
              <w:ind w:right="774"/>
              <w:jc w:val="right"/>
              <w:rPr>
                <w:kern w:val="2"/>
              </w:rPr>
            </w:pPr>
            <w:r>
              <w:rPr>
                <w:kern w:val="2"/>
              </w:rPr>
              <w:t>1 870</w:t>
            </w:r>
          </w:p>
        </w:tc>
      </w:tr>
    </w:tbl>
    <w:p w:rsidR="00000000" w:rsidRDefault="00000000">
      <w:pPr>
        <w:rPr>
          <w:kern w:val="2"/>
        </w:rPr>
      </w:pPr>
    </w:p>
    <w:p w:rsidR="00000000" w:rsidRDefault="00000000">
      <w:pPr>
        <w:rPr>
          <w:kern w:val="2"/>
        </w:rPr>
      </w:pPr>
      <w:r>
        <w:rPr>
          <w:kern w:val="2"/>
        </w:rPr>
        <w:tab/>
      </w:r>
      <w:r>
        <w:rPr>
          <w:kern w:val="2"/>
        </w:rPr>
        <w:tab/>
      </w:r>
      <w:r>
        <w:rPr>
          <w:kern w:val="2"/>
        </w:rPr>
        <w:tab/>
      </w:r>
      <w:r>
        <w:rPr>
          <w:kern w:val="2"/>
          <w:u w:val="single"/>
        </w:rPr>
        <w:t>Source</w:t>
      </w:r>
      <w:r>
        <w:rPr>
          <w:kern w:val="2"/>
        </w:rPr>
        <w:t>:  Ministry of Health.</w:t>
      </w:r>
    </w:p>
    <w:p w:rsidR="00000000" w:rsidRDefault="00000000">
      <w:pPr>
        <w:rPr>
          <w:kern w:val="2"/>
        </w:rPr>
      </w:pPr>
    </w:p>
    <w:p w:rsidR="00000000" w:rsidRDefault="00000000">
      <w:pPr>
        <w:pStyle w:val="Heading1"/>
        <w:rPr>
          <w:kern w:val="2"/>
        </w:rPr>
      </w:pPr>
      <w:r>
        <w:rPr>
          <w:kern w:val="2"/>
        </w:rPr>
        <w:t>Table 17</w:t>
      </w:r>
    </w:p>
    <w:p w:rsidR="00000000" w:rsidRDefault="00000000">
      <w:pPr>
        <w:pStyle w:val="Heading1"/>
        <w:rPr>
          <w:kern w:val="2"/>
        </w:rPr>
      </w:pPr>
    </w:p>
    <w:p w:rsidR="00000000" w:rsidRDefault="00000000">
      <w:pPr>
        <w:pStyle w:val="Heading1"/>
        <w:rPr>
          <w:kern w:val="2"/>
        </w:rPr>
      </w:pPr>
      <w:r>
        <w:rPr>
          <w:kern w:val="2"/>
        </w:rPr>
        <w:t>Programme to eradicate child labour</w:t>
      </w:r>
    </w:p>
    <w:p w:rsidR="00000000" w:rsidRDefault="00000000">
      <w:pPr>
        <w:rPr>
          <w:kern w:val="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960"/>
        <w:gridCol w:w="2760"/>
        <w:gridCol w:w="1830"/>
      </w:tblGrid>
      <w:tr w:rsidR="00000000">
        <w:tblPrEx>
          <w:tblCellMar>
            <w:top w:w="0" w:type="dxa"/>
            <w:bottom w:w="0" w:type="dxa"/>
          </w:tblCellMar>
        </w:tblPrEx>
        <w:trPr>
          <w:jc w:val="center"/>
        </w:trPr>
        <w:tc>
          <w:tcPr>
            <w:tcW w:w="960" w:type="dxa"/>
            <w:tcBorders>
              <w:bottom w:val="single" w:sz="4" w:space="0" w:color="auto"/>
            </w:tcBorders>
          </w:tcPr>
          <w:p w:rsidR="00000000" w:rsidRDefault="00000000">
            <w:pPr>
              <w:jc w:val="center"/>
              <w:rPr>
                <w:kern w:val="2"/>
              </w:rPr>
            </w:pPr>
            <w:r>
              <w:rPr>
                <w:kern w:val="2"/>
              </w:rPr>
              <w:t>Period</w:t>
            </w:r>
          </w:p>
        </w:tc>
        <w:tc>
          <w:tcPr>
            <w:tcW w:w="2760" w:type="dxa"/>
            <w:tcBorders>
              <w:bottom w:val="single" w:sz="4" w:space="0" w:color="auto"/>
            </w:tcBorders>
          </w:tcPr>
          <w:p w:rsidR="00000000" w:rsidRDefault="00000000">
            <w:pPr>
              <w:jc w:val="center"/>
              <w:rPr>
                <w:kern w:val="2"/>
              </w:rPr>
            </w:pPr>
            <w:r>
              <w:rPr>
                <w:kern w:val="2"/>
              </w:rPr>
              <w:t>No. of children served</w:t>
            </w:r>
          </w:p>
        </w:tc>
        <w:tc>
          <w:tcPr>
            <w:tcW w:w="1830" w:type="dxa"/>
            <w:tcBorders>
              <w:bottom w:val="single" w:sz="4" w:space="0" w:color="auto"/>
            </w:tcBorders>
          </w:tcPr>
          <w:p w:rsidR="00000000" w:rsidRDefault="00000000">
            <w:pPr>
              <w:jc w:val="center"/>
              <w:rPr>
                <w:kern w:val="2"/>
                <w:highlight w:val="yellow"/>
              </w:rPr>
            </w:pPr>
            <w:r>
              <w:rPr>
                <w:kern w:val="2"/>
              </w:rPr>
              <w:t>Cr$ in millions</w:t>
            </w:r>
          </w:p>
        </w:tc>
      </w:tr>
      <w:tr w:rsidR="00000000">
        <w:tblPrEx>
          <w:tblCellMar>
            <w:top w:w="0" w:type="dxa"/>
            <w:bottom w:w="0" w:type="dxa"/>
          </w:tblCellMar>
        </w:tblPrEx>
        <w:trPr>
          <w:jc w:val="center"/>
        </w:trPr>
        <w:tc>
          <w:tcPr>
            <w:tcW w:w="960" w:type="dxa"/>
            <w:tcBorders>
              <w:bottom w:val="nil"/>
            </w:tcBorders>
          </w:tcPr>
          <w:p w:rsidR="00000000" w:rsidRDefault="00000000">
            <w:pPr>
              <w:jc w:val="center"/>
              <w:rPr>
                <w:kern w:val="2"/>
              </w:rPr>
            </w:pPr>
            <w:r>
              <w:rPr>
                <w:kern w:val="2"/>
              </w:rPr>
              <w:t>1996</w:t>
            </w:r>
          </w:p>
        </w:tc>
        <w:tc>
          <w:tcPr>
            <w:tcW w:w="2760" w:type="dxa"/>
            <w:tcBorders>
              <w:bottom w:val="nil"/>
            </w:tcBorders>
          </w:tcPr>
          <w:p w:rsidR="00000000" w:rsidRDefault="00000000">
            <w:pPr>
              <w:ind w:right="1079"/>
              <w:jc w:val="right"/>
              <w:rPr>
                <w:kern w:val="2"/>
              </w:rPr>
            </w:pPr>
            <w:r>
              <w:rPr>
                <w:kern w:val="2"/>
              </w:rPr>
              <w:t>3 710</w:t>
            </w:r>
          </w:p>
        </w:tc>
        <w:tc>
          <w:tcPr>
            <w:tcW w:w="1830" w:type="dxa"/>
            <w:tcBorders>
              <w:bottom w:val="nil"/>
            </w:tcBorders>
          </w:tcPr>
          <w:p w:rsidR="00000000" w:rsidRDefault="00000000">
            <w:pPr>
              <w:ind w:right="499"/>
              <w:jc w:val="right"/>
              <w:rPr>
                <w:kern w:val="2"/>
              </w:rPr>
            </w:pPr>
            <w:r>
              <w:rPr>
                <w:kern w:val="2"/>
              </w:rPr>
              <w:t>0.93</w:t>
            </w:r>
          </w:p>
        </w:tc>
      </w:tr>
      <w:tr w:rsidR="00000000">
        <w:tblPrEx>
          <w:tblCellMar>
            <w:top w:w="0" w:type="dxa"/>
            <w:bottom w:w="0" w:type="dxa"/>
          </w:tblCellMar>
        </w:tblPrEx>
        <w:trPr>
          <w:jc w:val="center"/>
        </w:trPr>
        <w:tc>
          <w:tcPr>
            <w:tcW w:w="960" w:type="dxa"/>
            <w:tcBorders>
              <w:top w:val="nil"/>
              <w:bottom w:val="nil"/>
            </w:tcBorders>
          </w:tcPr>
          <w:p w:rsidR="00000000" w:rsidRDefault="00000000">
            <w:pPr>
              <w:jc w:val="center"/>
              <w:rPr>
                <w:kern w:val="2"/>
              </w:rPr>
            </w:pPr>
            <w:r>
              <w:rPr>
                <w:kern w:val="2"/>
              </w:rPr>
              <w:t>1997</w:t>
            </w:r>
          </w:p>
        </w:tc>
        <w:tc>
          <w:tcPr>
            <w:tcW w:w="2760" w:type="dxa"/>
            <w:tcBorders>
              <w:top w:val="nil"/>
              <w:bottom w:val="nil"/>
            </w:tcBorders>
          </w:tcPr>
          <w:p w:rsidR="00000000" w:rsidRDefault="00000000">
            <w:pPr>
              <w:ind w:right="1079"/>
              <w:jc w:val="right"/>
              <w:rPr>
                <w:kern w:val="2"/>
              </w:rPr>
            </w:pPr>
            <w:r>
              <w:rPr>
                <w:kern w:val="2"/>
              </w:rPr>
              <w:t>37 025</w:t>
            </w:r>
          </w:p>
        </w:tc>
        <w:tc>
          <w:tcPr>
            <w:tcW w:w="1830" w:type="dxa"/>
            <w:tcBorders>
              <w:top w:val="nil"/>
              <w:bottom w:val="nil"/>
            </w:tcBorders>
          </w:tcPr>
          <w:p w:rsidR="00000000" w:rsidRDefault="00000000">
            <w:pPr>
              <w:ind w:right="499"/>
              <w:jc w:val="right"/>
              <w:rPr>
                <w:kern w:val="2"/>
              </w:rPr>
            </w:pPr>
            <w:r>
              <w:rPr>
                <w:kern w:val="2"/>
              </w:rPr>
              <w:t>14.44</w:t>
            </w:r>
          </w:p>
        </w:tc>
      </w:tr>
      <w:tr w:rsidR="00000000">
        <w:tblPrEx>
          <w:tblCellMar>
            <w:top w:w="0" w:type="dxa"/>
            <w:bottom w:w="0" w:type="dxa"/>
          </w:tblCellMar>
        </w:tblPrEx>
        <w:trPr>
          <w:jc w:val="center"/>
        </w:trPr>
        <w:tc>
          <w:tcPr>
            <w:tcW w:w="960" w:type="dxa"/>
            <w:tcBorders>
              <w:top w:val="nil"/>
              <w:bottom w:val="nil"/>
            </w:tcBorders>
          </w:tcPr>
          <w:p w:rsidR="00000000" w:rsidRDefault="00000000">
            <w:pPr>
              <w:jc w:val="center"/>
              <w:rPr>
                <w:kern w:val="2"/>
              </w:rPr>
            </w:pPr>
            <w:r>
              <w:rPr>
                <w:kern w:val="2"/>
              </w:rPr>
              <w:t>1998</w:t>
            </w:r>
          </w:p>
        </w:tc>
        <w:tc>
          <w:tcPr>
            <w:tcW w:w="2760" w:type="dxa"/>
            <w:tcBorders>
              <w:top w:val="nil"/>
              <w:bottom w:val="nil"/>
            </w:tcBorders>
          </w:tcPr>
          <w:p w:rsidR="00000000" w:rsidRDefault="00000000">
            <w:pPr>
              <w:ind w:right="1079"/>
              <w:jc w:val="right"/>
              <w:rPr>
                <w:kern w:val="2"/>
              </w:rPr>
            </w:pPr>
            <w:r>
              <w:rPr>
                <w:kern w:val="2"/>
              </w:rPr>
              <w:t>117 200</w:t>
            </w:r>
          </w:p>
        </w:tc>
        <w:tc>
          <w:tcPr>
            <w:tcW w:w="1830" w:type="dxa"/>
            <w:tcBorders>
              <w:top w:val="nil"/>
              <w:bottom w:val="nil"/>
            </w:tcBorders>
          </w:tcPr>
          <w:p w:rsidR="00000000" w:rsidRDefault="00000000">
            <w:pPr>
              <w:ind w:right="499"/>
              <w:jc w:val="right"/>
              <w:rPr>
                <w:kern w:val="2"/>
              </w:rPr>
            </w:pPr>
            <w:r>
              <w:rPr>
                <w:kern w:val="2"/>
              </w:rPr>
              <w:t>37.88</w:t>
            </w:r>
          </w:p>
        </w:tc>
      </w:tr>
      <w:tr w:rsidR="00000000">
        <w:tblPrEx>
          <w:tblCellMar>
            <w:top w:w="0" w:type="dxa"/>
            <w:bottom w:w="0" w:type="dxa"/>
          </w:tblCellMar>
        </w:tblPrEx>
        <w:trPr>
          <w:jc w:val="center"/>
        </w:trPr>
        <w:tc>
          <w:tcPr>
            <w:tcW w:w="960" w:type="dxa"/>
            <w:tcBorders>
              <w:top w:val="nil"/>
            </w:tcBorders>
          </w:tcPr>
          <w:p w:rsidR="00000000" w:rsidRDefault="00000000">
            <w:pPr>
              <w:jc w:val="center"/>
              <w:rPr>
                <w:kern w:val="2"/>
              </w:rPr>
            </w:pPr>
            <w:r>
              <w:rPr>
                <w:kern w:val="2"/>
              </w:rPr>
              <w:t>1999</w:t>
            </w:r>
          </w:p>
        </w:tc>
        <w:tc>
          <w:tcPr>
            <w:tcW w:w="2760" w:type="dxa"/>
            <w:tcBorders>
              <w:top w:val="nil"/>
            </w:tcBorders>
          </w:tcPr>
          <w:p w:rsidR="00000000" w:rsidRDefault="00000000">
            <w:pPr>
              <w:ind w:right="1079"/>
              <w:jc w:val="right"/>
              <w:rPr>
                <w:kern w:val="2"/>
              </w:rPr>
            </w:pPr>
            <w:r>
              <w:rPr>
                <w:kern w:val="2"/>
              </w:rPr>
              <w:t>145 507</w:t>
            </w:r>
          </w:p>
        </w:tc>
        <w:tc>
          <w:tcPr>
            <w:tcW w:w="1830" w:type="dxa"/>
            <w:tcBorders>
              <w:top w:val="nil"/>
            </w:tcBorders>
          </w:tcPr>
          <w:p w:rsidR="00000000" w:rsidRDefault="00000000">
            <w:pPr>
              <w:ind w:right="499"/>
              <w:jc w:val="right"/>
              <w:rPr>
                <w:kern w:val="2"/>
              </w:rPr>
            </w:pPr>
            <w:r>
              <w:rPr>
                <w:kern w:val="2"/>
              </w:rPr>
              <w:t>82.75</w:t>
            </w:r>
          </w:p>
        </w:tc>
      </w:tr>
    </w:tbl>
    <w:p w:rsidR="00000000" w:rsidRDefault="00000000">
      <w:pPr>
        <w:rPr>
          <w:kern w:val="2"/>
        </w:rPr>
      </w:pPr>
    </w:p>
    <w:p w:rsidR="00000000" w:rsidRDefault="00000000">
      <w:pPr>
        <w:rPr>
          <w:kern w:val="2"/>
        </w:rPr>
      </w:pPr>
      <w:r>
        <w:rPr>
          <w:kern w:val="2"/>
        </w:rPr>
        <w:tab/>
      </w:r>
      <w:r>
        <w:rPr>
          <w:kern w:val="2"/>
        </w:rPr>
        <w:tab/>
      </w:r>
      <w:r>
        <w:rPr>
          <w:kern w:val="2"/>
        </w:rPr>
        <w:tab/>
      </w:r>
      <w:r>
        <w:rPr>
          <w:kern w:val="2"/>
          <w:u w:val="single"/>
        </w:rPr>
        <w:t>Source</w:t>
      </w:r>
      <w:r>
        <w:rPr>
          <w:kern w:val="2"/>
        </w:rPr>
        <w:t>:  Secretariat of State for Social Welfare.</w:t>
      </w:r>
    </w:p>
    <w:p w:rsidR="00000000" w:rsidRDefault="00000000"/>
    <w:p w:rsidR="00000000" w:rsidRDefault="00000000">
      <w:pPr>
        <w:pStyle w:val="Heading2"/>
        <w:tabs>
          <w:tab w:val="left" w:pos="1134"/>
          <w:tab w:val="left" w:pos="1644"/>
        </w:tabs>
        <w:jc w:val="left"/>
      </w:pPr>
      <w:r>
        <w:br w:type="page"/>
      </w:r>
      <w:r>
        <w:tab/>
        <w:t>III.</w:t>
      </w:r>
      <w:r>
        <w:tab/>
        <w:t>BRAZIL’S REPORT ON SPECIFIC ARTICLES OF THE</w:t>
      </w:r>
    </w:p>
    <w:p w:rsidR="00000000" w:rsidRDefault="00000000">
      <w:pPr>
        <w:pStyle w:val="Heading2"/>
        <w:tabs>
          <w:tab w:val="left" w:pos="1134"/>
          <w:tab w:val="left" w:pos="1644"/>
        </w:tabs>
        <w:jc w:val="left"/>
      </w:pPr>
      <w:r>
        <w:tab/>
      </w:r>
      <w:r>
        <w:tab/>
        <w:t>INTERNATIONAL COVENANT ON ECONOMIC, SOCIAL</w:t>
      </w:r>
    </w:p>
    <w:p w:rsidR="00000000" w:rsidRDefault="00000000">
      <w:pPr>
        <w:pStyle w:val="Heading2"/>
        <w:tabs>
          <w:tab w:val="left" w:pos="1134"/>
          <w:tab w:val="left" w:pos="1644"/>
        </w:tabs>
        <w:jc w:val="left"/>
      </w:pPr>
      <w:r>
        <w:tab/>
      </w:r>
      <w:r>
        <w:tab/>
        <w:t>AND CULTURAL RIGHTS AND ON THE HUMAN RIGHTS</w:t>
      </w:r>
    </w:p>
    <w:p w:rsidR="00000000" w:rsidRDefault="00000000">
      <w:pPr>
        <w:pStyle w:val="Heading2"/>
        <w:tabs>
          <w:tab w:val="left" w:pos="1134"/>
          <w:tab w:val="left" w:pos="1644"/>
        </w:tabs>
        <w:jc w:val="left"/>
      </w:pPr>
      <w:r>
        <w:tab/>
        <w:t xml:space="preserve">         COVERED THEREIN</w:t>
      </w:r>
    </w:p>
    <w:p w:rsidR="00000000" w:rsidRDefault="00000000"/>
    <w:p w:rsidR="00000000" w:rsidRDefault="00000000">
      <w:pPr>
        <w:pStyle w:val="ParaNo"/>
        <w:tabs>
          <w:tab w:val="clear" w:pos="360"/>
          <w:tab w:val="clear" w:pos="737"/>
        </w:tabs>
        <w:rPr>
          <w:lang w:val="en-GB"/>
        </w:rPr>
      </w:pPr>
      <w:r>
        <w:rPr>
          <w:lang w:val="en-GB"/>
        </w:rPr>
        <w:t>Brazil signed the International Covenant on Economic, Social and Cultural rights, and then ratified it on 24 January 1992.  The Covenant went into effect in Brazil on 24 February 1992.  It was enacted by Decree 591, dated 6 July 1992.</w:t>
      </w:r>
    </w:p>
    <w:p w:rsidR="00000000" w:rsidRDefault="00000000"/>
    <w:p w:rsidR="00000000" w:rsidRDefault="00000000">
      <w:pPr>
        <w:pStyle w:val="Heading1"/>
      </w:pPr>
      <w:r>
        <w:t>Articles 1, 2, 3, 4 and 5</w:t>
      </w:r>
    </w:p>
    <w:p w:rsidR="00000000" w:rsidRDefault="00000000"/>
    <w:p w:rsidR="00000000" w:rsidRDefault="00000000">
      <w:pPr>
        <w:pStyle w:val="ParaNo"/>
        <w:tabs>
          <w:tab w:val="clear" w:pos="360"/>
          <w:tab w:val="clear" w:pos="737"/>
        </w:tabs>
        <w:ind w:left="0" w:firstLine="0"/>
        <w:rPr>
          <w:lang w:val="en-GB"/>
        </w:rPr>
      </w:pPr>
      <w:r>
        <w:rPr>
          <w:lang w:val="en-GB"/>
        </w:rPr>
        <w:t>Brazil was a Portuguese colony until 1822.  It is now a sovereign and independent nation with full competence within its political, legal and administrative jurisdiction to determine the constitutional principles that form the basis for its organization of society and for suitable legislation to be used in regulating and disciplining that society.  Brazil has no colonies, nor does it administer any territory aside from its own.  The rights of peoples to self</w:t>
      </w:r>
      <w:r>
        <w:rPr>
          <w:lang w:val="en-GB"/>
        </w:rPr>
        <w:noBreakHyphen/>
        <w:t>determination and the principle of non</w:t>
      </w:r>
      <w:r>
        <w:rPr>
          <w:lang w:val="en-GB"/>
        </w:rPr>
        <w:noBreakHyphen/>
        <w:t>intervention are fundamental tenets of Brazil’s Constitution and guide the country’s actions abroad.  The corollaries of these precepts are the defence of peace and peaceful dispute settlement, both of which are also enshrined in the Constitution.  International cooperation is another principle found in Brazil’s Constitution.</w:t>
      </w:r>
    </w:p>
    <w:p w:rsidR="00000000" w:rsidRDefault="00000000"/>
    <w:p w:rsidR="00000000" w:rsidRDefault="00000000">
      <w:pPr>
        <w:pStyle w:val="ParaNo"/>
        <w:tabs>
          <w:tab w:val="clear" w:pos="360"/>
          <w:tab w:val="clear" w:pos="737"/>
        </w:tabs>
        <w:ind w:left="0" w:firstLine="0"/>
        <w:rPr>
          <w:lang w:val="en-GB"/>
        </w:rPr>
      </w:pPr>
      <w:r>
        <w:rPr>
          <w:lang w:val="en-GB"/>
        </w:rPr>
        <w:t>Brazil is a country where democracy and basic human rights are fully protected by law, where citizenship is promoted and where enforcement of political pluralism guides the political process.  It is a country where both men and women who are citizens may freely choose their representatives by direct, secret and universal suffrage.  Political statutes are freely chosen just as economic, social and cultural development are subject to no restraints.</w:t>
      </w:r>
    </w:p>
    <w:p w:rsidR="00000000" w:rsidRDefault="00000000"/>
    <w:p w:rsidR="00000000" w:rsidRDefault="00000000">
      <w:pPr>
        <w:pStyle w:val="ParaNo"/>
        <w:tabs>
          <w:tab w:val="clear" w:pos="360"/>
          <w:tab w:val="clear" w:pos="737"/>
        </w:tabs>
        <w:ind w:left="0" w:firstLine="0"/>
        <w:rPr>
          <w:lang w:val="en-GB"/>
        </w:rPr>
      </w:pPr>
      <w:r>
        <w:rPr>
          <w:lang w:val="en-GB"/>
        </w:rPr>
        <w:t>The Brazilian State strives to guarantee the full exercise of the rights recognized by the International Covenant to the greatest degree possible given its resources, and it does so in a manner that is progressive but irreversible.</w:t>
      </w:r>
    </w:p>
    <w:p w:rsidR="00000000" w:rsidRDefault="00000000"/>
    <w:p w:rsidR="00000000" w:rsidRDefault="00000000">
      <w:pPr>
        <w:pStyle w:val="ParaNo"/>
        <w:tabs>
          <w:tab w:val="clear" w:pos="360"/>
          <w:tab w:val="clear" w:pos="737"/>
        </w:tabs>
        <w:ind w:left="0" w:firstLine="0"/>
        <w:rPr>
          <w:lang w:val="en-GB"/>
        </w:rPr>
      </w:pPr>
      <w:r>
        <w:rPr>
          <w:lang w:val="en-GB"/>
        </w:rPr>
        <w:t>Brazilians and foreigners in Brazil enjoy equal rights with the exception of a very few constraints which in no way flout article 2, paragraph 3, of the International Covenant on Economic, Social and Cultural Rights.  For example, foreigners have the right to own property.  This right must be exercised in light of the social function of property, which means that the State may decide to expropriate that property when justified by genuine public need or social interests and as long as it provides proper monetary compensation.  Limitations to ownership of assets found underground are applied across the board with no distinction by nationality, and economic activity is primarily based on private enterprise and free competition with full respect for individual rights to property and to the free exercise of any legal economic activity.  The State has taken on a growing role as a regulatory agent and as the key player in certain strategic economic sectors.</w:t>
      </w:r>
    </w:p>
    <w:p w:rsidR="00000000" w:rsidRDefault="00000000"/>
    <w:p w:rsidR="00000000" w:rsidRDefault="00000000">
      <w:pPr>
        <w:pStyle w:val="ParaNo"/>
        <w:tabs>
          <w:tab w:val="clear" w:pos="360"/>
          <w:tab w:val="clear" w:pos="737"/>
        </w:tabs>
        <w:ind w:left="0" w:firstLine="0"/>
        <w:rPr>
          <w:lang w:val="en-GB"/>
        </w:rPr>
      </w:pPr>
      <w:r>
        <w:rPr>
          <w:lang w:val="en-GB"/>
        </w:rPr>
        <w:br w:type="page"/>
        <w:t xml:space="preserve">In addition to the clauses enshrined in the Constitution which were described above, in Brazil there are a number of legal and administrative rulings which prohibit and fight discrimination in all its forms, while also trying to correct such situations.  Vulnerable groups </w:t>
      </w:r>
    </w:p>
    <w:p w:rsidR="00000000" w:rsidRDefault="00000000">
      <w:r>
        <w:t>and minorities enjoy special treatment as a result of their characteristics.  This report expands on these aspects and elucidates the relevant legislation in detailed comments on other articles under the International Covenant.</w:t>
      </w:r>
    </w:p>
    <w:p w:rsidR="00000000" w:rsidRDefault="00000000"/>
    <w:p w:rsidR="00000000" w:rsidRDefault="00000000">
      <w:pPr>
        <w:pStyle w:val="Heading1"/>
      </w:pPr>
      <w:r>
        <w:t>Article 6</w:t>
      </w:r>
    </w:p>
    <w:p w:rsidR="00000000" w:rsidRDefault="00000000"/>
    <w:p w:rsidR="00000000" w:rsidRDefault="00000000">
      <w:pPr>
        <w:pStyle w:val="ParaNo"/>
        <w:tabs>
          <w:tab w:val="clear" w:pos="360"/>
          <w:tab w:val="clear" w:pos="737"/>
        </w:tabs>
        <w:ind w:left="0" w:firstLine="0"/>
        <w:rPr>
          <w:lang w:val="en-GB"/>
        </w:rPr>
      </w:pPr>
      <w:r>
        <w:rPr>
          <w:lang w:val="en-GB"/>
        </w:rPr>
        <w:t>In its guidelines the Committee requests information on the following international instruments:</w:t>
      </w:r>
    </w:p>
    <w:p w:rsidR="00000000" w:rsidRDefault="00000000"/>
    <w:p w:rsidR="00000000" w:rsidRDefault="00000000">
      <w:r>
        <w:tab/>
        <w:t>(a)</w:t>
      </w:r>
      <w:r>
        <w:tab/>
        <w:t>ILO Employment Policy Convention, 1964 (No. 122).  Brazil ratified Convention No. 122 on 24 March 1969 and is concluding the report to be submitted to the ILO this year on the implementation of the Convention in Brazil.  According to the ILO, a database is being prepared on employment policy which in turn will be based on information contained in the reports from 30 countries that were chosen because of their punctuality in complying with the Convention and the quality of such efforts.  Among these countries is Brazil;</w:t>
      </w:r>
    </w:p>
    <w:p w:rsidR="00000000" w:rsidRDefault="00000000"/>
    <w:p w:rsidR="00000000" w:rsidRDefault="00000000">
      <w:r>
        <w:tab/>
        <w:t>(b)</w:t>
      </w:r>
      <w:r>
        <w:tab/>
        <w:t>ILO Discrimination (Employment and Occupation) Convention, 1958 (No. 111).  Brazil ratified the Convention on 26 November 1965; its most recent report was submitted in 1999.  The ILO Committee of Experts has made note of the progress achieved by Brazil in the implementation of the Convention.  The Group’s last observation stated its interest in the measures adopted to implement the Convention, both in the form of legislation and also in practice;</w:t>
      </w:r>
    </w:p>
    <w:p w:rsidR="00000000" w:rsidRDefault="00000000"/>
    <w:p w:rsidR="00000000" w:rsidRDefault="00000000">
      <w:r>
        <w:tab/>
        <w:t>(c)</w:t>
      </w:r>
      <w:r>
        <w:tab/>
        <w:t>The International Convention on the Elimination of All Forms of Racial Discrimination.  Brazil signed the Convention on 7 March 1966.  The National Congress approved it on 21 June 1967 via Legislative Decree No. 23.  Ratification occurred on 27 March 1968 and the Convention was then enacted on 8 December 1969.  It actually went into effect in Brazil on 4 January 1969.  Thus far Brazil has presented 10 reports to the Committee on the Elimination of Racial Discrimination, thereby providing the Convention with a broad and current view of Brazil’s status in this regard.  The next periodic reports to be presented are currently under preparation.  With regard to the International Convention on the Elimination of All Forms of Racial Discrimination, it should also be said that the President of Brazil sent the National Congress a message in September requesting approval as set forth in the optional declaration under article 14.  This would allow Brazil to recognize the jurisdiction of the Committee for the receipt and analysis of complaints of violations of those human rights covered by the Convention.  Finally, another matter worth mentioning is the proposal Brazil submitted to the Organization of American States regarding the drafting of an Inter</w:t>
      </w:r>
      <w:r>
        <w:noBreakHyphen/>
        <w:t>American Convention against Racism, Racial Discrimination and Related Intolerance.  The Brazilian Government’s proposal is designed to perfect the promotion and protection of human rights covered by the International Convention at the regional level;</w:t>
      </w:r>
    </w:p>
    <w:p w:rsidR="00000000" w:rsidRDefault="00000000"/>
    <w:p w:rsidR="00000000" w:rsidRDefault="00000000">
      <w:r>
        <w:br w:type="page"/>
      </w:r>
      <w:r>
        <w:tab/>
        <w:t>(d)</w:t>
      </w:r>
      <w:r>
        <w:tab/>
        <w:t xml:space="preserve">The Convention on the Elimination of All Forms of Discrimination against Women.  Brazil signed the Convention on 31 March 1981.  The National Congress approved it on 14 November 1983 via Legislative Decree 93.  The reservations attached to articles 15, paragraph 4, and 16, paragraph 1 (a), (c), (g) and (h), were withdrawn via Legislative Decree 26 of 22 June 1994.  The Convention was ratified on 1 February 1984 and enacted by Decree 89460, on 20 March 1984.  The Convention has been in effect in Brazil since 21 March 1984.  The report to be submitted to the Committee created by the Convention </w:t>
      </w:r>
    </w:p>
    <w:p w:rsidR="00000000" w:rsidRDefault="00000000">
      <w:r>
        <w:t>has just begun to be prepared.  With regard to the human rights of women, it is worth mentioning that the Brazilian Government is currently concluding an analysis regarding the signing of the Optional Protocol to the Convention on the Elimination of All Forms of Discrimination against Women, adopted by United Nations General Assembly resolution 54/4 of 6 October 1999.  At the international level the Optional Protocol has not yet gone into effect.</w:t>
      </w:r>
    </w:p>
    <w:p w:rsidR="00000000" w:rsidRDefault="00000000"/>
    <w:p w:rsidR="00000000" w:rsidRDefault="00000000">
      <w:pPr>
        <w:pStyle w:val="Heading3"/>
      </w:pPr>
      <w:r>
        <w:t>Overview of the labour market/labour market indicators</w:t>
      </w:r>
    </w:p>
    <w:p w:rsidR="00000000" w:rsidRDefault="00000000"/>
    <w:p w:rsidR="00000000" w:rsidRDefault="00000000">
      <w:pPr>
        <w:pStyle w:val="ParaNo"/>
        <w:tabs>
          <w:tab w:val="clear" w:pos="360"/>
          <w:tab w:val="clear" w:pos="737"/>
        </w:tabs>
        <w:ind w:left="0" w:firstLine="0"/>
        <w:rPr>
          <w:lang w:val="en-GB"/>
        </w:rPr>
      </w:pPr>
      <w:r>
        <w:rPr>
          <w:lang w:val="en-GB"/>
        </w:rPr>
        <w:t>The Brazilian labour market has undergone deep</w:t>
      </w:r>
      <w:r>
        <w:rPr>
          <w:lang w:val="en-GB"/>
        </w:rPr>
        <w:noBreakHyphen/>
        <w:t>seated modifications with a significant impact on the life of workers.  The key variable to be monitored in assessing such an impact is the increase in unemployment rates.  However, this variable alone is not enough to reflect some of the most fundamental aspects of the analysis.</w:t>
      </w:r>
    </w:p>
    <w:p w:rsidR="00000000" w:rsidRDefault="00000000"/>
    <w:p w:rsidR="00000000" w:rsidRDefault="00000000">
      <w:pPr>
        <w:pStyle w:val="ParaNo"/>
        <w:tabs>
          <w:tab w:val="clear" w:pos="360"/>
          <w:tab w:val="clear" w:pos="737"/>
        </w:tabs>
        <w:ind w:left="0" w:firstLine="0"/>
        <w:rPr>
          <w:lang w:val="en-GB"/>
        </w:rPr>
      </w:pPr>
      <w:r>
        <w:rPr>
          <w:lang w:val="en-GB"/>
        </w:rPr>
        <w:t>The Brazilian Government feels that the factors mentioned below should be taken into consideration when analysing transformations of the labour market in Brazil.</w:t>
      </w:r>
    </w:p>
    <w:p w:rsidR="00000000" w:rsidRDefault="00000000"/>
    <w:p w:rsidR="00000000" w:rsidRDefault="00000000">
      <w:pPr>
        <w:pStyle w:val="ParaNo"/>
        <w:tabs>
          <w:tab w:val="clear" w:pos="360"/>
          <w:tab w:val="clear" w:pos="737"/>
        </w:tabs>
        <w:ind w:left="0" w:firstLine="0"/>
        <w:rPr>
          <w:lang w:val="en-GB"/>
        </w:rPr>
      </w:pPr>
      <w:r>
        <w:rPr>
          <w:lang w:val="en-GB"/>
        </w:rPr>
        <w:t>One change in the labour market can be evaluated by examining the way in which participation in that market has evolved over recent years.  The participation rate is obtained by examining the percentage of the population that has a job or is in search of a job and comparing it to the active age population.  This measure is designed to measure just how attractive the labour market is vis</w:t>
      </w:r>
      <w:r>
        <w:rPr>
          <w:lang w:val="en-GB"/>
        </w:rPr>
        <w:noBreakHyphen/>
        <w:t>à</w:t>
      </w:r>
      <w:r>
        <w:rPr>
          <w:lang w:val="en-GB"/>
        </w:rPr>
        <w:noBreakHyphen/>
        <w:t>vis other alternatives, for example, continuing (or even returning to) one’s studies or taking care of one’s children.  Chart 1 represents the evolving situation between 1994 and 1999 for Brazil’s population as a whole with a breakdown for three age groups:  15 to 24 years of age; 25 to 39 years of age; and 40 years and older.  The difficulties encountered by workers during the period in question are reflected in the drop in the participation rate for the population as a whole, with the annual average dropping from 59.19 per cent in 1994 to 57.04 per cent in 1999.  Nevertheless, this figure does not fully reflect different variations by age group.  In effect, for the group between ages 25 and 39 (an age that usually reflects the peak of one’s capabilities in the labour market) the annual average increased from 74.5 per cent in 1994 to 75.81 per cent in 1999.  However, among younger workers the decline was more significant, moving from 53.76 per cent in 1994 to 48.61 per cent in 1999.</w:t>
      </w:r>
    </w:p>
    <w:p w:rsidR="00000000" w:rsidRDefault="00000000"/>
    <w:p w:rsidR="00000000" w:rsidRDefault="00000000">
      <w:pPr>
        <w:pStyle w:val="Heading1"/>
      </w:pPr>
      <w:r>
        <w:br w:type="page"/>
        <w:t>Chart 1</w:t>
      </w:r>
    </w:p>
    <w:p w:rsidR="00000000" w:rsidRDefault="00000000">
      <w:pPr>
        <w:pStyle w:val="Heading1"/>
      </w:pPr>
    </w:p>
    <w:p w:rsidR="00000000" w:rsidRDefault="00000000">
      <w:pPr>
        <w:pStyle w:val="Heading1"/>
      </w:pPr>
      <w:r>
        <w:t>Total participation rate and participation rate by age bracket</w:t>
      </w:r>
    </w:p>
    <w:p w:rsidR="00000000" w:rsidRDefault="00000000">
      <w:pPr>
        <w:pStyle w:val="Heading1"/>
      </w:pPr>
      <w:r>
        <w:rPr>
          <w:noProof/>
          <w:sz w:val="20"/>
        </w:rPr>
        <w:pict>
          <v:shape id="_x0000_s1033" type="#_x0000_t75" style="position:absolute;left:0;text-align:left;margin-left:27pt;margin-top:23.65pt;width:411.75pt;height:217.1pt;z-index:1">
            <v:imagedata r:id="rId13" o:title=""/>
            <w10:wrap type="topAndBottom"/>
          </v:shape>
        </w:pict>
      </w:r>
      <w:r>
        <w:t>in metropolitan areas in Brazil (%)</w:t>
      </w:r>
    </w:p>
    <w:p w:rsidR="00000000" w:rsidRDefault="00000000">
      <w:pPr>
        <w:tabs>
          <w:tab w:val="left" w:pos="907"/>
          <w:tab w:val="left" w:pos="1871"/>
        </w:tabs>
      </w:pPr>
      <w:r>
        <w:tab/>
      </w:r>
    </w:p>
    <w:p w:rsidR="00000000" w:rsidRDefault="00000000">
      <w:pPr>
        <w:tabs>
          <w:tab w:val="left" w:pos="907"/>
          <w:tab w:val="left" w:pos="1871"/>
        </w:tabs>
      </w:pPr>
      <w:r>
        <w:tab/>
      </w:r>
      <w:r>
        <w:rPr>
          <w:u w:val="single"/>
        </w:rPr>
        <w:t>Source</w:t>
      </w:r>
      <w:r>
        <w:t>:  Monthly Employment Survey (SME), IBGE.</w:t>
      </w:r>
    </w:p>
    <w:p w:rsidR="00000000" w:rsidRDefault="00000000"/>
    <w:p w:rsidR="00000000" w:rsidRDefault="00000000">
      <w:pPr>
        <w:pStyle w:val="ParaNo"/>
        <w:tabs>
          <w:tab w:val="clear" w:pos="360"/>
          <w:tab w:val="clear" w:pos="737"/>
        </w:tabs>
        <w:ind w:left="0" w:firstLine="0"/>
        <w:rPr>
          <w:lang w:val="en-GB"/>
        </w:rPr>
      </w:pPr>
      <w:r>
        <w:rPr>
          <w:lang w:val="en-GB"/>
        </w:rPr>
        <w:t>One can reach at least two conclusions based on the above data.  The first conclusion is that the labour market for people between the ages of 25 and 39 is becoming more attractive as companies increasingly seek out more experienced and more highly qualified workers such as those that are typically found in the age bracket of the so</w:t>
      </w:r>
      <w:r>
        <w:rPr>
          <w:lang w:val="en-GB"/>
        </w:rPr>
        <w:noBreakHyphen/>
        <w:t>called “mature youths” who, in turn, are attracted to the labour market by increases in income.  The second conclusion is that, because companies are requiring a more highly qualified labour force, during the period in question younger people tended to put off their entry into the labour market, presumably because they spent more time in traditional schools or in acquiring vocational or technical training.</w:t>
      </w:r>
    </w:p>
    <w:p w:rsidR="00000000" w:rsidRDefault="00000000">
      <w:pPr>
        <w:pStyle w:val="Heading3"/>
      </w:pPr>
    </w:p>
    <w:p w:rsidR="00000000" w:rsidRDefault="00000000">
      <w:pPr>
        <w:pStyle w:val="Heading3"/>
      </w:pPr>
      <w:r>
        <w:t>The evolution of jobs</w:t>
      </w:r>
    </w:p>
    <w:p w:rsidR="00000000" w:rsidRDefault="00000000"/>
    <w:p w:rsidR="00000000" w:rsidRDefault="00000000">
      <w:pPr>
        <w:pStyle w:val="ParaNo"/>
        <w:tabs>
          <w:tab w:val="clear" w:pos="360"/>
          <w:tab w:val="clear" w:pos="737"/>
        </w:tabs>
        <w:ind w:left="0" w:firstLine="0"/>
        <w:rPr>
          <w:lang w:val="en-GB"/>
        </w:rPr>
      </w:pPr>
      <w:r>
        <w:rPr>
          <w:lang w:val="en-GB"/>
        </w:rPr>
        <w:t>The evolution of jobs in the 1990s is probably the most important factor of all.  It is also the point that has attracted the most attention from the public in general and from public servants in particular.  According to data from the monthly survey produced by the IBGE, or Brazilian Institute for Geography and Statistics, covering six metropolitan regions (Rio de Janeiro, São Paulo, Porto Alegre, Belo Horizonte, Recife and Salvador), the number of openings in the labour market grew strongly until 1996.  At that point the graph flattens out (see chart 2).  Despite the concerns that arise from this observation, the Brazilian Government feels that it is important to keep three important points in mind.  First, the evolution of the job market is not the same across the board for workers when they are broken down by years of schooling, by age or by economic sectors.  Second, the relative stagnation regarding the number of openings in the labour market cannot be attributed in a simple and linear fashion to the lack of dynamism displayed by Brazil’s economy.  Third, the data alone do not reflect a significant recovery in the number of jobs that began in mid</w:t>
      </w:r>
      <w:r>
        <w:rPr>
          <w:lang w:val="en-GB"/>
        </w:rPr>
        <w:noBreakHyphen/>
        <w:t>1999 and continued throughout the year 2000.</w:t>
      </w:r>
    </w:p>
    <w:p w:rsidR="00000000" w:rsidRDefault="00000000">
      <w:pPr>
        <w:pStyle w:val="Heading1"/>
      </w:pPr>
      <w:r>
        <w:t>Chart 2</w:t>
      </w:r>
    </w:p>
    <w:p w:rsidR="00000000" w:rsidRDefault="00000000">
      <w:pPr>
        <w:pStyle w:val="Heading1"/>
      </w:pPr>
    </w:p>
    <w:p w:rsidR="00000000" w:rsidRDefault="00000000">
      <w:pPr>
        <w:pStyle w:val="Heading1"/>
      </w:pPr>
      <w:r>
        <w:t>Accumulated variation in the job market in metropolitan Brazil (%)</w:t>
      </w:r>
    </w:p>
    <w:p w:rsidR="00000000" w:rsidRDefault="00000000"/>
    <w:p w:rsidR="00000000" w:rsidRDefault="00000000">
      <w:pPr>
        <w:jc w:val="center"/>
      </w:pPr>
      <w:r>
        <w:object w:dxaOrig="7740" w:dyaOrig="3615">
          <v:shape id="_x0000_i1026" type="#_x0000_t75" style="width:387pt;height:180.75pt" o:ole="" fillcolor="window">
            <v:imagedata r:id="rId14" o:title=""/>
          </v:shape>
          <o:OLEObject Type="Embed" ProgID="MSGraph.Chart.8" ShapeID="_x0000_i1026" DrawAspect="Content" ObjectID="_1394878292" r:id="rId15">
            <o:FieldCodes>\s</o:FieldCodes>
          </o:OLEObject>
        </w:object>
      </w:r>
    </w:p>
    <w:p w:rsidR="00000000" w:rsidRDefault="00000000"/>
    <w:p w:rsidR="00000000" w:rsidRDefault="00000000">
      <w:pPr>
        <w:ind w:left="720"/>
      </w:pPr>
      <w:r>
        <w:tab/>
      </w:r>
      <w:r>
        <w:rPr>
          <w:u w:val="single"/>
        </w:rPr>
        <w:t>Source</w:t>
      </w:r>
      <w:r>
        <w:t>:  SME</w:t>
      </w:r>
      <w:r>
        <w:noBreakHyphen/>
        <w:t>IBGE.</w:t>
      </w:r>
    </w:p>
    <w:p w:rsidR="00000000" w:rsidRDefault="00000000"/>
    <w:p w:rsidR="00000000" w:rsidRDefault="00000000">
      <w:pPr>
        <w:pStyle w:val="ParaNo"/>
        <w:tabs>
          <w:tab w:val="clear" w:pos="360"/>
          <w:tab w:val="clear" w:pos="737"/>
        </w:tabs>
        <w:ind w:left="0" w:firstLine="0"/>
        <w:rPr>
          <w:lang w:val="en-GB"/>
        </w:rPr>
      </w:pPr>
      <w:r>
        <w:rPr>
          <w:lang w:val="en-GB"/>
        </w:rPr>
        <w:t>Charts 3 and 4 (based on data from the National Residential Sample Survey run by the IBGE) reveal that the evolution in the job market was not always the same when broken down among workers by years of schooling.  From 1995 to 1999, significant job elimination was only found in the case of workers with less years of schooling (0 to 4 years).  For the workers in the other categories, particularly those with 9 to 11 years of schooling (partial or complete secondary education) job opportunities increased significantly.</w:t>
      </w:r>
    </w:p>
    <w:p w:rsidR="00000000" w:rsidRDefault="00000000"/>
    <w:p w:rsidR="00000000" w:rsidRDefault="00000000">
      <w:pPr>
        <w:pStyle w:val="Heading1"/>
      </w:pPr>
      <w:r>
        <w:t>Chart 3</w:t>
      </w:r>
    </w:p>
    <w:p w:rsidR="00000000" w:rsidRDefault="00000000">
      <w:pPr>
        <w:pStyle w:val="Heading1"/>
      </w:pPr>
    </w:p>
    <w:p w:rsidR="00000000" w:rsidRDefault="00000000">
      <w:pPr>
        <w:pStyle w:val="Heading1"/>
      </w:pPr>
      <w:r>
        <w:t>Growth rate in jobs by years of schooling 1995</w:t>
      </w:r>
      <w:r>
        <w:noBreakHyphen/>
        <w:t>99 (%)</w:t>
      </w:r>
    </w:p>
    <w:p w:rsidR="00000000" w:rsidRDefault="00000000"/>
    <w:p w:rsidR="00000000" w:rsidRDefault="00000000">
      <w:pPr>
        <w:jc w:val="center"/>
      </w:pPr>
      <w:r>
        <w:rPr>
          <w:sz w:val="20"/>
        </w:rPr>
        <w:object w:dxaOrig="8136" w:dyaOrig="3499">
          <v:shape id="_x0000_i1027" type="#_x0000_t75" style="width:406.5pt;height:174.75pt" o:ole="" fillcolor="window">
            <v:imagedata r:id="rId16" o:title=""/>
          </v:shape>
          <o:OLEObject Type="Embed" ProgID="MSGraph.Chart.8" ShapeID="_x0000_i1027" DrawAspect="Content" ObjectID="_1394878293" r:id="rId17">
            <o:FieldCodes>\s</o:FieldCodes>
          </o:OLEObject>
        </w:object>
      </w:r>
    </w:p>
    <w:p w:rsidR="00000000" w:rsidRDefault="00000000"/>
    <w:p w:rsidR="00000000" w:rsidRDefault="00000000">
      <w:pPr>
        <w:ind w:left="720"/>
      </w:pPr>
      <w:r>
        <w:tab/>
      </w:r>
      <w:r>
        <w:rPr>
          <w:u w:val="single"/>
        </w:rPr>
        <w:t>Source</w:t>
      </w:r>
      <w:r>
        <w:t>:  National Residential Sample Survey (PNAD), IBGE.</w:t>
      </w:r>
    </w:p>
    <w:p w:rsidR="00000000" w:rsidRDefault="00000000"/>
    <w:p w:rsidR="00000000" w:rsidRDefault="00000000">
      <w:pPr>
        <w:pStyle w:val="ParaNo"/>
        <w:tabs>
          <w:tab w:val="clear" w:pos="360"/>
          <w:tab w:val="clear" w:pos="737"/>
        </w:tabs>
        <w:ind w:left="0" w:firstLine="0"/>
        <w:rPr>
          <w:lang w:val="en-GB"/>
        </w:rPr>
      </w:pPr>
      <w:r>
        <w:rPr>
          <w:lang w:val="en-GB"/>
        </w:rPr>
        <w:br w:type="page"/>
        <w:t xml:space="preserve">These developments had a profound impact on the composition of jobs when broken down by years of schooling in Brazil.  The data which pertain to the metropolitan regions (SME/IBGE database) show a drastic drop in the number of workers with less years of schooling </w:t>
      </w:r>
    </w:p>
    <w:p w:rsidR="00000000" w:rsidRDefault="00000000">
      <w:r>
        <w:t>among those with formal jobs for the period between 1994 and 1999.  Furthermore, the figures show that workers in the intermediate schooling category (from 5 to 8 years of schooling) kept up their participation during that same period.  Those who truly benefited from the changes were workers with more years of schooling (between 9 and 11, and 12 or more years of schooling).</w:t>
      </w:r>
    </w:p>
    <w:p w:rsidR="00000000" w:rsidRDefault="00000000"/>
    <w:p w:rsidR="00000000" w:rsidRDefault="00000000">
      <w:pPr>
        <w:pStyle w:val="ParaNo"/>
        <w:tabs>
          <w:tab w:val="clear" w:pos="360"/>
          <w:tab w:val="clear" w:pos="737"/>
        </w:tabs>
        <w:ind w:left="0" w:firstLine="0"/>
        <w:rPr>
          <w:lang w:val="en-GB"/>
        </w:rPr>
      </w:pPr>
      <w:r>
        <w:rPr>
          <w:lang w:val="en-GB"/>
        </w:rPr>
        <w:t>Therefore, one can conclude that with regard to allegations of the stagnation of the labour market a more detailed analysis is required because the concept of participation in the job market alone is not enough to reflect the profound changes in the labour force in Brazil.</w:t>
      </w:r>
    </w:p>
    <w:p w:rsidR="00000000" w:rsidRDefault="00000000"/>
    <w:p w:rsidR="00000000" w:rsidRDefault="00000000">
      <w:pPr>
        <w:pStyle w:val="Heading1"/>
      </w:pPr>
      <w:r>
        <w:t>Chart 4</w:t>
      </w:r>
    </w:p>
    <w:p w:rsidR="00000000" w:rsidRDefault="00000000">
      <w:pPr>
        <w:pStyle w:val="Heading1"/>
      </w:pPr>
    </w:p>
    <w:p w:rsidR="00000000" w:rsidRDefault="00000000">
      <w:pPr>
        <w:pStyle w:val="Heading1"/>
      </w:pPr>
      <w:r>
        <w:t>Job breakdown by years of schooling, metropolitan regions in Brazil (%)</w:t>
      </w:r>
    </w:p>
    <w:p w:rsidR="00000000" w:rsidRDefault="00000000">
      <w:pPr>
        <w:jc w:val="center"/>
        <w:rPr>
          <w:spacing w:val="20"/>
          <w:kern w:val="16"/>
        </w:rPr>
      </w:pPr>
      <w:r>
        <w:rPr>
          <w:noProof/>
          <w:sz w:val="20"/>
        </w:rPr>
        <w:pict>
          <v:shape id="_x0000_s1034" type="#_x0000_t75" style="position:absolute;left:0;text-align:left;margin-left:18pt;margin-top:20.05pt;width:387pt;height:197.85pt;z-index:2">
            <v:imagedata r:id="rId18" o:title=""/>
            <w10:wrap type="topAndBottom"/>
          </v:shape>
        </w:pict>
      </w:r>
    </w:p>
    <w:p w:rsidR="00000000" w:rsidRDefault="00000000">
      <w:pPr>
        <w:rPr>
          <w:kern w:val="16"/>
        </w:rPr>
      </w:pPr>
    </w:p>
    <w:p w:rsidR="00000000" w:rsidRDefault="00000000">
      <w:pPr>
        <w:rPr>
          <w:kern w:val="16"/>
        </w:rPr>
      </w:pPr>
      <w:r>
        <w:rPr>
          <w:kern w:val="16"/>
        </w:rPr>
        <w:tab/>
      </w:r>
      <w:r>
        <w:rPr>
          <w:kern w:val="16"/>
          <w:u w:val="single"/>
        </w:rPr>
        <w:t>Source</w:t>
      </w:r>
      <w:r>
        <w:rPr>
          <w:kern w:val="16"/>
        </w:rPr>
        <w:t>:  SME</w:t>
      </w:r>
      <w:r>
        <w:rPr>
          <w:kern w:val="16"/>
        </w:rPr>
        <w:noBreakHyphen/>
        <w:t>IBGE.</w:t>
      </w:r>
    </w:p>
    <w:p w:rsidR="00000000" w:rsidRDefault="00000000"/>
    <w:p w:rsidR="00000000" w:rsidRDefault="00000000">
      <w:pPr>
        <w:pStyle w:val="ParaNo"/>
        <w:tabs>
          <w:tab w:val="clear" w:pos="360"/>
          <w:tab w:val="clear" w:pos="737"/>
        </w:tabs>
        <w:rPr>
          <w:lang w:val="en-GB"/>
        </w:rPr>
      </w:pPr>
      <w:r>
        <w:rPr>
          <w:lang w:val="en-GB"/>
        </w:rPr>
        <w:t>A similar phenomenon becomes evident when analysing the growth of jobs for Brazil as a whole by age groups (PNAD/IBGE database).  In 1995</w:t>
      </w:r>
      <w:r>
        <w:rPr>
          <w:lang w:val="en-GB"/>
        </w:rPr>
        <w:noBreakHyphen/>
        <w:t>1999 (please see chart 5) all age groups showed an increase in the number of jobs available to them, except for young people between the ages of 14 and 15.</w:t>
      </w:r>
      <w:r>
        <w:rPr>
          <w:rStyle w:val="FootnoteReference"/>
          <w:b w:val="0"/>
          <w:bCs/>
          <w:vertAlign w:val="baseline"/>
          <w:lang w:val="en-GB"/>
        </w:rPr>
        <w:footnoteReference w:customMarkFollows="1" w:id="2"/>
        <w:t>*</w:t>
      </w:r>
      <w:r>
        <w:rPr>
          <w:lang w:val="en-GB"/>
        </w:rPr>
        <w:t xml:space="preserve">  </w:t>
      </w:r>
    </w:p>
    <w:p w:rsidR="00000000" w:rsidRDefault="00000000"/>
    <w:p w:rsidR="00000000" w:rsidRDefault="00000000">
      <w:pPr>
        <w:pStyle w:val="Heading1"/>
      </w:pPr>
      <w:r>
        <w:br w:type="page"/>
        <w:t>Chart 5.  Increase in the number of jobs available by age group, 1995</w:t>
      </w:r>
      <w:r>
        <w:noBreakHyphen/>
        <w:t>99 (%)</w:t>
      </w:r>
    </w:p>
    <w:p w:rsidR="00000000" w:rsidRDefault="00000000"/>
    <w:p w:rsidR="00000000" w:rsidRDefault="00000000">
      <w:pPr>
        <w:jc w:val="center"/>
      </w:pPr>
      <w:r>
        <w:rPr>
          <w:sz w:val="20"/>
        </w:rPr>
        <w:object w:dxaOrig="7934" w:dyaOrig="4085">
          <v:shape id="_x0000_i1028" type="#_x0000_t75" style="width:396.75pt;height:204pt" o:ole="" fillcolor="window">
            <v:imagedata r:id="rId19" o:title=""/>
          </v:shape>
          <o:OLEObject Type="Embed" ProgID="MSGraph.Chart.8" ShapeID="_x0000_i1028" DrawAspect="Content" ObjectID="_1394878294" r:id="rId20">
            <o:FieldCodes>\s</o:FieldCodes>
          </o:OLEObject>
        </w:object>
      </w:r>
    </w:p>
    <w:p w:rsidR="00000000" w:rsidRDefault="00000000">
      <w:pPr>
        <w:ind w:left="1440"/>
        <w:rPr>
          <w:u w:val="single"/>
        </w:rPr>
      </w:pPr>
    </w:p>
    <w:p w:rsidR="00000000" w:rsidRDefault="00000000">
      <w:pPr>
        <w:ind w:left="1440"/>
      </w:pPr>
      <w:r>
        <w:rPr>
          <w:u w:val="single"/>
        </w:rPr>
        <w:t>Source</w:t>
      </w:r>
      <w:r>
        <w:t>:  PNAD</w:t>
      </w:r>
      <w:r>
        <w:noBreakHyphen/>
        <w:t>IBGE.</w:t>
      </w:r>
    </w:p>
    <w:p w:rsidR="00000000" w:rsidRDefault="00000000"/>
    <w:p w:rsidR="00000000" w:rsidRDefault="00000000">
      <w:pPr>
        <w:pStyle w:val="ParaNo"/>
        <w:tabs>
          <w:tab w:val="clear" w:pos="360"/>
          <w:tab w:val="clear" w:pos="737"/>
        </w:tabs>
        <w:ind w:left="0" w:firstLine="0"/>
        <w:rPr>
          <w:lang w:val="en-GB"/>
        </w:rPr>
      </w:pPr>
      <w:r>
        <w:rPr>
          <w:lang w:val="en-GB"/>
        </w:rPr>
        <w:t>The Brazilian Government stresses the fact that the drop in the number of jobs for younger age groups does not necessarily represent a phenomenon that should concern us.  The phenomenon may be caused by the fact that these young people are spending more time on their formal education or in vocational training courses.</w:t>
      </w:r>
    </w:p>
    <w:p w:rsidR="00000000" w:rsidRDefault="00000000"/>
    <w:p w:rsidR="00000000" w:rsidRDefault="00000000">
      <w:pPr>
        <w:pStyle w:val="ParaNo"/>
        <w:tabs>
          <w:tab w:val="clear" w:pos="360"/>
          <w:tab w:val="clear" w:pos="737"/>
        </w:tabs>
        <w:ind w:left="0" w:firstLine="0"/>
        <w:rPr>
          <w:lang w:val="en-GB"/>
        </w:rPr>
      </w:pPr>
      <w:r>
        <w:rPr>
          <w:lang w:val="en-GB"/>
        </w:rPr>
        <w:t>The situation is repeated (please see chart 6) with regard to the growth rate for jobs when broken down by sector in the economy between 1995 and 1999.  During that period, Brazil lost jobs in the industrial and agricultural sectors but gained jobs in the building trades and services sectors.</w:t>
      </w:r>
    </w:p>
    <w:p w:rsidR="00000000" w:rsidRDefault="00000000"/>
    <w:p w:rsidR="00000000" w:rsidRDefault="00000000">
      <w:pPr>
        <w:pStyle w:val="Heading1"/>
      </w:pPr>
      <w:r>
        <w:t>Chart 6.  Growth rate in jobs by economic sector 1995</w:t>
      </w:r>
      <w:r>
        <w:noBreakHyphen/>
        <w:t>99 (%)</w:t>
      </w:r>
    </w:p>
    <w:p w:rsidR="00000000" w:rsidRDefault="00000000"/>
    <w:p w:rsidR="00000000" w:rsidRDefault="00000000">
      <w:pPr>
        <w:jc w:val="center"/>
      </w:pPr>
      <w:r>
        <w:rPr>
          <w:sz w:val="20"/>
        </w:rPr>
        <w:object w:dxaOrig="8309" w:dyaOrig="3341">
          <v:shape id="_x0000_i1029" type="#_x0000_t75" style="width:415.5pt;height:167.25pt" o:ole="" fillcolor="window">
            <v:imagedata r:id="rId21" o:title=""/>
          </v:shape>
          <o:OLEObject Type="Embed" ProgID="MSGraph.Chart.8" ShapeID="_x0000_i1029" DrawAspect="Content" ObjectID="_1394878295" r:id="rId22">
            <o:FieldCodes>\s</o:FieldCodes>
          </o:OLEObject>
        </w:object>
      </w:r>
    </w:p>
    <w:p w:rsidR="00000000" w:rsidRDefault="00000000">
      <w:pPr>
        <w:ind w:left="1440"/>
        <w:rPr>
          <w:u w:val="single"/>
        </w:rPr>
      </w:pPr>
    </w:p>
    <w:p w:rsidR="00000000" w:rsidRDefault="00000000">
      <w:pPr>
        <w:ind w:left="1440"/>
      </w:pPr>
      <w:r>
        <w:rPr>
          <w:u w:val="single"/>
        </w:rPr>
        <w:t>Source</w:t>
      </w:r>
      <w:r>
        <w:t>:  PNAD</w:t>
      </w:r>
      <w:r>
        <w:noBreakHyphen/>
        <w:t>IBGE.</w:t>
      </w:r>
    </w:p>
    <w:p w:rsidR="00000000" w:rsidRDefault="00000000"/>
    <w:p w:rsidR="00000000" w:rsidRDefault="00000000">
      <w:pPr>
        <w:pStyle w:val="ParaNo"/>
        <w:tabs>
          <w:tab w:val="clear" w:pos="360"/>
          <w:tab w:val="clear" w:pos="737"/>
        </w:tabs>
        <w:ind w:left="0" w:firstLine="0"/>
        <w:rPr>
          <w:lang w:val="en-GB"/>
        </w:rPr>
      </w:pPr>
      <w:r>
        <w:rPr>
          <w:lang w:val="en-GB"/>
        </w:rPr>
        <w:br w:type="page"/>
        <w:t>Any analysis of Brazil’s economic performance in the 1990s should strive to avoid misconceptions vis</w:t>
      </w:r>
      <w:r>
        <w:rPr>
          <w:lang w:val="en-GB"/>
        </w:rPr>
        <w:noBreakHyphen/>
        <w:t>à</w:t>
      </w:r>
      <w:r>
        <w:rPr>
          <w:lang w:val="en-GB"/>
        </w:rPr>
        <w:noBreakHyphen/>
        <w:t>vis that performance and its alleged stagnation.  Similarly, caution should be exercised when an attempt is made to link the status of the Brazilian job market to a statement that stagnation occurred.  With the exception of the period between 1998 and 2000, Brazil’s rate of economic growth beginning in 1992 was considerably higher than that of the previous decade.  Any assessment should take the significant productivity gains shown by Brazil’s economy during the same period into account as well.  In fact, if the number of jobs did not grow as much as in recent times, the cause is probably the fact that the productivity rates for jobs have increased more rapidly than the GDP.</w:t>
      </w:r>
    </w:p>
    <w:p w:rsidR="00000000" w:rsidRDefault="00000000">
      <w:pPr>
        <w:pStyle w:val="Heading1"/>
      </w:pPr>
    </w:p>
    <w:p w:rsidR="00000000" w:rsidRDefault="00000000">
      <w:pPr>
        <w:pStyle w:val="Heading1"/>
      </w:pPr>
      <w:r>
        <w:t>Chart 7</w:t>
      </w:r>
    </w:p>
    <w:p w:rsidR="00000000" w:rsidRDefault="00000000">
      <w:pPr>
        <w:pStyle w:val="Heading1"/>
      </w:pPr>
    </w:p>
    <w:p w:rsidR="00000000" w:rsidRDefault="00000000">
      <w:pPr>
        <w:pStyle w:val="Heading1"/>
      </w:pPr>
      <w:r>
        <w:t>Growth in GDP and productivity of labour in industry, 1992</w:t>
      </w:r>
      <w:r>
        <w:noBreakHyphen/>
        <w:t>99 (%)</w:t>
      </w:r>
    </w:p>
    <w:p w:rsidR="00000000" w:rsidRDefault="00000000">
      <w:pPr>
        <w:keepNext/>
      </w:pPr>
    </w:p>
    <w:p w:rsidR="00000000" w:rsidRDefault="00000000">
      <w:pPr>
        <w:keepNext/>
        <w:jc w:val="center"/>
        <w:rPr>
          <w:sz w:val="20"/>
        </w:rPr>
      </w:pPr>
      <w:r>
        <w:rPr>
          <w:sz w:val="20"/>
        </w:rPr>
        <w:object w:dxaOrig="8145" w:dyaOrig="4050">
          <v:shape id="_x0000_i1030" type="#_x0000_t75" style="width:407.25pt;height:202.5pt" o:ole="" fillcolor="window">
            <v:imagedata r:id="rId23" o:title=""/>
          </v:shape>
          <o:OLEObject Type="Embed" ProgID="MSGraph.Chart.8" ShapeID="_x0000_i1030" DrawAspect="Content" ObjectID="_1394878296" r:id="rId24">
            <o:FieldCodes>\s</o:FieldCodes>
          </o:OLEObject>
        </w:object>
      </w:r>
    </w:p>
    <w:p w:rsidR="00000000" w:rsidRDefault="00000000">
      <w:pPr>
        <w:keepNext/>
        <w:ind w:left="1440"/>
        <w:rPr>
          <w:u w:val="single"/>
        </w:rPr>
      </w:pPr>
    </w:p>
    <w:p w:rsidR="00000000" w:rsidRDefault="00000000">
      <w:pPr>
        <w:keepNext/>
        <w:ind w:left="1440"/>
      </w:pPr>
      <w:r>
        <w:rPr>
          <w:u w:val="single"/>
        </w:rPr>
        <w:t>Source</w:t>
      </w:r>
      <w:r>
        <w:t>:  IBGE.</w:t>
      </w:r>
    </w:p>
    <w:p w:rsidR="00000000" w:rsidRDefault="00000000">
      <w:pPr>
        <w:keepNext/>
      </w:pPr>
    </w:p>
    <w:p w:rsidR="00000000" w:rsidRDefault="00000000">
      <w:pPr>
        <w:pStyle w:val="ParaNo"/>
        <w:tabs>
          <w:tab w:val="clear" w:pos="360"/>
          <w:tab w:val="clear" w:pos="737"/>
        </w:tabs>
        <w:ind w:left="0" w:firstLine="0"/>
        <w:rPr>
          <w:lang w:val="en-GB"/>
        </w:rPr>
      </w:pPr>
      <w:r>
        <w:rPr>
          <w:lang w:val="en-GB"/>
        </w:rPr>
        <w:t xml:space="preserve">In the 1980s labour productivity was practically stagnant; in the 1990s vigorous productivity growth was observed.  This leads one to the supposition that the economy did not lose any of its dynamism, but instead that productivity grew at a rate that was higher than that of the economy as a whole.  Therefore, the problem of the number of jobs generated does not have anything to do with the dynamism of the economy but, instead, is linked to factors which in turn tie into the job market itself and how it works.  These factors need to be properly analysed and handled so that the small number of jobs being generated does not turn into higher levels of structural unemployment in the future.  </w:t>
      </w:r>
    </w:p>
    <w:p w:rsidR="00000000" w:rsidRDefault="00000000"/>
    <w:p w:rsidR="00000000" w:rsidRDefault="00000000">
      <w:pPr>
        <w:pStyle w:val="ParaNo"/>
        <w:tabs>
          <w:tab w:val="clear" w:pos="360"/>
          <w:tab w:val="clear" w:pos="737"/>
        </w:tabs>
        <w:ind w:left="0" w:firstLine="0"/>
        <w:rPr>
          <w:lang w:val="en-GB"/>
        </w:rPr>
      </w:pPr>
      <w:r>
        <w:rPr>
          <w:lang w:val="en-GB"/>
        </w:rPr>
        <w:t xml:space="preserve">First, the low numbers of new jobs is associated with the rapid growth of productivity in the job market.  Available information on productivity gains in Brazil’s economy leave no doubt as to this factor.  On the one hand, productivity gains decrease job generation in relation to any given growth rate in the economy; on the other hand, they mean that better quality goods can be </w:t>
      </w:r>
    </w:p>
    <w:p w:rsidR="00000000" w:rsidRDefault="00000000">
      <w:r>
        <w:t xml:space="preserve">produced while using less effort by workers and fewer resources in general.  This leads to reductions in production costs and consequently to lower prices for products, which in turn explains the large increase in consumers observed in the Brazilian market in recent years. </w:t>
      </w:r>
    </w:p>
    <w:p w:rsidR="00000000" w:rsidRDefault="00000000">
      <w:pPr>
        <w:pStyle w:val="ParaNo"/>
        <w:tabs>
          <w:tab w:val="clear" w:pos="360"/>
          <w:tab w:val="clear" w:pos="737"/>
        </w:tabs>
        <w:ind w:left="0" w:firstLine="0"/>
        <w:rPr>
          <w:lang w:val="en-GB"/>
        </w:rPr>
      </w:pPr>
      <w:r>
        <w:rPr>
          <w:lang w:val="en-GB"/>
        </w:rPr>
        <w:t>At the same time, productivity gains are the only way to ensure greater competitiveness abroad and higher salaries over the long term.  The world’s major markets developed precisely as a result of substantial productivity gains and increases in real salaries.  The Brazilian Government feels that any effort to simply stop the productivity increase process under the pretext that it would generate jobs over the short term would be a mistake.</w:t>
      </w:r>
    </w:p>
    <w:p w:rsidR="00000000" w:rsidRDefault="00000000"/>
    <w:p w:rsidR="00000000" w:rsidRDefault="00000000">
      <w:pPr>
        <w:pStyle w:val="ParaNo"/>
        <w:tabs>
          <w:tab w:val="clear" w:pos="360"/>
          <w:tab w:val="clear" w:pos="737"/>
        </w:tabs>
        <w:ind w:left="0" w:firstLine="0"/>
        <w:rPr>
          <w:lang w:val="en-GB"/>
        </w:rPr>
      </w:pPr>
      <w:r>
        <w:rPr>
          <w:lang w:val="en-GB"/>
        </w:rPr>
        <w:t>Finally, it should be underscored that data regarding employment up until 1999 do not reflect the reaction that has occurred this year.  The year 2000 has, in fact, been characterized by a significant reaction with regard to job creation.  Data regarding the formal job market supplied by the General Registry of Employed and Unemployed Persons (CAGED) indicates that 284,000 jobs were created between January and April of this year.  The SME/IBGE data for metropolitan regions in Brazil (between January and April 2000) in turn indicate a surplus of 600,000 jobs (independently of the position occupied) vis</w:t>
      </w:r>
      <w:r>
        <w:rPr>
          <w:lang w:val="en-GB"/>
        </w:rPr>
        <w:noBreakHyphen/>
        <w:t>à</w:t>
      </w:r>
      <w:r>
        <w:rPr>
          <w:lang w:val="en-GB"/>
        </w:rPr>
        <w:noBreakHyphen/>
        <w:t>vis the same period during the previous year.</w:t>
      </w:r>
    </w:p>
    <w:p w:rsidR="00000000" w:rsidRDefault="00000000"/>
    <w:p w:rsidR="00000000" w:rsidRDefault="00000000">
      <w:pPr>
        <w:pStyle w:val="Heading3"/>
      </w:pPr>
      <w:r>
        <w:t>Unemployment rates and the informal job market</w:t>
      </w:r>
    </w:p>
    <w:p w:rsidR="00000000" w:rsidRDefault="00000000"/>
    <w:p w:rsidR="00000000" w:rsidRDefault="00000000">
      <w:pPr>
        <w:pStyle w:val="ParaNo"/>
        <w:tabs>
          <w:tab w:val="clear" w:pos="360"/>
          <w:tab w:val="clear" w:pos="737"/>
        </w:tabs>
        <w:ind w:left="0" w:firstLine="0"/>
        <w:rPr>
          <w:lang w:val="en-GB"/>
        </w:rPr>
      </w:pPr>
      <w:r>
        <w:rPr>
          <w:lang w:val="en-GB"/>
        </w:rPr>
        <w:t>Unemployment rates have increased significantly in recent years.  Although this phenomenon continues to be seasonal (please see chart 8), annual average rates have increased quite a bit and have tended to stabilize at historically high levels.  These unemployment rates are nevertheless considered to be reasonable in international terms.</w:t>
      </w:r>
    </w:p>
    <w:p w:rsidR="00000000" w:rsidRDefault="00000000"/>
    <w:p w:rsidR="00000000" w:rsidRDefault="00000000">
      <w:pPr>
        <w:pStyle w:val="ParaNo"/>
        <w:tabs>
          <w:tab w:val="clear" w:pos="360"/>
          <w:tab w:val="clear" w:pos="737"/>
        </w:tabs>
        <w:ind w:left="0" w:firstLine="0"/>
        <w:rPr>
          <w:lang w:val="en-GB"/>
        </w:rPr>
      </w:pPr>
      <w:r>
        <w:rPr>
          <w:lang w:val="en-GB"/>
        </w:rPr>
        <w:t>Before continuing, it should be noted that the positive reaction of the job market this year has led to slight drops in unemployment.  The drop in unemployment has occurred slowly, for reasons that will be discussed later in this paper.</w:t>
      </w:r>
    </w:p>
    <w:p w:rsidR="00000000" w:rsidRDefault="00000000"/>
    <w:p w:rsidR="00000000" w:rsidRDefault="00000000">
      <w:pPr>
        <w:pStyle w:val="Heading1"/>
      </w:pPr>
      <w:r>
        <w:t>Chart 8</w:t>
      </w:r>
    </w:p>
    <w:p w:rsidR="00000000" w:rsidRDefault="00000000">
      <w:pPr>
        <w:pStyle w:val="Heading1"/>
      </w:pPr>
    </w:p>
    <w:p w:rsidR="00000000" w:rsidRDefault="00000000">
      <w:pPr>
        <w:pStyle w:val="Heading1"/>
      </w:pPr>
      <w:r>
        <w:t>Unemployment rate, metropolitan Brazil (%)</w:t>
      </w:r>
    </w:p>
    <w:p w:rsidR="00000000" w:rsidRDefault="00000000">
      <w:pPr>
        <w:ind w:left="1440"/>
        <w:rPr>
          <w:u w:val="single"/>
        </w:rPr>
      </w:pPr>
    </w:p>
    <w:p w:rsidR="00000000" w:rsidRDefault="00000000">
      <w:pPr>
        <w:ind w:left="1440"/>
      </w:pPr>
      <w:r>
        <w:rPr>
          <w:noProof/>
          <w:sz w:val="20"/>
          <w:u w:val="single"/>
        </w:rPr>
        <w:pict>
          <v:shape id="_x0000_s1035" type="#_x0000_t75" style="position:absolute;left:0;text-align:left;margin-left:27pt;margin-top:.85pt;width:419.25pt;height:214.5pt;z-index:3">
            <v:imagedata r:id="rId25" o:title=""/>
            <w10:wrap type="topAndBottom"/>
            <w10:anchorlock/>
          </v:shape>
        </w:pict>
      </w:r>
      <w:r>
        <w:rPr>
          <w:u w:val="single"/>
        </w:rPr>
        <w:t>Source</w:t>
      </w:r>
      <w:r>
        <w:t>:  SME</w:t>
      </w:r>
      <w:r>
        <w:noBreakHyphen/>
        <w:t>IBGE.</w:t>
      </w:r>
    </w:p>
    <w:p w:rsidR="00000000" w:rsidRDefault="00000000"/>
    <w:p w:rsidR="00000000" w:rsidRDefault="00000000">
      <w:pPr>
        <w:pStyle w:val="ParaNo"/>
        <w:tabs>
          <w:tab w:val="clear" w:pos="360"/>
          <w:tab w:val="clear" w:pos="737"/>
        </w:tabs>
        <w:ind w:left="0" w:firstLine="0"/>
        <w:rPr>
          <w:lang w:val="en-GB"/>
        </w:rPr>
      </w:pPr>
      <w:r>
        <w:rPr>
          <w:lang w:val="en-GB"/>
        </w:rPr>
        <w:br w:type="page"/>
        <w:t xml:space="preserve">The increase in the unemployment rate has been caused by a number of factors.  In addition to the productivity gains mentioned above, in the case of Brazil the macroeconomic programmes adopted in response to the Asian crisis (1997), the Russian crisis (1998) and, finally, as a result of Brazil’s own foreign exchange crisis in early 1999 have also had an effect.  On these occasions the Government was forced to adopt measures that although severe from a fiscal point of view, were justified by the need to preserve Brazil’s macroeconomic stability. </w:t>
      </w:r>
    </w:p>
    <w:p w:rsidR="00000000" w:rsidRDefault="00000000"/>
    <w:p w:rsidR="00000000" w:rsidRDefault="00000000">
      <w:pPr>
        <w:pStyle w:val="ParaNo"/>
        <w:tabs>
          <w:tab w:val="clear" w:pos="360"/>
          <w:tab w:val="clear" w:pos="737"/>
        </w:tabs>
        <w:ind w:left="0" w:firstLine="0"/>
        <w:rPr>
          <w:lang w:val="en-GB"/>
        </w:rPr>
      </w:pPr>
      <w:r>
        <w:rPr>
          <w:lang w:val="en-GB"/>
        </w:rPr>
        <w:t>In terms of public policies, it should be stressed that unemployment does not affect all social groups equally.  A more detailed analysis indicates just which groups are harmed most.  As can be seen in chart 9, unemployment rates are higher among women than among men; they are also higher among the offspring rather than heads of families and spouses (in 1999 the unemployment rate for heads of household was approximately 5 per cent, whereas among their children it was over 13 per cent); among workers over the age of 40 the unemployment rate hovered around 4 per cent and among young people in general it was 15 per cent.  The statistics mentioned above indicate that heads of household, who produce more family income than other family members, have thus far suffered less from unemployment.</w:t>
      </w:r>
    </w:p>
    <w:p w:rsidR="00000000" w:rsidRDefault="00000000"/>
    <w:p w:rsidR="00000000" w:rsidRDefault="00000000">
      <w:pPr>
        <w:pStyle w:val="Heading1"/>
        <w:spacing w:line="360" w:lineRule="auto"/>
      </w:pPr>
      <w:r>
        <w:t>Chart 9</w:t>
      </w:r>
    </w:p>
    <w:p w:rsidR="00000000" w:rsidRDefault="00000000">
      <w:pPr>
        <w:pStyle w:val="Heading1"/>
      </w:pPr>
      <w:r>
        <w:t>Average unemployment rate, 1999, metropolitan Brazil (%)</w:t>
      </w:r>
    </w:p>
    <w:p w:rsidR="00000000" w:rsidRDefault="00000000"/>
    <w:p w:rsidR="00000000" w:rsidRDefault="00000000">
      <w:pPr>
        <w:jc w:val="center"/>
      </w:pPr>
      <w:r>
        <w:rPr>
          <w:sz w:val="20"/>
        </w:rPr>
        <w:object w:dxaOrig="8198" w:dyaOrig="7042">
          <v:shape id="_x0000_i1031" type="#_x0000_t75" style="width:410.25pt;height:351.75pt" o:ole="" fillcolor="window">
            <v:imagedata r:id="rId26" o:title=""/>
          </v:shape>
          <o:OLEObject Type="Embed" ProgID="MSGraph.Chart.8" ShapeID="_x0000_i1031" DrawAspect="Content" ObjectID="_1394878297" r:id="rId27">
            <o:FieldCodes>\s</o:FieldCodes>
          </o:OLEObject>
        </w:object>
      </w:r>
    </w:p>
    <w:p w:rsidR="00000000" w:rsidRDefault="00000000">
      <w:pPr>
        <w:ind w:left="1440"/>
      </w:pPr>
      <w:r>
        <w:rPr>
          <w:u w:val="single"/>
        </w:rPr>
        <w:t>Source</w:t>
      </w:r>
      <w:r>
        <w:t>:  SME</w:t>
      </w:r>
      <w:r>
        <w:noBreakHyphen/>
        <w:t>IBGE.</w:t>
      </w:r>
    </w:p>
    <w:p w:rsidR="00000000" w:rsidRDefault="00000000">
      <w:pPr>
        <w:pStyle w:val="ParaNo"/>
        <w:tabs>
          <w:tab w:val="clear" w:pos="360"/>
          <w:tab w:val="clear" w:pos="737"/>
        </w:tabs>
        <w:ind w:left="0" w:firstLine="0"/>
        <w:rPr>
          <w:lang w:val="en-GB"/>
        </w:rPr>
      </w:pPr>
      <w:r>
        <w:rPr>
          <w:lang w:val="en-GB"/>
        </w:rPr>
        <w:t>Since the early 1990s the Brazilian Government has detected an increase in the number of people working in the informal job market.  However, available data and the reflections mentioned above lead one to the diagnosis that this phenomenon is not related to a drop in the dynamism of the economy as a whole.  Instead, the increase in the informal job market should be explained after examining other factors that explain the way in which the job market itself works.</w:t>
      </w:r>
    </w:p>
    <w:p w:rsidR="00000000" w:rsidRDefault="00000000"/>
    <w:p w:rsidR="00000000" w:rsidRDefault="00000000">
      <w:pPr>
        <w:pStyle w:val="ParaNo"/>
        <w:tabs>
          <w:tab w:val="clear" w:pos="360"/>
          <w:tab w:val="clear" w:pos="737"/>
        </w:tabs>
        <w:ind w:left="0" w:firstLine="0"/>
        <w:rPr>
          <w:lang w:val="en-GB"/>
        </w:rPr>
      </w:pPr>
      <w:r>
        <w:rPr>
          <w:lang w:val="en-GB"/>
        </w:rPr>
        <w:t>Naturally enough, there are a number of reasons for the existence of an informal job market in Brazil, including the disincentives caused by the Social Security System and Brazilian labour laws, and the peculiarities of the micro</w:t>
      </w:r>
      <w:r>
        <w:rPr>
          <w:lang w:val="en-GB"/>
        </w:rPr>
        <w:noBreakHyphen/>
        <w:t xml:space="preserve"> and small businesses where a great many informal workers are concentrated.  Nevertheless, two of these factors are fundamental.  The first involves the fact that the new forms of production and labour relations tend to increase the number of self</w:t>
      </w:r>
      <w:r>
        <w:rPr>
          <w:lang w:val="en-GB"/>
        </w:rPr>
        <w:noBreakHyphen/>
        <w:t>employed workers, thanks to outsourcing.  In other words, a number of the responsibilities that used to be carried out within companies have now been outsourced, which in turn has reduced the number of people who are directly employed by such companies.  The second factor is the relative increase of jobs in the services sector to the detriment of jobs in the industry sector.  Because the services sector is more likely to generate informal jobs, the increased importance of the services sector alone is enough to explain the growing number of informal jobs in the labour market.</w:t>
      </w:r>
    </w:p>
    <w:p w:rsidR="00000000" w:rsidRDefault="00000000"/>
    <w:p w:rsidR="00000000" w:rsidRDefault="00000000">
      <w:pPr>
        <w:pStyle w:val="Heading3"/>
      </w:pPr>
      <w:r>
        <w:t>Wages</w:t>
      </w:r>
    </w:p>
    <w:p w:rsidR="00000000" w:rsidRDefault="00000000"/>
    <w:p w:rsidR="00000000" w:rsidRDefault="00000000">
      <w:pPr>
        <w:pStyle w:val="ParaNo"/>
        <w:tabs>
          <w:tab w:val="clear" w:pos="360"/>
          <w:tab w:val="clear" w:pos="737"/>
        </w:tabs>
        <w:ind w:left="0" w:firstLine="0"/>
        <w:rPr>
          <w:lang w:val="en-GB"/>
        </w:rPr>
      </w:pPr>
      <w:r>
        <w:rPr>
          <w:lang w:val="en-GB"/>
        </w:rPr>
        <w:t>The question of informal jobs draws our attention to the precarious nature of labour relations caused by the loss of workers’ rights and even of remuneration.  Nevertheless, available indicators do not provide clear information regarding a possible link between an increase in the number of informal jobs and an increase in the precarious nature of such activities, especially with regard to income, as can be seen by the data in chart 10.</w:t>
      </w:r>
    </w:p>
    <w:p w:rsidR="00000000" w:rsidRDefault="00000000"/>
    <w:p w:rsidR="00000000" w:rsidRDefault="00000000">
      <w:pPr>
        <w:pStyle w:val="ParaNo"/>
        <w:tabs>
          <w:tab w:val="clear" w:pos="360"/>
          <w:tab w:val="clear" w:pos="737"/>
        </w:tabs>
        <w:ind w:left="0" w:firstLine="0"/>
        <w:rPr>
          <w:lang w:val="en-GB"/>
        </w:rPr>
      </w:pPr>
      <w:r>
        <w:rPr>
          <w:lang w:val="en-GB"/>
        </w:rPr>
        <w:t>Despite the fact that growing numbers of workers do not use proper labour documents or are self</w:t>
      </w:r>
      <w:r>
        <w:rPr>
          <w:lang w:val="en-GB"/>
        </w:rPr>
        <w:noBreakHyphen/>
        <w:t>employed, it is precisely these two groups of workers that have enjoyed the greatest increase in income since 1991.  It should also be underscored that chart 10 reveals that the services sector (which is more likely to generate informal jobs) is precisely where workers showed the greatest positive variation in wages.  Furthermore, for the period in question women received wage increases that were substantially higher than for men.</w:t>
      </w:r>
    </w:p>
    <w:p w:rsidR="00000000" w:rsidRDefault="00000000"/>
    <w:p w:rsidR="00000000" w:rsidRDefault="00000000">
      <w:pPr>
        <w:pStyle w:val="Heading3"/>
      </w:pPr>
      <w:r>
        <w:t>Public policies for income and wages</w:t>
      </w:r>
    </w:p>
    <w:p w:rsidR="00000000" w:rsidRDefault="00000000"/>
    <w:p w:rsidR="00000000" w:rsidRDefault="00000000">
      <w:pPr>
        <w:pStyle w:val="ParaNo"/>
        <w:tabs>
          <w:tab w:val="clear" w:pos="360"/>
          <w:tab w:val="clear" w:pos="737"/>
        </w:tabs>
        <w:ind w:left="0" w:firstLine="0"/>
        <w:rPr>
          <w:lang w:val="en-GB"/>
        </w:rPr>
      </w:pPr>
      <w:r>
        <w:rPr>
          <w:lang w:val="en-GB"/>
        </w:rPr>
        <w:t>Brazilian government programmes that fall within the purview of the Ministry of Labour and Employment are based primarily on three pillars:  first, measures designed to create a public employment system and second, measures designed to increase job opportunities by providing credit.  Finally, measures to modernize the regulatory framework that governs relations between management and labour.</w:t>
      </w:r>
    </w:p>
    <w:p w:rsidR="00000000" w:rsidRDefault="00000000">
      <w:pPr>
        <w:pStyle w:val="Heading1"/>
      </w:pPr>
      <w:r>
        <w:br w:type="page"/>
        <w:t>Chart 10</w:t>
      </w:r>
    </w:p>
    <w:p w:rsidR="00000000" w:rsidRDefault="00000000">
      <w:pPr>
        <w:pStyle w:val="Heading1"/>
      </w:pPr>
    </w:p>
    <w:p w:rsidR="00000000" w:rsidRDefault="00000000">
      <w:pPr>
        <w:pStyle w:val="Heading1"/>
      </w:pPr>
      <w:r>
        <w:t>Variation in real average wages, 1991</w:t>
      </w:r>
      <w:r>
        <w:noBreakHyphen/>
        <w:t>99 (%)</w:t>
      </w:r>
    </w:p>
    <w:p w:rsidR="00000000" w:rsidRDefault="00000000">
      <w:pPr>
        <w:jc w:val="center"/>
      </w:pPr>
      <w:r>
        <w:rPr>
          <w:sz w:val="20"/>
        </w:rPr>
        <w:object w:dxaOrig="8040" w:dyaOrig="5923">
          <v:shape id="_x0000_i1032" type="#_x0000_t75" style="width:402pt;height:296.25pt" o:ole="" fillcolor="window">
            <v:imagedata r:id="rId28" o:title=""/>
          </v:shape>
          <o:OLEObject Type="Embed" ProgID="MSGraph.Chart.8" ShapeID="_x0000_i1032" DrawAspect="Content" ObjectID="_1394878298" r:id="rId29">
            <o:FieldCodes>\s</o:FieldCodes>
          </o:OLEObject>
        </w:object>
      </w:r>
    </w:p>
    <w:p w:rsidR="00000000" w:rsidRDefault="00000000">
      <w:pPr>
        <w:ind w:left="1440"/>
      </w:pPr>
      <w:r>
        <w:rPr>
          <w:u w:val="single"/>
        </w:rPr>
        <w:t>Source</w:t>
      </w:r>
      <w:r>
        <w:t>:  SME</w:t>
      </w:r>
      <w:r>
        <w:noBreakHyphen/>
        <w:t>IBGE.</w:t>
      </w:r>
    </w:p>
    <w:p w:rsidR="00000000" w:rsidRDefault="00000000"/>
    <w:p w:rsidR="00000000" w:rsidRDefault="00000000">
      <w:pPr>
        <w:pStyle w:val="ParaNo"/>
        <w:tabs>
          <w:tab w:val="clear" w:pos="360"/>
          <w:tab w:val="clear" w:pos="737"/>
        </w:tabs>
        <w:ind w:left="0" w:firstLine="0"/>
        <w:rPr>
          <w:lang w:val="en-GB"/>
        </w:rPr>
      </w:pPr>
      <w:r>
        <w:rPr>
          <w:lang w:val="en-GB"/>
        </w:rPr>
        <w:t>The public employment system being created in Brazil centres on the Unemployment Insurance Programme.  The Programme is responsible for the three basic thrusts of employment policies:  to begin with, benefits from the unemployment insurance programme, which provides temporary financial assistance to unemployed workers whenever they have been laid off; then, employment intermediation designed to put the worker back into the job market quickly and easily, by reducing costs and waiting periods incurred by both wage earners and employers; finally, professional training programmes, designed to train workers and increase their employability, thus contributing to their professional entry and/or reintegration into the job market.</w:t>
      </w:r>
    </w:p>
    <w:p w:rsidR="00000000" w:rsidRDefault="00000000"/>
    <w:p w:rsidR="00000000" w:rsidRDefault="00000000">
      <w:pPr>
        <w:pStyle w:val="ParaNo"/>
        <w:tabs>
          <w:tab w:val="clear" w:pos="360"/>
          <w:tab w:val="clear" w:pos="737"/>
        </w:tabs>
        <w:ind w:left="0" w:firstLine="0"/>
        <w:rPr>
          <w:lang w:val="en-GB"/>
        </w:rPr>
      </w:pPr>
      <w:r>
        <w:rPr>
          <w:lang w:val="en-GB"/>
        </w:rPr>
        <w:t>Usually these activities are run in a decentralized way via the National Employment System (SINE), formed by private organizations hired by the State Labour Secretariats in conjunction with other partnerships involving professional education programmes, universities, the “S” System, trade unions and others.  Local Employment Commissions are also involved in such efforts.</w:t>
      </w:r>
    </w:p>
    <w:p w:rsidR="00000000" w:rsidRDefault="00000000"/>
    <w:p w:rsidR="00000000" w:rsidRDefault="00000000">
      <w:pPr>
        <w:pStyle w:val="ParaNo"/>
        <w:tabs>
          <w:tab w:val="clear" w:pos="360"/>
          <w:tab w:val="clear" w:pos="737"/>
        </w:tabs>
        <w:ind w:left="0" w:firstLine="0"/>
        <w:rPr>
          <w:lang w:val="en-GB"/>
        </w:rPr>
      </w:pPr>
      <w:r>
        <w:rPr>
          <w:lang w:val="en-GB"/>
        </w:rPr>
        <w:t>Between 1986 and 1999, approximately US$ 23.5 billion were spent on unemployment insurance; jobs were found for 43,701,063 of the 45,626,413 applicants, which is equal to an eligibility rate of 95.78 per cent.  The average benefits for the period in question were 1.54 minimum monthly wages.  During the four</w:t>
      </w:r>
      <w:r>
        <w:rPr>
          <w:lang w:val="en-GB"/>
        </w:rPr>
        <w:noBreakHyphen/>
        <w:t>year period 1991</w:t>
      </w:r>
      <w:r>
        <w:rPr>
          <w:lang w:val="en-GB"/>
        </w:rPr>
        <w:noBreakHyphen/>
        <w:t>1994, the number of workers receiving unemployment insurance each month averaged 316,000, which is equivalent to an annual average of approximately 3.8 million people.  For the four</w:t>
      </w:r>
      <w:r>
        <w:rPr>
          <w:lang w:val="en-GB"/>
        </w:rPr>
        <w:noBreakHyphen/>
        <w:t>year period 1996</w:t>
      </w:r>
      <w:r>
        <w:rPr>
          <w:lang w:val="en-GB"/>
        </w:rPr>
        <w:noBreakHyphen/>
        <w:t>1999, the number of workers receiving unemployment insurance averaged 363,000 a month, equivalent to an annual average of 4.3 million people.  In fact, 1995 can be considered to be a “watershed” year, separating two different patterns with regard to the number of workers receiving unemployment insurance each month.</w:t>
      </w:r>
    </w:p>
    <w:p w:rsidR="00000000" w:rsidRDefault="00000000"/>
    <w:p w:rsidR="00000000" w:rsidRDefault="00000000">
      <w:pPr>
        <w:pStyle w:val="ParaNo"/>
        <w:tabs>
          <w:tab w:val="clear" w:pos="360"/>
          <w:tab w:val="clear" w:pos="737"/>
        </w:tabs>
        <w:ind w:left="0" w:firstLine="0"/>
        <w:rPr>
          <w:lang w:val="en-GB"/>
        </w:rPr>
      </w:pPr>
      <w:r>
        <w:rPr>
          <w:lang w:val="en-GB"/>
        </w:rPr>
        <w:t>In 1999, 4.2 million workers benefited from this programme, which cost a total of Cr$ 3.83 billion, equivalent to approximately 2.13 billion dollars, or 0.4 per cent of Brazil’s GDP.  In macroeconomic terms these expenditures are important because the volume of money injected into the economy was helpful in attenuating the impact of unemployment.  Average benefits in 1999 were 1.55 minimum monthly wages, representing approximately 34.0 per cent of the average real wages of salary earners in the main metropolitan regions in Brazil, a number that is equivalent to figures observed in other countries.</w:t>
      </w:r>
    </w:p>
    <w:p w:rsidR="00000000" w:rsidRDefault="00000000"/>
    <w:p w:rsidR="00000000" w:rsidRDefault="00000000">
      <w:pPr>
        <w:pStyle w:val="ParaNo"/>
        <w:tabs>
          <w:tab w:val="clear" w:pos="360"/>
          <w:tab w:val="clear" w:pos="737"/>
        </w:tabs>
        <w:ind w:left="0" w:firstLine="0"/>
        <w:rPr>
          <w:lang w:val="en-GB"/>
        </w:rPr>
      </w:pPr>
      <w:r>
        <w:rPr>
          <w:lang w:val="en-GB"/>
        </w:rPr>
        <w:t xml:space="preserve">The Manpower Intermediation Programme is one of the key thrusts of the National Employment System </w:t>
      </w:r>
      <w:r>
        <w:rPr>
          <w:lang w:val="en-GB"/>
        </w:rPr>
        <w:noBreakHyphen/>
        <w:t xml:space="preserve"> SINE.  SINE provides this interface by drawing on information from workers that seek out SINE services in search of jobs and by drawing on information regarding the requirements for positions to be filled and available through the System.  This intermediation involves the following activities:  workers go to SINE counters or offices and register.  Information on job opportunities is received from prospective employers, and the workers who have registered are then referred to employers who give them jobs.  Over the last four years these variables have grown considerably with the progressive increase in the “number of positions found” and the number of employees “placed” in these positions.  The surge in the number of openings and people who found jobs in 1999 was impressive.  This relates to an ongoing process under which “administrative competition” has been created among public organizations (State Labour Secretariats) and private organizations (trade unions), thus contributing significantly to SINE system results.</w:t>
      </w:r>
    </w:p>
    <w:p w:rsidR="00000000" w:rsidRDefault="00000000"/>
    <w:p w:rsidR="00000000" w:rsidRDefault="00000000">
      <w:pPr>
        <w:pStyle w:val="ParaNo"/>
        <w:tabs>
          <w:tab w:val="clear" w:pos="360"/>
          <w:tab w:val="clear" w:pos="737"/>
        </w:tabs>
        <w:ind w:left="0" w:firstLine="0"/>
        <w:rPr>
          <w:lang w:val="en-GB"/>
        </w:rPr>
      </w:pPr>
      <w:r>
        <w:rPr>
          <w:lang w:val="en-GB"/>
        </w:rPr>
        <w:t>In 1995, the Minister of Labour and Employment created the National Worker Qualification Plan (PLANFOR) for the purpose of coordinating, mobilizing and optimizing the capabilities, competence and resources available for the provision of vocational education in Brazil, by developing and strengthening a national network of public and private agencies.  The idea is that the network will provide enough qualification programmes to meet the needs of at least 20 per cent of the economically active population (EAP) per year.</w:t>
      </w:r>
    </w:p>
    <w:p w:rsidR="00000000" w:rsidRDefault="00000000"/>
    <w:p w:rsidR="00000000" w:rsidRDefault="00000000">
      <w:pPr>
        <w:pStyle w:val="Heading1"/>
      </w:pPr>
      <w:r>
        <w:t>Table 18</w:t>
      </w:r>
    </w:p>
    <w:p w:rsidR="00000000" w:rsidRDefault="00000000">
      <w:pPr>
        <w:pStyle w:val="Heading1"/>
      </w:pPr>
    </w:p>
    <w:p w:rsidR="00000000" w:rsidRDefault="00000000">
      <w:pPr>
        <w:pStyle w:val="Heading1"/>
      </w:pPr>
      <w:r>
        <w:t>Manpower Intermediation:  comparisons for the years 1995</w:t>
      </w:r>
      <w:r>
        <w:noBreakHyphen/>
        <w:t>1999</w:t>
      </w:r>
    </w:p>
    <w:p w:rsidR="00000000" w:rsidRDefault="00000000"/>
    <w:tbl>
      <w:tblPr>
        <w:tblW w:w="93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6"/>
        <w:gridCol w:w="975"/>
        <w:gridCol w:w="941"/>
        <w:gridCol w:w="979"/>
        <w:gridCol w:w="1030"/>
        <w:gridCol w:w="992"/>
        <w:gridCol w:w="851"/>
        <w:gridCol w:w="850"/>
        <w:gridCol w:w="851"/>
        <w:gridCol w:w="850"/>
      </w:tblGrid>
      <w:tr w:rsidR="00000000">
        <w:tblPrEx>
          <w:tblCellMar>
            <w:top w:w="0" w:type="dxa"/>
            <w:bottom w:w="0" w:type="dxa"/>
          </w:tblCellMar>
        </w:tblPrEx>
        <w:tc>
          <w:tcPr>
            <w:tcW w:w="1036" w:type="dxa"/>
          </w:tcPr>
          <w:p w:rsidR="00000000" w:rsidRDefault="00000000">
            <w:pPr>
              <w:rPr>
                <w:sz w:val="18"/>
              </w:rPr>
            </w:pPr>
            <w:r>
              <w:rPr>
                <w:sz w:val="18"/>
              </w:rPr>
              <w:t>Variables</w:t>
            </w:r>
          </w:p>
        </w:tc>
        <w:tc>
          <w:tcPr>
            <w:tcW w:w="975" w:type="dxa"/>
          </w:tcPr>
          <w:p w:rsidR="00000000" w:rsidRDefault="00000000">
            <w:pPr>
              <w:jc w:val="center"/>
              <w:rPr>
                <w:sz w:val="18"/>
              </w:rPr>
            </w:pPr>
            <w:r>
              <w:rPr>
                <w:sz w:val="18"/>
              </w:rPr>
              <w:t>1995</w:t>
            </w:r>
          </w:p>
        </w:tc>
        <w:tc>
          <w:tcPr>
            <w:tcW w:w="941" w:type="dxa"/>
          </w:tcPr>
          <w:p w:rsidR="00000000" w:rsidRDefault="00000000">
            <w:pPr>
              <w:jc w:val="center"/>
              <w:rPr>
                <w:sz w:val="18"/>
              </w:rPr>
            </w:pPr>
            <w:r>
              <w:rPr>
                <w:sz w:val="18"/>
              </w:rPr>
              <w:t>1996</w:t>
            </w:r>
          </w:p>
        </w:tc>
        <w:tc>
          <w:tcPr>
            <w:tcW w:w="979" w:type="dxa"/>
          </w:tcPr>
          <w:p w:rsidR="00000000" w:rsidRDefault="00000000">
            <w:pPr>
              <w:jc w:val="center"/>
              <w:rPr>
                <w:sz w:val="18"/>
              </w:rPr>
            </w:pPr>
            <w:r>
              <w:rPr>
                <w:sz w:val="18"/>
              </w:rPr>
              <w:t>1997</w:t>
            </w:r>
          </w:p>
        </w:tc>
        <w:tc>
          <w:tcPr>
            <w:tcW w:w="1030" w:type="dxa"/>
          </w:tcPr>
          <w:p w:rsidR="00000000" w:rsidRDefault="00000000">
            <w:pPr>
              <w:jc w:val="center"/>
              <w:rPr>
                <w:sz w:val="18"/>
              </w:rPr>
            </w:pPr>
            <w:r>
              <w:rPr>
                <w:sz w:val="18"/>
              </w:rPr>
              <w:t>1998</w:t>
            </w:r>
          </w:p>
        </w:tc>
        <w:tc>
          <w:tcPr>
            <w:tcW w:w="992" w:type="dxa"/>
          </w:tcPr>
          <w:p w:rsidR="00000000" w:rsidRDefault="00000000">
            <w:pPr>
              <w:jc w:val="center"/>
              <w:rPr>
                <w:sz w:val="18"/>
              </w:rPr>
            </w:pPr>
            <w:r>
              <w:rPr>
                <w:sz w:val="18"/>
              </w:rPr>
              <w:t>1999</w:t>
            </w:r>
          </w:p>
        </w:tc>
        <w:tc>
          <w:tcPr>
            <w:tcW w:w="851" w:type="dxa"/>
          </w:tcPr>
          <w:p w:rsidR="00000000" w:rsidRDefault="00000000">
            <w:pPr>
              <w:jc w:val="center"/>
              <w:rPr>
                <w:sz w:val="18"/>
              </w:rPr>
            </w:pPr>
            <w:r>
              <w:rPr>
                <w:sz w:val="18"/>
              </w:rPr>
              <w:t>1996/95</w:t>
            </w:r>
          </w:p>
        </w:tc>
        <w:tc>
          <w:tcPr>
            <w:tcW w:w="850" w:type="dxa"/>
          </w:tcPr>
          <w:p w:rsidR="00000000" w:rsidRDefault="00000000">
            <w:pPr>
              <w:jc w:val="center"/>
              <w:rPr>
                <w:sz w:val="18"/>
              </w:rPr>
            </w:pPr>
            <w:r>
              <w:rPr>
                <w:sz w:val="18"/>
              </w:rPr>
              <w:t>1997/96</w:t>
            </w:r>
          </w:p>
        </w:tc>
        <w:tc>
          <w:tcPr>
            <w:tcW w:w="851" w:type="dxa"/>
          </w:tcPr>
          <w:p w:rsidR="00000000" w:rsidRDefault="00000000">
            <w:pPr>
              <w:jc w:val="center"/>
              <w:rPr>
                <w:sz w:val="18"/>
              </w:rPr>
            </w:pPr>
            <w:r>
              <w:rPr>
                <w:sz w:val="18"/>
              </w:rPr>
              <w:t>1998/97</w:t>
            </w:r>
          </w:p>
        </w:tc>
        <w:tc>
          <w:tcPr>
            <w:tcW w:w="850" w:type="dxa"/>
          </w:tcPr>
          <w:p w:rsidR="00000000" w:rsidRDefault="00000000">
            <w:pPr>
              <w:jc w:val="center"/>
              <w:rPr>
                <w:sz w:val="18"/>
              </w:rPr>
            </w:pPr>
            <w:r>
              <w:rPr>
                <w:sz w:val="18"/>
              </w:rPr>
              <w:t>1999/98</w:t>
            </w:r>
          </w:p>
        </w:tc>
      </w:tr>
      <w:tr w:rsidR="00000000">
        <w:tblPrEx>
          <w:tblCellMar>
            <w:top w:w="0" w:type="dxa"/>
            <w:bottom w:w="0" w:type="dxa"/>
          </w:tblCellMar>
        </w:tblPrEx>
        <w:tc>
          <w:tcPr>
            <w:tcW w:w="1036" w:type="dxa"/>
          </w:tcPr>
          <w:p w:rsidR="00000000" w:rsidRDefault="00000000">
            <w:pPr>
              <w:rPr>
                <w:sz w:val="18"/>
              </w:rPr>
            </w:pPr>
            <w:r>
              <w:rPr>
                <w:sz w:val="18"/>
              </w:rPr>
              <w:t>Registered workers</w:t>
            </w:r>
          </w:p>
        </w:tc>
        <w:tc>
          <w:tcPr>
            <w:tcW w:w="975" w:type="dxa"/>
          </w:tcPr>
          <w:p w:rsidR="00000000" w:rsidRDefault="00000000">
            <w:pPr>
              <w:jc w:val="right"/>
              <w:rPr>
                <w:sz w:val="18"/>
              </w:rPr>
            </w:pPr>
            <w:r>
              <w:rPr>
                <w:sz w:val="18"/>
              </w:rPr>
              <w:t>1 127 436</w:t>
            </w:r>
          </w:p>
        </w:tc>
        <w:tc>
          <w:tcPr>
            <w:tcW w:w="941" w:type="dxa"/>
          </w:tcPr>
          <w:p w:rsidR="00000000" w:rsidRDefault="00000000">
            <w:pPr>
              <w:jc w:val="right"/>
              <w:rPr>
                <w:sz w:val="18"/>
              </w:rPr>
            </w:pPr>
            <w:r>
              <w:rPr>
                <w:sz w:val="18"/>
              </w:rPr>
              <w:t>1 320 766</w:t>
            </w:r>
          </w:p>
        </w:tc>
        <w:tc>
          <w:tcPr>
            <w:tcW w:w="979" w:type="dxa"/>
          </w:tcPr>
          <w:p w:rsidR="00000000" w:rsidRDefault="00000000">
            <w:pPr>
              <w:jc w:val="right"/>
              <w:rPr>
                <w:sz w:val="18"/>
              </w:rPr>
            </w:pPr>
            <w:r>
              <w:rPr>
                <w:sz w:val="18"/>
              </w:rPr>
              <w:t>1 859 336</w:t>
            </w:r>
          </w:p>
        </w:tc>
        <w:tc>
          <w:tcPr>
            <w:tcW w:w="1030" w:type="dxa"/>
          </w:tcPr>
          <w:p w:rsidR="00000000" w:rsidRDefault="00000000">
            <w:pPr>
              <w:jc w:val="right"/>
              <w:rPr>
                <w:sz w:val="18"/>
              </w:rPr>
            </w:pPr>
            <w:r>
              <w:rPr>
                <w:sz w:val="18"/>
              </w:rPr>
              <w:t>3 124 079</w:t>
            </w:r>
          </w:p>
        </w:tc>
        <w:tc>
          <w:tcPr>
            <w:tcW w:w="992" w:type="dxa"/>
          </w:tcPr>
          <w:p w:rsidR="00000000" w:rsidRDefault="00000000">
            <w:pPr>
              <w:jc w:val="right"/>
              <w:rPr>
                <w:sz w:val="18"/>
              </w:rPr>
            </w:pPr>
            <w:r>
              <w:rPr>
                <w:sz w:val="18"/>
              </w:rPr>
              <w:t>3 763 187</w:t>
            </w:r>
          </w:p>
        </w:tc>
        <w:tc>
          <w:tcPr>
            <w:tcW w:w="851" w:type="dxa"/>
          </w:tcPr>
          <w:p w:rsidR="00000000" w:rsidRDefault="00000000">
            <w:pPr>
              <w:jc w:val="right"/>
              <w:rPr>
                <w:sz w:val="18"/>
              </w:rPr>
            </w:pPr>
            <w:r>
              <w:rPr>
                <w:sz w:val="18"/>
              </w:rPr>
              <w:t>17.14%</w:t>
            </w:r>
          </w:p>
        </w:tc>
        <w:tc>
          <w:tcPr>
            <w:tcW w:w="850" w:type="dxa"/>
          </w:tcPr>
          <w:p w:rsidR="00000000" w:rsidRDefault="00000000">
            <w:pPr>
              <w:jc w:val="right"/>
              <w:rPr>
                <w:sz w:val="18"/>
              </w:rPr>
            </w:pPr>
            <w:r>
              <w:rPr>
                <w:sz w:val="18"/>
              </w:rPr>
              <w:t>40.78%</w:t>
            </w:r>
          </w:p>
        </w:tc>
        <w:tc>
          <w:tcPr>
            <w:tcW w:w="851" w:type="dxa"/>
          </w:tcPr>
          <w:p w:rsidR="00000000" w:rsidRDefault="00000000">
            <w:pPr>
              <w:jc w:val="right"/>
              <w:rPr>
                <w:sz w:val="18"/>
              </w:rPr>
            </w:pPr>
            <w:r>
              <w:rPr>
                <w:sz w:val="18"/>
              </w:rPr>
              <w:t>68.02%</w:t>
            </w:r>
          </w:p>
        </w:tc>
        <w:tc>
          <w:tcPr>
            <w:tcW w:w="850" w:type="dxa"/>
          </w:tcPr>
          <w:p w:rsidR="00000000" w:rsidRDefault="00000000">
            <w:pPr>
              <w:jc w:val="right"/>
              <w:rPr>
                <w:sz w:val="18"/>
              </w:rPr>
            </w:pPr>
            <w:r>
              <w:rPr>
                <w:sz w:val="18"/>
              </w:rPr>
              <w:t>20.46%</w:t>
            </w:r>
          </w:p>
        </w:tc>
      </w:tr>
      <w:tr w:rsidR="00000000">
        <w:tblPrEx>
          <w:tblCellMar>
            <w:top w:w="0" w:type="dxa"/>
            <w:bottom w:w="0" w:type="dxa"/>
          </w:tblCellMar>
        </w:tblPrEx>
        <w:tc>
          <w:tcPr>
            <w:tcW w:w="1036" w:type="dxa"/>
          </w:tcPr>
          <w:p w:rsidR="00000000" w:rsidRDefault="00000000">
            <w:pPr>
              <w:rPr>
                <w:sz w:val="18"/>
              </w:rPr>
            </w:pPr>
            <w:r>
              <w:rPr>
                <w:sz w:val="18"/>
              </w:rPr>
              <w:t>Openings</w:t>
            </w:r>
          </w:p>
        </w:tc>
        <w:tc>
          <w:tcPr>
            <w:tcW w:w="975" w:type="dxa"/>
          </w:tcPr>
          <w:p w:rsidR="00000000" w:rsidRDefault="00000000">
            <w:pPr>
              <w:jc w:val="right"/>
              <w:rPr>
                <w:sz w:val="18"/>
              </w:rPr>
            </w:pPr>
            <w:r>
              <w:rPr>
                <w:sz w:val="18"/>
              </w:rPr>
              <w:t>380 714</w:t>
            </w:r>
          </w:p>
        </w:tc>
        <w:tc>
          <w:tcPr>
            <w:tcW w:w="941" w:type="dxa"/>
          </w:tcPr>
          <w:p w:rsidR="00000000" w:rsidRDefault="00000000">
            <w:pPr>
              <w:jc w:val="right"/>
              <w:rPr>
                <w:sz w:val="18"/>
              </w:rPr>
            </w:pPr>
            <w:r>
              <w:rPr>
                <w:sz w:val="18"/>
              </w:rPr>
              <w:t>385 645</w:t>
            </w:r>
          </w:p>
        </w:tc>
        <w:tc>
          <w:tcPr>
            <w:tcW w:w="979" w:type="dxa"/>
          </w:tcPr>
          <w:p w:rsidR="00000000" w:rsidRDefault="00000000">
            <w:pPr>
              <w:jc w:val="right"/>
              <w:rPr>
                <w:sz w:val="18"/>
              </w:rPr>
            </w:pPr>
            <w:r>
              <w:rPr>
                <w:sz w:val="18"/>
              </w:rPr>
              <w:t>452 166</w:t>
            </w:r>
          </w:p>
        </w:tc>
        <w:tc>
          <w:tcPr>
            <w:tcW w:w="1030" w:type="dxa"/>
          </w:tcPr>
          <w:p w:rsidR="00000000" w:rsidRDefault="00000000">
            <w:pPr>
              <w:jc w:val="right"/>
              <w:rPr>
                <w:sz w:val="18"/>
              </w:rPr>
            </w:pPr>
            <w:r>
              <w:rPr>
                <w:sz w:val="18"/>
              </w:rPr>
              <w:t>653 392</w:t>
            </w:r>
          </w:p>
        </w:tc>
        <w:tc>
          <w:tcPr>
            <w:tcW w:w="992" w:type="dxa"/>
          </w:tcPr>
          <w:p w:rsidR="00000000" w:rsidRDefault="00000000">
            <w:pPr>
              <w:jc w:val="right"/>
              <w:rPr>
                <w:sz w:val="18"/>
              </w:rPr>
            </w:pPr>
            <w:r>
              <w:rPr>
                <w:sz w:val="18"/>
              </w:rPr>
              <w:t>1 043 771</w:t>
            </w:r>
          </w:p>
        </w:tc>
        <w:tc>
          <w:tcPr>
            <w:tcW w:w="851" w:type="dxa"/>
          </w:tcPr>
          <w:p w:rsidR="00000000" w:rsidRDefault="00000000">
            <w:pPr>
              <w:jc w:val="right"/>
              <w:rPr>
                <w:sz w:val="18"/>
              </w:rPr>
            </w:pPr>
            <w:r>
              <w:rPr>
                <w:sz w:val="18"/>
              </w:rPr>
              <w:t>1.29%</w:t>
            </w:r>
          </w:p>
        </w:tc>
        <w:tc>
          <w:tcPr>
            <w:tcW w:w="850" w:type="dxa"/>
          </w:tcPr>
          <w:p w:rsidR="00000000" w:rsidRDefault="00000000">
            <w:pPr>
              <w:jc w:val="right"/>
              <w:rPr>
                <w:sz w:val="18"/>
              </w:rPr>
            </w:pPr>
            <w:r>
              <w:rPr>
                <w:sz w:val="18"/>
              </w:rPr>
              <w:t>17.25%</w:t>
            </w:r>
          </w:p>
        </w:tc>
        <w:tc>
          <w:tcPr>
            <w:tcW w:w="851" w:type="dxa"/>
          </w:tcPr>
          <w:p w:rsidR="00000000" w:rsidRDefault="00000000">
            <w:pPr>
              <w:jc w:val="right"/>
              <w:rPr>
                <w:sz w:val="18"/>
              </w:rPr>
            </w:pPr>
            <w:r>
              <w:rPr>
                <w:sz w:val="18"/>
              </w:rPr>
              <w:t>44.50%</w:t>
            </w:r>
          </w:p>
        </w:tc>
        <w:tc>
          <w:tcPr>
            <w:tcW w:w="850" w:type="dxa"/>
          </w:tcPr>
          <w:p w:rsidR="00000000" w:rsidRDefault="00000000">
            <w:pPr>
              <w:jc w:val="right"/>
              <w:rPr>
                <w:sz w:val="18"/>
              </w:rPr>
            </w:pPr>
            <w:r>
              <w:rPr>
                <w:sz w:val="18"/>
              </w:rPr>
              <w:t>59.75%</w:t>
            </w:r>
          </w:p>
        </w:tc>
      </w:tr>
      <w:tr w:rsidR="00000000">
        <w:tblPrEx>
          <w:tblCellMar>
            <w:top w:w="0" w:type="dxa"/>
            <w:bottom w:w="0" w:type="dxa"/>
          </w:tblCellMar>
        </w:tblPrEx>
        <w:tc>
          <w:tcPr>
            <w:tcW w:w="1036" w:type="dxa"/>
          </w:tcPr>
          <w:p w:rsidR="00000000" w:rsidRDefault="00000000">
            <w:pPr>
              <w:rPr>
                <w:sz w:val="18"/>
              </w:rPr>
            </w:pPr>
            <w:r>
              <w:rPr>
                <w:sz w:val="18"/>
              </w:rPr>
              <w:t>Referrals</w:t>
            </w:r>
          </w:p>
        </w:tc>
        <w:tc>
          <w:tcPr>
            <w:tcW w:w="975" w:type="dxa"/>
          </w:tcPr>
          <w:p w:rsidR="00000000" w:rsidRDefault="00000000">
            <w:pPr>
              <w:jc w:val="right"/>
              <w:rPr>
                <w:sz w:val="18"/>
              </w:rPr>
            </w:pPr>
            <w:r>
              <w:rPr>
                <w:sz w:val="18"/>
              </w:rPr>
              <w:t>638 623</w:t>
            </w:r>
          </w:p>
        </w:tc>
        <w:tc>
          <w:tcPr>
            <w:tcW w:w="941" w:type="dxa"/>
          </w:tcPr>
          <w:p w:rsidR="00000000" w:rsidRDefault="00000000">
            <w:pPr>
              <w:jc w:val="right"/>
              <w:rPr>
                <w:sz w:val="18"/>
              </w:rPr>
            </w:pPr>
            <w:r>
              <w:rPr>
                <w:sz w:val="18"/>
              </w:rPr>
              <w:t>635 878</w:t>
            </w:r>
          </w:p>
        </w:tc>
        <w:tc>
          <w:tcPr>
            <w:tcW w:w="979" w:type="dxa"/>
          </w:tcPr>
          <w:p w:rsidR="00000000" w:rsidRDefault="00000000">
            <w:pPr>
              <w:jc w:val="right"/>
              <w:rPr>
                <w:sz w:val="18"/>
              </w:rPr>
            </w:pPr>
            <w:r>
              <w:rPr>
                <w:sz w:val="18"/>
              </w:rPr>
              <w:t>774 151</w:t>
            </w:r>
          </w:p>
        </w:tc>
        <w:tc>
          <w:tcPr>
            <w:tcW w:w="1030" w:type="dxa"/>
          </w:tcPr>
          <w:p w:rsidR="00000000" w:rsidRDefault="00000000">
            <w:pPr>
              <w:jc w:val="right"/>
              <w:rPr>
                <w:sz w:val="18"/>
              </w:rPr>
            </w:pPr>
            <w:r>
              <w:rPr>
                <w:sz w:val="18"/>
              </w:rPr>
              <w:t>1 074 931</w:t>
            </w:r>
          </w:p>
        </w:tc>
        <w:tc>
          <w:tcPr>
            <w:tcW w:w="992" w:type="dxa"/>
          </w:tcPr>
          <w:p w:rsidR="00000000" w:rsidRDefault="00000000">
            <w:pPr>
              <w:jc w:val="right"/>
              <w:rPr>
                <w:sz w:val="18"/>
              </w:rPr>
            </w:pPr>
            <w:r>
              <w:rPr>
                <w:sz w:val="18"/>
              </w:rPr>
              <w:t>1 665 778</w:t>
            </w:r>
          </w:p>
        </w:tc>
        <w:tc>
          <w:tcPr>
            <w:tcW w:w="851" w:type="dxa"/>
          </w:tcPr>
          <w:p w:rsidR="00000000" w:rsidRDefault="00000000">
            <w:pPr>
              <w:jc w:val="right"/>
              <w:rPr>
                <w:sz w:val="18"/>
              </w:rPr>
            </w:pPr>
            <w:r>
              <w:rPr>
                <w:sz w:val="18"/>
              </w:rPr>
              <w:noBreakHyphen/>
              <w:t>0.42%</w:t>
            </w:r>
          </w:p>
        </w:tc>
        <w:tc>
          <w:tcPr>
            <w:tcW w:w="850" w:type="dxa"/>
          </w:tcPr>
          <w:p w:rsidR="00000000" w:rsidRDefault="00000000">
            <w:pPr>
              <w:jc w:val="right"/>
              <w:rPr>
                <w:sz w:val="18"/>
              </w:rPr>
            </w:pPr>
            <w:r>
              <w:rPr>
                <w:sz w:val="18"/>
              </w:rPr>
              <w:t>21.75%</w:t>
            </w:r>
          </w:p>
        </w:tc>
        <w:tc>
          <w:tcPr>
            <w:tcW w:w="851" w:type="dxa"/>
          </w:tcPr>
          <w:p w:rsidR="00000000" w:rsidRDefault="00000000">
            <w:pPr>
              <w:jc w:val="right"/>
              <w:rPr>
                <w:sz w:val="18"/>
              </w:rPr>
            </w:pPr>
            <w:r>
              <w:rPr>
                <w:sz w:val="18"/>
              </w:rPr>
              <w:t>38.85%</w:t>
            </w:r>
          </w:p>
        </w:tc>
        <w:tc>
          <w:tcPr>
            <w:tcW w:w="850" w:type="dxa"/>
          </w:tcPr>
          <w:p w:rsidR="00000000" w:rsidRDefault="00000000">
            <w:pPr>
              <w:jc w:val="right"/>
              <w:rPr>
                <w:sz w:val="18"/>
              </w:rPr>
            </w:pPr>
            <w:r>
              <w:rPr>
                <w:sz w:val="18"/>
              </w:rPr>
              <w:t>54.97%</w:t>
            </w:r>
          </w:p>
        </w:tc>
      </w:tr>
      <w:tr w:rsidR="00000000">
        <w:tblPrEx>
          <w:tblCellMar>
            <w:top w:w="0" w:type="dxa"/>
            <w:bottom w:w="0" w:type="dxa"/>
          </w:tblCellMar>
        </w:tblPrEx>
        <w:tc>
          <w:tcPr>
            <w:tcW w:w="1036" w:type="dxa"/>
          </w:tcPr>
          <w:p w:rsidR="00000000" w:rsidRDefault="00000000">
            <w:pPr>
              <w:rPr>
                <w:sz w:val="18"/>
              </w:rPr>
            </w:pPr>
            <w:r>
              <w:rPr>
                <w:sz w:val="18"/>
              </w:rPr>
              <w:t>Job placements</w:t>
            </w:r>
          </w:p>
        </w:tc>
        <w:tc>
          <w:tcPr>
            <w:tcW w:w="975" w:type="dxa"/>
          </w:tcPr>
          <w:p w:rsidR="00000000" w:rsidRDefault="00000000">
            <w:pPr>
              <w:jc w:val="right"/>
              <w:rPr>
                <w:sz w:val="18"/>
              </w:rPr>
            </w:pPr>
            <w:r>
              <w:rPr>
                <w:sz w:val="18"/>
              </w:rPr>
              <w:t>149 399</w:t>
            </w:r>
          </w:p>
        </w:tc>
        <w:tc>
          <w:tcPr>
            <w:tcW w:w="941" w:type="dxa"/>
          </w:tcPr>
          <w:p w:rsidR="00000000" w:rsidRDefault="00000000">
            <w:pPr>
              <w:jc w:val="right"/>
              <w:rPr>
                <w:sz w:val="18"/>
              </w:rPr>
            </w:pPr>
            <w:r>
              <w:rPr>
                <w:sz w:val="18"/>
              </w:rPr>
              <w:t>154 958</w:t>
            </w:r>
          </w:p>
        </w:tc>
        <w:tc>
          <w:tcPr>
            <w:tcW w:w="979" w:type="dxa"/>
          </w:tcPr>
          <w:p w:rsidR="00000000" w:rsidRDefault="00000000">
            <w:pPr>
              <w:jc w:val="right"/>
              <w:rPr>
                <w:sz w:val="18"/>
              </w:rPr>
            </w:pPr>
            <w:r>
              <w:rPr>
                <w:sz w:val="18"/>
              </w:rPr>
              <w:t>210 060</w:t>
            </w:r>
          </w:p>
        </w:tc>
        <w:tc>
          <w:tcPr>
            <w:tcW w:w="1030" w:type="dxa"/>
          </w:tcPr>
          <w:p w:rsidR="00000000" w:rsidRDefault="00000000">
            <w:pPr>
              <w:jc w:val="right"/>
              <w:rPr>
                <w:sz w:val="18"/>
              </w:rPr>
            </w:pPr>
            <w:r>
              <w:rPr>
                <w:sz w:val="18"/>
              </w:rPr>
              <w:t>287 580</w:t>
            </w:r>
          </w:p>
        </w:tc>
        <w:tc>
          <w:tcPr>
            <w:tcW w:w="992" w:type="dxa"/>
          </w:tcPr>
          <w:p w:rsidR="00000000" w:rsidRDefault="00000000">
            <w:pPr>
              <w:jc w:val="right"/>
              <w:rPr>
                <w:sz w:val="18"/>
              </w:rPr>
            </w:pPr>
            <w:r>
              <w:rPr>
                <w:sz w:val="18"/>
              </w:rPr>
              <w:t>422 498</w:t>
            </w:r>
          </w:p>
        </w:tc>
        <w:tc>
          <w:tcPr>
            <w:tcW w:w="851" w:type="dxa"/>
          </w:tcPr>
          <w:p w:rsidR="00000000" w:rsidRDefault="00000000">
            <w:pPr>
              <w:jc w:val="right"/>
              <w:rPr>
                <w:sz w:val="18"/>
              </w:rPr>
            </w:pPr>
            <w:r>
              <w:rPr>
                <w:sz w:val="18"/>
              </w:rPr>
              <w:t>3.72%</w:t>
            </w:r>
          </w:p>
        </w:tc>
        <w:tc>
          <w:tcPr>
            <w:tcW w:w="850" w:type="dxa"/>
          </w:tcPr>
          <w:p w:rsidR="00000000" w:rsidRDefault="00000000">
            <w:pPr>
              <w:jc w:val="right"/>
              <w:rPr>
                <w:sz w:val="18"/>
              </w:rPr>
            </w:pPr>
            <w:r>
              <w:rPr>
                <w:sz w:val="18"/>
              </w:rPr>
              <w:t>35.56%</w:t>
            </w:r>
          </w:p>
        </w:tc>
        <w:tc>
          <w:tcPr>
            <w:tcW w:w="851" w:type="dxa"/>
          </w:tcPr>
          <w:p w:rsidR="00000000" w:rsidRDefault="00000000">
            <w:pPr>
              <w:jc w:val="right"/>
              <w:rPr>
                <w:sz w:val="18"/>
              </w:rPr>
            </w:pPr>
            <w:r>
              <w:rPr>
                <w:sz w:val="18"/>
              </w:rPr>
              <w:t>36.90%</w:t>
            </w:r>
          </w:p>
        </w:tc>
        <w:tc>
          <w:tcPr>
            <w:tcW w:w="850" w:type="dxa"/>
          </w:tcPr>
          <w:p w:rsidR="00000000" w:rsidRDefault="00000000">
            <w:pPr>
              <w:jc w:val="right"/>
              <w:rPr>
                <w:sz w:val="18"/>
              </w:rPr>
            </w:pPr>
            <w:r>
              <w:rPr>
                <w:sz w:val="18"/>
              </w:rPr>
              <w:t>46.98%</w:t>
            </w:r>
          </w:p>
        </w:tc>
      </w:tr>
    </w:tbl>
    <w:p w:rsidR="00000000" w:rsidRDefault="00000000">
      <w:pPr>
        <w:ind w:left="720"/>
        <w:rPr>
          <w:u w:val="single"/>
        </w:rPr>
      </w:pPr>
    </w:p>
    <w:p w:rsidR="00000000" w:rsidRDefault="00000000">
      <w:pPr>
        <w:ind w:left="720"/>
      </w:pPr>
      <w:r>
        <w:rPr>
          <w:u w:val="single"/>
        </w:rPr>
        <w:t>Source</w:t>
      </w:r>
      <w:r>
        <w:t>:  CSINE/CGEM/DES/SPPE/MTE.</w:t>
      </w:r>
    </w:p>
    <w:p w:rsidR="00000000" w:rsidRDefault="00000000"/>
    <w:p w:rsidR="00000000" w:rsidRDefault="00000000">
      <w:pPr>
        <w:pStyle w:val="ParaNo"/>
        <w:tabs>
          <w:tab w:val="clear" w:pos="360"/>
          <w:tab w:val="clear" w:pos="737"/>
        </w:tabs>
        <w:ind w:left="0" w:firstLine="0"/>
        <w:rPr>
          <w:lang w:val="en-GB"/>
        </w:rPr>
      </w:pPr>
      <w:r>
        <w:rPr>
          <w:lang w:val="en-GB"/>
        </w:rPr>
        <w:t>The second basic pillar for government labour policies involves the Employment and Income Generation Programmes, which focus primarily on micro</w:t>
      </w:r>
      <w:r>
        <w:rPr>
          <w:lang w:val="en-GB"/>
        </w:rPr>
        <w:noBreakHyphen/>
        <w:t xml:space="preserve"> and small businesses, cooperatives and the informal sector of the economy.  Credit lines and training programmes are </w:t>
      </w:r>
    </w:p>
    <w:p w:rsidR="00000000" w:rsidRDefault="00000000">
      <w:r>
        <w:t>matched to produce jobs and income.  The programmes involved in this effort are called PROGER (Job Creation and Income Generation Programme), Rural PROGER and PRONAF (National Programme to Strengthen Family Farming).</w:t>
      </w:r>
    </w:p>
    <w:p w:rsidR="00000000" w:rsidRDefault="00000000"/>
    <w:p w:rsidR="00000000" w:rsidRDefault="00000000">
      <w:pPr>
        <w:pStyle w:val="ParaNo"/>
        <w:tabs>
          <w:tab w:val="clear" w:pos="360"/>
          <w:tab w:val="clear" w:pos="737"/>
        </w:tabs>
        <w:ind w:left="0" w:firstLine="0"/>
        <w:rPr>
          <w:lang w:val="en-GB"/>
        </w:rPr>
      </w:pPr>
      <w:r>
        <w:rPr>
          <w:lang w:val="en-GB"/>
        </w:rPr>
        <w:t>Created in 1995, PROGER has become one of the stronger tools available to Government and society when extending credit lines to small and very small businessmen and women in urban and rural areas, as well as their associations and self</w:t>
      </w:r>
      <w:r>
        <w:rPr>
          <w:lang w:val="en-GB"/>
        </w:rPr>
        <w:noBreakHyphen/>
        <w:t>employed workers.  The programme has also helped promote family farming in partnership with the Ministry for Agrarian Development by providing funds through PRONAF.  From mid</w:t>
      </w:r>
      <w:r>
        <w:rPr>
          <w:lang w:val="en-GB"/>
        </w:rPr>
        <w:noBreakHyphen/>
        <w:t>1995 until December 1999, PROGER signed contracts for 2.07 million credit operations, spending a total of Cr$ 9,560,000,000 (equivalent to approximately US$ 8,020,000,000).  The average contract was worth Cr$ 4.605 (approximately US$ 3.860).</w:t>
      </w:r>
    </w:p>
    <w:p w:rsidR="00000000" w:rsidRDefault="00000000"/>
    <w:p w:rsidR="00000000" w:rsidRDefault="00000000">
      <w:pPr>
        <w:pStyle w:val="ParaNo"/>
        <w:tabs>
          <w:tab w:val="clear" w:pos="360"/>
          <w:tab w:val="clear" w:pos="737"/>
        </w:tabs>
        <w:ind w:left="0" w:firstLine="0"/>
        <w:rPr>
          <w:lang w:val="en-GB"/>
        </w:rPr>
      </w:pPr>
      <w:r>
        <w:rPr>
          <w:lang w:val="en-GB"/>
        </w:rPr>
        <w:t>It is estimated that PROGER created or saved approximately 3.5 million jobs between 1995 and 1999, whereas PRONAF created or saved approximately 8.3 million jobs during the same period.  This information is drawn from an evaluation carried out by the Brazilian Institute for Social and Economic Analyses (IBASE).</w:t>
      </w:r>
    </w:p>
    <w:p w:rsidR="00000000" w:rsidRDefault="00000000"/>
    <w:p w:rsidR="00000000" w:rsidRDefault="00000000">
      <w:pPr>
        <w:pStyle w:val="ParaNo"/>
        <w:tabs>
          <w:tab w:val="clear" w:pos="360"/>
          <w:tab w:val="clear" w:pos="737"/>
        </w:tabs>
        <w:ind w:left="0" w:firstLine="0"/>
        <w:rPr>
          <w:lang w:val="en-GB"/>
        </w:rPr>
      </w:pPr>
      <w:r>
        <w:rPr>
          <w:lang w:val="en-GB"/>
        </w:rPr>
        <w:t>In addition to the programmes that target small and very small businessmen and women, it is worth mentioning two additional programmes.  These are the Programme to Foster Jobs and Improve the Quality of Life of Workers (PROEMPREGO) and the Programme to Expand Job Opportunities and Improve the Life of the Worker (PROTRABALHO).  These two programmes focus on strategic sectors that are fundamental to sustained development and the improvement of the quality of life for workers (such as mass transportation, infrastructure for tourism, and infrastructure works designed to increase Brazil’s competitiveness).</w:t>
      </w:r>
    </w:p>
    <w:p w:rsidR="00000000" w:rsidRDefault="00000000"/>
    <w:p w:rsidR="00000000" w:rsidRDefault="00000000">
      <w:pPr>
        <w:pStyle w:val="ParaNo"/>
        <w:tabs>
          <w:tab w:val="clear" w:pos="360"/>
          <w:tab w:val="clear" w:pos="737"/>
        </w:tabs>
        <w:ind w:left="0" w:firstLine="0"/>
        <w:rPr>
          <w:lang w:val="en-GB"/>
        </w:rPr>
      </w:pPr>
      <w:r>
        <w:rPr>
          <w:lang w:val="en-GB"/>
        </w:rPr>
        <w:t>PROEMPREGO was created by the Deliberative Council of the Worker Protection Fund (CODEFAT).  Its purpose is to create new jobs, enhance income for workers, provide better quality of life for the population at large (particularly low</w:t>
      </w:r>
      <w:r>
        <w:rPr>
          <w:lang w:val="en-GB"/>
        </w:rPr>
        <w:noBreakHyphen/>
        <w:t>income groups) and reduce production costs vis</w:t>
      </w:r>
      <w:r>
        <w:rPr>
          <w:lang w:val="en-GB"/>
        </w:rPr>
        <w:noBreakHyphen/>
        <w:t>à</w:t>
      </w:r>
      <w:r>
        <w:rPr>
          <w:lang w:val="en-GB"/>
        </w:rPr>
        <w:noBreakHyphen/>
        <w:t>vis international standards.  At the same time the programme strives to preserve and expand job opportunities while guaranteeing a proper balance in terms of the environment.  The financial arm of the Programme is handled by the Brazilian Economic and Social Development Bank (BNDES), Brazil’s national development bank, which provides funding to the Fund to Support Workers (FAT) to be used in making investments in the following subsectors:  mass transportation, infrastructure to improve competitiveness, environmental sanitation, infrastructure for tourism and revitalization of industrial subsectors.  Since it was created in 1996, PROEMPREGO has invested more than Cr$ 5 billion.</w:t>
      </w:r>
    </w:p>
    <w:p w:rsidR="00000000" w:rsidRDefault="00000000"/>
    <w:p w:rsidR="00000000" w:rsidRDefault="00000000">
      <w:pPr>
        <w:pStyle w:val="ParaNo"/>
        <w:tabs>
          <w:tab w:val="clear" w:pos="360"/>
          <w:tab w:val="clear" w:pos="737"/>
        </w:tabs>
        <w:ind w:left="0" w:firstLine="0"/>
        <w:rPr>
          <w:lang w:val="en-GB"/>
        </w:rPr>
      </w:pPr>
      <w:r>
        <w:rPr>
          <w:lang w:val="en-GB"/>
        </w:rPr>
        <w:t>PROTRABALHO was also created by CODEFAT.  PROTRABALHO was designed to provide investments in economic and social infrastructure projects in the north</w:t>
      </w:r>
      <w:r>
        <w:rPr>
          <w:lang w:val="en-GB"/>
        </w:rPr>
        <w:noBreakHyphen/>
        <w:t xml:space="preserve">eastern region of Brazil and in the northern part of the State of Minas Gerais.  The idea is to increase the number </w:t>
      </w:r>
    </w:p>
    <w:p w:rsidR="00000000" w:rsidRDefault="00000000">
      <w:r>
        <w:br w:type="page"/>
        <w:t xml:space="preserve">of direct and indirect jobs, to enhance the competitiveness of the production sector, to finance sectors that are strategic to regional development and to improve the quality of life of workers.  </w:t>
      </w:r>
    </w:p>
    <w:p w:rsidR="00000000" w:rsidRDefault="00000000">
      <w:r>
        <w:t>The principle subprogrammes under PROTRABALHO are projects that focus on integrated development hubs, basic sanitation, garbage recycling and tourism.  By the end of 1999 PROTRABALHO had handled approximately Cr$ 500 million.</w:t>
      </w:r>
    </w:p>
    <w:p w:rsidR="00000000" w:rsidRDefault="00000000"/>
    <w:p w:rsidR="00000000" w:rsidRDefault="00000000">
      <w:pPr>
        <w:pStyle w:val="ParaNo"/>
        <w:tabs>
          <w:tab w:val="clear" w:pos="360"/>
          <w:tab w:val="clear" w:pos="737"/>
        </w:tabs>
        <w:rPr>
          <w:kern w:val="20"/>
          <w:lang w:val="en-GB"/>
        </w:rPr>
      </w:pPr>
      <w:r>
        <w:rPr>
          <w:kern w:val="20"/>
          <w:lang w:val="en-GB"/>
        </w:rPr>
        <w:t>Finally, there is the Programme of Credit Lines for Grass</w:t>
      </w:r>
      <w:r>
        <w:rPr>
          <w:kern w:val="20"/>
          <w:lang w:val="en-GB"/>
        </w:rPr>
        <w:noBreakHyphen/>
        <w:t>Roots Production, which seeks to do three things:  first, to guarantee the feasibility of new funding mechanisms to be used in generating jobs and income to meet the needs of low</w:t>
      </w:r>
      <w:r>
        <w:rPr>
          <w:kern w:val="20"/>
          <w:lang w:val="en-GB"/>
        </w:rPr>
        <w:noBreakHyphen/>
        <w:t>income groups, while also allowing workers in the informal sector, among others, to access such credit.  The monies may be used for the purpose of self</w:t>
      </w:r>
      <w:r>
        <w:rPr>
          <w:kern w:val="20"/>
          <w:lang w:val="en-GB"/>
        </w:rPr>
        <w:noBreakHyphen/>
        <w:t>employment or to form labour cooperatives that allow such people to survive, grow and eventually legalize their businesses; second, to create investment alternatives to generate jobs, particularly among very small businesses; third, to increase the productivity of the undertakings covered by the Programme by providing incentives to fixed investments in association with management training for the entrepreneurs.  Such efforts will minimize business risks and allow these very small businesses to grow, while encouraging them to legalize their operations.  Between 1996 and March 2000, the Programme had handled a portfolio of over Cr$ 60 million, comprising past and ongoing transactions as well as those still under analysis.</w:t>
      </w:r>
    </w:p>
    <w:p w:rsidR="00000000" w:rsidRDefault="00000000">
      <w:pPr>
        <w:rPr>
          <w:kern w:val="20"/>
        </w:rPr>
      </w:pPr>
    </w:p>
    <w:p w:rsidR="00000000" w:rsidRDefault="00000000">
      <w:pPr>
        <w:pStyle w:val="ParaNo"/>
        <w:tabs>
          <w:tab w:val="clear" w:pos="360"/>
          <w:tab w:val="clear" w:pos="737"/>
        </w:tabs>
        <w:rPr>
          <w:kern w:val="20"/>
          <w:lang w:val="en-GB"/>
        </w:rPr>
      </w:pPr>
      <w:r>
        <w:rPr>
          <w:kern w:val="20"/>
          <w:lang w:val="en-GB"/>
        </w:rPr>
        <w:t>The third basic pillar involves institutions whose activities range from labour market functions to activities leading to more mature labour relations.  The degree and the nature of market regulation can ease or constrain the capacity of the job market to respond to economic growth; it can attenuate or aggravate conflicts between management and labour.  Therefore, another set of federal government programmes targets the need to reform labour relations in Brazil.  Such a change is required to ensure that labour relations will adjust to new standards of negotiation between management and labour that will be more fully in line with the current social, political and economic dynamic in Brazil.  Institutions involved in the labour market must adapt their operations, as must labour legislation, to the requirements of an open and competitive economy.  This would ease the transition to a system of negotiations that would be nimble, flexible and democratic as opposed to the current system, which is characterized by being rules</w:t>
      </w:r>
      <w:r>
        <w:rPr>
          <w:kern w:val="20"/>
          <w:lang w:val="en-GB"/>
        </w:rPr>
        <w:noBreakHyphen/>
        <w:t>based, rigid and authoritarian.</w:t>
      </w:r>
    </w:p>
    <w:p w:rsidR="00000000" w:rsidRDefault="00000000">
      <w:pPr>
        <w:rPr>
          <w:kern w:val="20"/>
        </w:rPr>
      </w:pPr>
    </w:p>
    <w:p w:rsidR="00000000" w:rsidRDefault="00000000">
      <w:pPr>
        <w:pStyle w:val="ParaNo"/>
        <w:tabs>
          <w:tab w:val="clear" w:pos="360"/>
          <w:tab w:val="clear" w:pos="737"/>
        </w:tabs>
        <w:rPr>
          <w:kern w:val="20"/>
          <w:lang w:val="en-GB"/>
        </w:rPr>
      </w:pPr>
      <w:r>
        <w:rPr>
          <w:kern w:val="20"/>
          <w:lang w:val="en-GB"/>
        </w:rPr>
        <w:t>Efforts to modernize labour relations in Brazil advocate the free convergence of interests as the proper way in which to settle disputes, instead of denying interests or shifting the responsibility for handling such problems to the State.  The idea, therefore, is to create a democratic system that will seek solutions to labour issues by following a path of understanding with a view to allowing players to settle their own issues.</w:t>
      </w:r>
    </w:p>
    <w:p w:rsidR="00000000" w:rsidRDefault="00000000">
      <w:pPr>
        <w:rPr>
          <w:kern w:val="20"/>
        </w:rPr>
      </w:pPr>
    </w:p>
    <w:p w:rsidR="00000000" w:rsidRDefault="00000000">
      <w:pPr>
        <w:pStyle w:val="ParaNo"/>
        <w:tabs>
          <w:tab w:val="clear" w:pos="360"/>
          <w:tab w:val="clear" w:pos="737"/>
        </w:tabs>
        <w:rPr>
          <w:kern w:val="20"/>
          <w:lang w:val="en-GB"/>
        </w:rPr>
      </w:pPr>
      <w:r>
        <w:rPr>
          <w:kern w:val="20"/>
          <w:lang w:val="en-GB"/>
        </w:rPr>
        <w:t>The new framework of labour relations vis</w:t>
      </w:r>
      <w:r>
        <w:rPr>
          <w:kern w:val="20"/>
          <w:lang w:val="en-GB"/>
        </w:rPr>
        <w:noBreakHyphen/>
        <w:t>à</w:t>
      </w:r>
      <w:r>
        <w:rPr>
          <w:kern w:val="20"/>
          <w:lang w:val="en-GB"/>
        </w:rPr>
        <w:noBreakHyphen/>
        <w:t>vis employment policies will play an important role in providing workers with greater decision</w:t>
      </w:r>
      <w:r>
        <w:rPr>
          <w:kern w:val="20"/>
          <w:lang w:val="en-GB"/>
        </w:rPr>
        <w:noBreakHyphen/>
        <w:t>making power in the workplace.  More room for negotiation generates greater flexibility regarding the job, thus avoiding situations where lay</w:t>
      </w:r>
      <w:r>
        <w:rPr>
          <w:kern w:val="20"/>
          <w:lang w:val="en-GB"/>
        </w:rPr>
        <w:noBreakHyphen/>
        <w:t>offs would be the inevitable result of an economic adjustment process at the company level.</w:t>
      </w:r>
    </w:p>
    <w:p w:rsidR="00000000" w:rsidRDefault="00000000">
      <w:pPr>
        <w:rPr>
          <w:kern w:val="20"/>
        </w:rPr>
      </w:pPr>
    </w:p>
    <w:p w:rsidR="00000000" w:rsidRDefault="00000000">
      <w:pPr>
        <w:pStyle w:val="ParaNo"/>
        <w:tabs>
          <w:tab w:val="clear" w:pos="360"/>
          <w:tab w:val="clear" w:pos="737"/>
        </w:tabs>
        <w:rPr>
          <w:kern w:val="20"/>
          <w:lang w:val="en-GB"/>
        </w:rPr>
      </w:pPr>
      <w:r>
        <w:rPr>
          <w:kern w:val="20"/>
          <w:lang w:val="en-GB"/>
        </w:rPr>
        <w:br w:type="page"/>
        <w:t>In order to attain these objectives the Federal Government has defined a set of reforms, notably, alterations in the 1988 Constitution and in the Consolidated Labour Laws (known as the CLT).  The idea is to strengthen the hand of trade unions, adopt labour union plurality as a way to make worker representation more democratic, eliminate compulsory union dues and change the pace and nature of the transition.  The result should be a system that will be less rule</w:t>
      </w:r>
      <w:r>
        <w:rPr>
          <w:kern w:val="20"/>
          <w:lang w:val="en-GB"/>
        </w:rPr>
        <w:noBreakHyphen/>
        <w:t>based and more apt to involve negotiations.</w:t>
      </w:r>
    </w:p>
    <w:p w:rsidR="00000000" w:rsidRDefault="00000000">
      <w:pPr>
        <w:rPr>
          <w:kern w:val="20"/>
        </w:rPr>
      </w:pPr>
    </w:p>
    <w:p w:rsidR="00000000" w:rsidRDefault="00000000">
      <w:pPr>
        <w:pStyle w:val="Heading3"/>
        <w:rPr>
          <w:kern w:val="20"/>
        </w:rPr>
      </w:pPr>
      <w:r>
        <w:rPr>
          <w:kern w:val="20"/>
        </w:rPr>
        <w:t>Encouraging productivity</w:t>
      </w:r>
    </w:p>
    <w:p w:rsidR="00000000" w:rsidRDefault="00000000"/>
    <w:p w:rsidR="00000000" w:rsidRDefault="00000000">
      <w:pPr>
        <w:pStyle w:val="ParaNo"/>
        <w:tabs>
          <w:tab w:val="clear" w:pos="360"/>
          <w:tab w:val="clear" w:pos="737"/>
        </w:tabs>
        <w:rPr>
          <w:kern w:val="20"/>
          <w:lang w:val="en-GB"/>
        </w:rPr>
      </w:pPr>
      <w:r>
        <w:rPr>
          <w:kern w:val="20"/>
          <w:lang w:val="en-GB"/>
        </w:rPr>
        <w:t>The Brazilian Government’s policy for the labour market is designed primarily to increase the number of jobs; however it also seeks to increase productivity.  The intermediation system is a tool designed to fight the unemployment that results from the very slow information flows regarding the supply and demand of jobs.  This programme seeks to increase the allocative efficiency of labour vis</w:t>
      </w:r>
      <w:r>
        <w:rPr>
          <w:kern w:val="20"/>
          <w:lang w:val="en-GB"/>
        </w:rPr>
        <w:noBreakHyphen/>
        <w:t>à</w:t>
      </w:r>
      <w:r>
        <w:rPr>
          <w:kern w:val="20"/>
          <w:lang w:val="en-GB"/>
        </w:rPr>
        <w:noBreakHyphen/>
        <w:t>vis real and potential demand, which evidently will lead to gains in the form of increased productivity in the workplace.</w:t>
      </w:r>
      <w:r>
        <w:rPr>
          <w:kern w:val="20"/>
          <w:lang w:val="en-GB"/>
        </w:rPr>
        <w:cr/>
      </w:r>
    </w:p>
    <w:p w:rsidR="00000000" w:rsidRDefault="00000000">
      <w:pPr>
        <w:pStyle w:val="ParaNo"/>
        <w:tabs>
          <w:tab w:val="clear" w:pos="360"/>
          <w:tab w:val="clear" w:pos="737"/>
        </w:tabs>
        <w:rPr>
          <w:kern w:val="20"/>
          <w:lang w:val="en-GB"/>
        </w:rPr>
      </w:pPr>
      <w:r>
        <w:rPr>
          <w:kern w:val="20"/>
          <w:lang w:val="en-GB"/>
        </w:rPr>
        <w:t>Another institution that is contributing in a decisive way to increase productivity is the professional qualifications training system.</w:t>
      </w:r>
    </w:p>
    <w:p w:rsidR="00000000" w:rsidRDefault="00000000">
      <w:pPr>
        <w:rPr>
          <w:kern w:val="20"/>
        </w:rPr>
      </w:pPr>
    </w:p>
    <w:p w:rsidR="00000000" w:rsidRDefault="00000000">
      <w:pPr>
        <w:pStyle w:val="ParaNo"/>
        <w:tabs>
          <w:tab w:val="clear" w:pos="360"/>
          <w:tab w:val="clear" w:pos="737"/>
        </w:tabs>
        <w:rPr>
          <w:kern w:val="20"/>
          <w:lang w:val="en-GB"/>
        </w:rPr>
      </w:pPr>
      <w:r>
        <w:rPr>
          <w:kern w:val="20"/>
          <w:lang w:val="en-GB"/>
        </w:rPr>
        <w:t>Credit programmes targeting job creation are, in part, implicitly designed to transform the actual working conditions in Brazil, which translates into obvious results in terms of increased productivity in the workplace.  PROEMPREGO, for example, was created by a law which states that the Programme is “... designed for investments in mass transportation; environmental sanitation; infrastructure for tourism; works of infrastructure targeting improved competitiveness in Brazil; and revitalization of industrial subsectors in regions suffering from unemployment”.  In addition to the direct objective of job creation, employment policies that use credit lines are also designed to be a tool to improve industrial policy, infrastructure policy, and regional policies.</w:t>
      </w:r>
    </w:p>
    <w:p w:rsidR="00000000" w:rsidRDefault="00000000">
      <w:pPr>
        <w:rPr>
          <w:kern w:val="20"/>
        </w:rPr>
      </w:pPr>
    </w:p>
    <w:p w:rsidR="00000000" w:rsidRDefault="00000000">
      <w:pPr>
        <w:pStyle w:val="ParaNo"/>
        <w:tabs>
          <w:tab w:val="clear" w:pos="360"/>
          <w:tab w:val="clear" w:pos="737"/>
        </w:tabs>
        <w:rPr>
          <w:kern w:val="20"/>
          <w:lang w:val="en-GB"/>
        </w:rPr>
      </w:pPr>
      <w:r>
        <w:rPr>
          <w:kern w:val="20"/>
          <w:lang w:val="en-GB"/>
        </w:rPr>
        <w:t>Similarly, the Government’s economic policy, designed primarily to achieve macroeconomic stability, also enhanced the productivity of labour (see chart 7).  Some people believe that the increase in productivity in turn led to a reduction in the creation of new jobs.  As far as the Brazilian Government is concerned, restructuring production is imperative if the Brazilian economy is to increase its competitiveness.  Competitiveness will also depend on more years of schooling and better professional qualifications among the labour force at large.  These measures will, in turn, create new jobs and income opportunities for Brazilians, the ultimate objective of economic growth.</w:t>
      </w:r>
    </w:p>
    <w:p w:rsidR="00000000" w:rsidRDefault="00000000">
      <w:pPr>
        <w:rPr>
          <w:kern w:val="20"/>
        </w:rPr>
      </w:pPr>
    </w:p>
    <w:p w:rsidR="00000000" w:rsidRDefault="00000000">
      <w:pPr>
        <w:pStyle w:val="ParaNo"/>
        <w:tabs>
          <w:tab w:val="clear" w:pos="360"/>
          <w:tab w:val="clear" w:pos="737"/>
        </w:tabs>
        <w:rPr>
          <w:kern w:val="20"/>
          <w:lang w:val="en-GB"/>
        </w:rPr>
      </w:pPr>
      <w:r>
        <w:rPr>
          <w:kern w:val="20"/>
          <w:lang w:val="en-GB"/>
        </w:rPr>
        <w:t>The next question addresses provisions in Brazil that guarantee freedom of choice regarding jobs and the non</w:t>
      </w:r>
      <w:r>
        <w:rPr>
          <w:kern w:val="20"/>
          <w:lang w:val="en-GB"/>
        </w:rPr>
        <w:noBreakHyphen/>
        <w:t>violation of fundamental, political and economic freedoms at the individual level, as a result of conditions in the workplace.  The Brazilian Government feels that article 5, paragraph XIII, of the Federal Constitution of 1988 is worth quoting:  “Anyone may freely practise any work, trade or profession, pursuant to laws on required professional qualifications”.</w:t>
      </w:r>
    </w:p>
    <w:p w:rsidR="00000000" w:rsidRDefault="00000000">
      <w:pPr>
        <w:rPr>
          <w:kern w:val="20"/>
        </w:rPr>
      </w:pPr>
    </w:p>
    <w:p w:rsidR="00000000" w:rsidRDefault="00000000">
      <w:pPr>
        <w:pStyle w:val="ParaNo"/>
        <w:tabs>
          <w:tab w:val="clear" w:pos="360"/>
          <w:tab w:val="clear" w:pos="737"/>
        </w:tabs>
        <w:rPr>
          <w:kern w:val="20"/>
          <w:lang w:val="en-GB"/>
        </w:rPr>
      </w:pPr>
      <w:r>
        <w:rPr>
          <w:kern w:val="20"/>
          <w:lang w:val="en-GB"/>
        </w:rPr>
        <w:t>The constitutional provision mentioned above stipulates freedom to work and recognizes the individual freedom to exercise any type of socially useful activity, as long as certain conditions are fulfilled (professional qualifications) when so determined by law.</w:t>
      </w:r>
    </w:p>
    <w:p w:rsidR="00000000" w:rsidRDefault="00000000">
      <w:pPr>
        <w:rPr>
          <w:kern w:val="20"/>
        </w:rPr>
      </w:pPr>
    </w:p>
    <w:p w:rsidR="00000000" w:rsidRDefault="00000000">
      <w:pPr>
        <w:pStyle w:val="ParaNo"/>
        <w:tabs>
          <w:tab w:val="clear" w:pos="360"/>
          <w:tab w:val="clear" w:pos="737"/>
        </w:tabs>
        <w:rPr>
          <w:kern w:val="20"/>
          <w:lang w:val="en-GB"/>
        </w:rPr>
      </w:pPr>
      <w:r>
        <w:rPr>
          <w:kern w:val="20"/>
          <w:lang w:val="en-GB"/>
        </w:rPr>
        <w:t xml:space="preserve">Other provisions of the 1988 Federal Constitution also determine the right to a job, albeit indirectly, by guaranteeing the right to unemployment insurance in cases of involuntary unemployment (art. 7, para. II).  In Brazil, this benefit takes the form of monetary payments </w:t>
      </w:r>
    </w:p>
    <w:p w:rsidR="00000000" w:rsidRDefault="00000000">
      <w:pPr>
        <w:rPr>
          <w:kern w:val="20"/>
        </w:rPr>
      </w:pPr>
      <w:r>
        <w:rPr>
          <w:kern w:val="20"/>
        </w:rPr>
        <w:t>during a certain period after the worker has been laid off due to no fault of his or her own.  The money is meant to provide them with a livelihood until they find a new job in the labour market.  The enforcement of such mechanisms is an additional protection to the right to work.</w:t>
      </w:r>
    </w:p>
    <w:p w:rsidR="00000000" w:rsidRDefault="00000000">
      <w:pPr>
        <w:rPr>
          <w:kern w:val="20"/>
        </w:rPr>
      </w:pPr>
    </w:p>
    <w:p w:rsidR="00000000" w:rsidRDefault="00000000">
      <w:pPr>
        <w:pStyle w:val="ParaNo"/>
        <w:tabs>
          <w:tab w:val="clear" w:pos="360"/>
          <w:tab w:val="clear" w:pos="737"/>
        </w:tabs>
        <w:rPr>
          <w:kern w:val="20"/>
          <w:lang w:val="en-GB"/>
        </w:rPr>
      </w:pPr>
      <w:r>
        <w:rPr>
          <w:kern w:val="20"/>
          <w:lang w:val="en-GB"/>
        </w:rPr>
        <w:t>Article 5, paragraph XIII, of the Constitution not only guarantees the right to work in a broad fashion, but also assumes that the fundamental economic and political freedoms of citizens will be respected so that they can exercise their right to any job, craft or profession.  Continuing with an examination of the Constitution’s handling of this issue, it is worth mentioning that an additional guarantee is enshrined in paragraph VIII of article 5, which determines that “no one shall be deprived of any rights by reason of religious belief or philosophical or political conviction, unless he invokes it to exempt himself from a legal obligation required of all and refuses to perform an alternative obligation determined by law”.</w:t>
      </w:r>
    </w:p>
    <w:p w:rsidR="00000000" w:rsidRDefault="00000000">
      <w:pPr>
        <w:rPr>
          <w:kern w:val="20"/>
        </w:rPr>
      </w:pPr>
    </w:p>
    <w:p w:rsidR="00000000" w:rsidRDefault="00000000">
      <w:pPr>
        <w:pStyle w:val="ParaNo"/>
        <w:tabs>
          <w:tab w:val="clear" w:pos="360"/>
          <w:tab w:val="clear" w:pos="737"/>
        </w:tabs>
        <w:rPr>
          <w:kern w:val="20"/>
          <w:lang w:val="en-GB"/>
        </w:rPr>
      </w:pPr>
      <w:r>
        <w:rPr>
          <w:kern w:val="20"/>
          <w:lang w:val="en-GB"/>
        </w:rPr>
        <w:t>In regard to fundamental economic freedoms, the Constitution guarantees the right to receive the minimum monthly wage needed to cover the basic and vital needs of the family (housing, food, education, health, leisure, clothing, hygiene, transportation and social security).  The minimum monthly wage is subject to periodic readjustments, which attempt to bring it more closely in line with indicators on buying power.  The issue of the actual worth of the minimum monthly wage involves not only the considerations mentioned above but also the need to foster economic development and growth.  Brazil has attempted to balance both thrusts despite short</w:t>
      </w:r>
      <w:r>
        <w:rPr>
          <w:kern w:val="20"/>
          <w:lang w:val="en-GB"/>
        </w:rPr>
        <w:noBreakHyphen/>
        <w:t>term difficulties.  This issue is hotly debated by Brazilian society.</w:t>
      </w:r>
    </w:p>
    <w:p w:rsidR="00000000" w:rsidRDefault="00000000">
      <w:pPr>
        <w:rPr>
          <w:kern w:val="20"/>
        </w:rPr>
      </w:pPr>
    </w:p>
    <w:p w:rsidR="00000000" w:rsidRDefault="00000000">
      <w:pPr>
        <w:pStyle w:val="Heading3"/>
        <w:rPr>
          <w:kern w:val="20"/>
        </w:rPr>
      </w:pPr>
      <w:r>
        <w:rPr>
          <w:kern w:val="20"/>
        </w:rPr>
        <w:t>Capacity</w:t>
      </w:r>
      <w:r>
        <w:rPr>
          <w:kern w:val="20"/>
        </w:rPr>
        <w:noBreakHyphen/>
        <w:t>building</w:t>
      </w:r>
    </w:p>
    <w:p w:rsidR="00000000" w:rsidRDefault="00000000"/>
    <w:p w:rsidR="00000000" w:rsidRDefault="00000000">
      <w:pPr>
        <w:pStyle w:val="ParaNo"/>
        <w:tabs>
          <w:tab w:val="clear" w:pos="360"/>
          <w:tab w:val="clear" w:pos="737"/>
        </w:tabs>
        <w:rPr>
          <w:kern w:val="20"/>
          <w:lang w:val="en-GB"/>
        </w:rPr>
      </w:pPr>
      <w:r>
        <w:rPr>
          <w:kern w:val="20"/>
          <w:lang w:val="en-GB"/>
        </w:rPr>
        <w:t>Any discussion of technical and professional training programmes should include a description of the National Worker Qualification Training Plan (PLANFOR), which began in 1996 as part of a social development project designed and implemented by the Government.  PLANFOR is part of the active policy framework adopted by the Public Employment System which, in turn, is financed by FAT.  It includes unemployment insurance, intermediation for manpower requirements and programmes to generate jobs and income.  PLANFOR was created not as a mass training programme, but above all, as a strategy to coordinate, strengthen and/or restructure vocational training possibilities.  This is a key factor in the gradual and participatory construction of public policies targeting jobs and income generation, enhanced competitiveness and the promotion of equal opportunities in the labour market.  Two mechanisms were gradually developed in order to implement PLANFOR and were geared to follow guidelines regarding participation, decentralization and the strengthening of local implementation capabilities.</w:t>
      </w:r>
    </w:p>
    <w:p w:rsidR="00000000" w:rsidRDefault="00000000">
      <w:pPr>
        <w:rPr>
          <w:kern w:val="20"/>
        </w:rPr>
      </w:pPr>
    </w:p>
    <w:p w:rsidR="00000000" w:rsidRDefault="00000000">
      <w:pPr>
        <w:pStyle w:val="ParaNo"/>
        <w:tabs>
          <w:tab w:val="clear" w:pos="360"/>
          <w:tab w:val="clear" w:pos="737"/>
        </w:tabs>
        <w:rPr>
          <w:kern w:val="20"/>
          <w:lang w:val="en-GB"/>
        </w:rPr>
      </w:pPr>
      <w:r>
        <w:rPr>
          <w:kern w:val="20"/>
          <w:lang w:val="en-GB"/>
        </w:rPr>
        <w:br w:type="page"/>
        <w:t>The first mechanism comprises the State Qualification Plans (PEQs), under the coordination of the State Secretariats of Labour.  This mechanism is implemented via agreements involving the state governments, the Ministry of Labour and Employment, and the Secretariat for Public Policies and Employment.  The mechanism is subject to the approval of State Employment Committees and to negotiations with Municipal Employment Committees.  The second mechanism involves national and regional partnerships implemented via agreements, technical cooperation accords, protocols of intent with governmental and non</w:t>
      </w:r>
      <w:r>
        <w:rPr>
          <w:kern w:val="20"/>
          <w:lang w:val="en-GB"/>
        </w:rPr>
        <w:noBreakHyphen/>
        <w:t>governmental organizations (labour unions, associations, foundations and universities) designed to implement programmes and projects at the regional or national level after approval by CODEFAT.</w:t>
      </w:r>
    </w:p>
    <w:p w:rsidR="00000000" w:rsidRDefault="00000000">
      <w:pPr>
        <w:rPr>
          <w:kern w:val="20"/>
        </w:rPr>
      </w:pPr>
    </w:p>
    <w:p w:rsidR="00000000" w:rsidRDefault="00000000">
      <w:pPr>
        <w:pStyle w:val="ParaNo"/>
        <w:tabs>
          <w:tab w:val="clear" w:pos="360"/>
          <w:tab w:val="clear" w:pos="737"/>
        </w:tabs>
        <w:rPr>
          <w:kern w:val="20"/>
          <w:lang w:val="en-GB"/>
        </w:rPr>
      </w:pPr>
      <w:r>
        <w:rPr>
          <w:kern w:val="20"/>
          <w:lang w:val="en-GB"/>
        </w:rPr>
        <w:t>Another PLANFOR priority involves programmes to provide training or retraining for workers with insufficient schooling, for employees that have been affected by production restructuring programmes or technological modernization programmes, for beneficiaries of unemployment insurance, small farmers, and workers in the informal market in urban and rural areas.  PLANFOR also develops methods and produces studies and educational materials to provide support for professional qualification training activities.</w:t>
      </w:r>
    </w:p>
    <w:p w:rsidR="00000000" w:rsidRDefault="00000000">
      <w:pPr>
        <w:rPr>
          <w:kern w:val="20"/>
        </w:rPr>
      </w:pPr>
    </w:p>
    <w:p w:rsidR="00000000" w:rsidRDefault="00000000">
      <w:pPr>
        <w:pStyle w:val="ParaNo"/>
        <w:tabs>
          <w:tab w:val="clear" w:pos="360"/>
          <w:tab w:val="clear" w:pos="737"/>
        </w:tabs>
        <w:rPr>
          <w:kern w:val="20"/>
          <w:lang w:val="en-GB"/>
        </w:rPr>
      </w:pPr>
      <w:r>
        <w:rPr>
          <w:kern w:val="20"/>
          <w:lang w:val="en-GB"/>
        </w:rPr>
        <w:t xml:space="preserve">PLANFOR’s overarching goal is to provide public education that will be capable of training at least 20 per cent of the economically active population over the medium and long term.  In numbers, this translates into approximately 15 million people (PLANFOR estimates that the economically active population over 16 years of age </w:t>
      </w:r>
      <w:r>
        <w:rPr>
          <w:kern w:val="20"/>
          <w:lang w:val="en-GB"/>
        </w:rPr>
        <w:noBreakHyphen/>
        <w:t xml:space="preserve"> the minimum age for the workplace </w:t>
      </w:r>
      <w:r>
        <w:rPr>
          <w:kern w:val="20"/>
          <w:lang w:val="en-GB"/>
        </w:rPr>
        <w:noBreakHyphen/>
        <w:t xml:space="preserve"> comprises more than 70 million people, whether employed or not).  The 20 per cent target mentioned above can be explained in light of the view that this is the minimum level required to guarantee that every worker will have the chance to undergo refresher training every five years, although the Government does recognize that this in and of itself is not enough, given the transformations in the worldwide economy and labour market.</w:t>
      </w:r>
    </w:p>
    <w:p w:rsidR="00000000" w:rsidRDefault="00000000">
      <w:pPr>
        <w:rPr>
          <w:kern w:val="20"/>
        </w:rPr>
      </w:pPr>
    </w:p>
    <w:p w:rsidR="00000000" w:rsidRDefault="00000000">
      <w:pPr>
        <w:pStyle w:val="ParaNo"/>
        <w:tabs>
          <w:tab w:val="clear" w:pos="360"/>
          <w:tab w:val="clear" w:pos="737"/>
        </w:tabs>
        <w:rPr>
          <w:kern w:val="20"/>
          <w:lang w:val="en-GB"/>
        </w:rPr>
      </w:pPr>
      <w:r>
        <w:rPr>
          <w:kern w:val="20"/>
          <w:lang w:val="en-GB"/>
        </w:rPr>
        <w:t>PLANFOR has trained/retrained 8.3 million workers since its inception, in a major effort to increase the skills and productivity of Brazil’s work force, by investing Cr$ 1.4 billion during this period.  In 1999, approximately 2.6 million workers drawn from the economically active population in urban and rural areas were trained or retrained at a cost of Cr$ 356 million from FAT.  This money was spent on economic sectors such as, agriculture, fishing, industry, the building trades, tourism, public administration, health, education, culture and others.  Efforts to provide professional training under the aegis of PLANFOR have already involved over 70 per cent of Brazil’s 5,500 municipalities.  Special emphasis has been placed on the poorest regions because PLANFOR has been instructed to focus on the “tip” where the most vulnerable segments of the population are concentrated.  These low</w:t>
      </w:r>
      <w:r>
        <w:rPr>
          <w:kern w:val="20"/>
          <w:lang w:val="en-GB"/>
        </w:rPr>
        <w:noBreakHyphen/>
        <w:t>income groups are the victims of a social, economic and cultural divide and, for this very reason, find it harder to access other vocational training alternatives.</w:t>
      </w:r>
    </w:p>
    <w:p w:rsidR="00000000" w:rsidRDefault="00000000">
      <w:pPr>
        <w:rPr>
          <w:kern w:val="20"/>
        </w:rPr>
      </w:pPr>
    </w:p>
    <w:p w:rsidR="00000000" w:rsidRDefault="00000000">
      <w:pPr>
        <w:pStyle w:val="ParaNo"/>
        <w:tabs>
          <w:tab w:val="clear" w:pos="360"/>
          <w:tab w:val="clear" w:pos="737"/>
        </w:tabs>
        <w:rPr>
          <w:kern w:val="20"/>
          <w:lang w:val="en-GB"/>
        </w:rPr>
      </w:pPr>
      <w:r>
        <w:rPr>
          <w:kern w:val="20"/>
          <w:lang w:val="en-GB"/>
        </w:rPr>
        <w:t>PLANFOR is also involved in other social welfare and human rights programmes, with a view to promoting equal opportunity in the workplace and development accompanied by social equity.  These training programmes target women, Afro</w:t>
      </w:r>
      <w:r>
        <w:rPr>
          <w:kern w:val="20"/>
          <w:lang w:val="en-GB"/>
        </w:rPr>
        <w:noBreakHyphen/>
        <w:t>Brazilians, the handicapped, civilian and military police, prisoners, caregivers for the elderly and educators in day</w:t>
      </w:r>
      <w:r>
        <w:rPr>
          <w:kern w:val="20"/>
          <w:lang w:val="en-GB"/>
        </w:rPr>
        <w:noBreakHyphen/>
        <w:t xml:space="preserve">care centres for small children.  In line with the focus on sustainable development, PLANFOR is promoting a new and original effort to increase schooling levels for men and women who work in Brazil.  As part of </w:t>
      </w:r>
    </w:p>
    <w:p w:rsidR="00000000" w:rsidRDefault="00000000">
      <w:pPr>
        <w:rPr>
          <w:kern w:val="20"/>
        </w:rPr>
      </w:pPr>
      <w:r>
        <w:rPr>
          <w:kern w:val="20"/>
        </w:rPr>
        <w:br w:type="page"/>
        <w:t>this effort, 3,000 distance education classrooms are being set up throughout Brazil to transmit the Telecurso 2000 programme.  When necessary, adaptations are included to meet the needs of the hearing impaired.</w:t>
      </w:r>
      <w:r>
        <w:rPr>
          <w:kern w:val="20"/>
        </w:rPr>
        <w:cr/>
      </w:r>
    </w:p>
    <w:p w:rsidR="00000000" w:rsidRDefault="00000000">
      <w:pPr>
        <w:pStyle w:val="ParaNo"/>
        <w:tabs>
          <w:tab w:val="clear" w:pos="360"/>
          <w:tab w:val="clear" w:pos="737"/>
        </w:tabs>
        <w:rPr>
          <w:kern w:val="20"/>
          <w:lang w:val="en-GB"/>
        </w:rPr>
      </w:pPr>
      <w:r>
        <w:rPr>
          <w:kern w:val="20"/>
          <w:lang w:val="en-GB"/>
        </w:rPr>
        <w:t>The Government’s intention is to improve services provided to groups that would have no other enhancement opportunities if not for such pro</w:t>
      </w:r>
      <w:r>
        <w:rPr>
          <w:kern w:val="20"/>
          <w:lang w:val="en-GB"/>
        </w:rPr>
        <w:noBreakHyphen/>
        <w:t>active policies.  This is because of the poverty and the low schooling levels in these groups (including the unemployed, young people seeking their first jobs, people employed on small farms, owners of small urban businesses, as well as the population groups mentioned above who are the priority for social and human rights programmes).  PLANFOR also reflects the Government’s intentions when it targets sectors and activities deemed to have great potential for job and income generation.  These sectors will be able to provide jobs to those in training.  Examples include tourism, small farms (including rural settlements in support of the Agrarian Reform Programme), and export activities at a micro</w:t>
      </w:r>
      <w:r>
        <w:rPr>
          <w:kern w:val="20"/>
          <w:lang w:val="en-GB"/>
        </w:rPr>
        <w:noBreakHyphen/>
        <w:t xml:space="preserve"> and small business level).</w:t>
      </w:r>
    </w:p>
    <w:p w:rsidR="00000000" w:rsidRDefault="00000000">
      <w:pPr>
        <w:rPr>
          <w:kern w:val="20"/>
        </w:rPr>
      </w:pPr>
    </w:p>
    <w:p w:rsidR="00000000" w:rsidRDefault="00000000">
      <w:pPr>
        <w:pStyle w:val="ParaNo"/>
        <w:tabs>
          <w:tab w:val="clear" w:pos="360"/>
          <w:tab w:val="clear" w:pos="737"/>
        </w:tabs>
        <w:rPr>
          <w:kern w:val="20"/>
          <w:lang w:val="en-GB"/>
        </w:rPr>
      </w:pPr>
      <w:r>
        <w:rPr>
          <w:kern w:val="20"/>
          <w:lang w:val="en-GB"/>
        </w:rPr>
        <w:t>In quantitative terms and in terms of the innovations under implementation, there has never been a programme as ambitious as PLANFOR in all of Brazil’s history.  The Brazilian Government believes that this programme has no equal elsewhere in Latin America either.  During the second implementation phase in 1999</w:t>
      </w:r>
      <w:r>
        <w:rPr>
          <w:kern w:val="20"/>
          <w:lang w:val="en-GB"/>
        </w:rPr>
        <w:noBreakHyphen/>
        <w:t>2002, PLANFOR intends to consolidate the progress achieved thus far via efforts to build a new system of public educational institutions in Brazil and to include the topic of “training” on the public employment system’s agenda.</w:t>
      </w:r>
    </w:p>
    <w:p w:rsidR="00000000" w:rsidRDefault="00000000">
      <w:pPr>
        <w:rPr>
          <w:kern w:val="20"/>
        </w:rPr>
      </w:pPr>
    </w:p>
    <w:p w:rsidR="00000000" w:rsidRDefault="00000000">
      <w:pPr>
        <w:pStyle w:val="ParaNo"/>
        <w:tabs>
          <w:tab w:val="clear" w:pos="360"/>
          <w:tab w:val="clear" w:pos="737"/>
        </w:tabs>
        <w:rPr>
          <w:kern w:val="20"/>
          <w:lang w:val="en-GB"/>
        </w:rPr>
      </w:pPr>
      <w:r>
        <w:rPr>
          <w:kern w:val="20"/>
          <w:lang w:val="en-GB"/>
        </w:rPr>
        <w:t>The guidelines on the form and content of reports to be submitted to the Committee on Economic, Social and Cultural Rights suggest that constraints and efforts to overcome them be reported.  The Brazilian Government would like to thank the Committee for the opportunity to describe the difficulties met in attempting to reach full employment, while underscoring the tremendous effort being made to overcome such difficulties.  The section of this report that addresses labour market indicators mentioned the fact that unemployment in Brazil, particularly in recent years, has involved more than the mere absence of economic growth.  Unemployment also involves the proportionally larger increase in economic productivity in comparison with actual output/production increases for the same period.  However, this point should not be assessed in a negative way because productivity gains also indicate improved international competitiveness and open up significant prospects over the medium</w:t>
      </w:r>
      <w:r>
        <w:rPr>
          <w:kern w:val="20"/>
          <w:lang w:val="en-GB"/>
        </w:rPr>
        <w:noBreakHyphen/>
        <w:t xml:space="preserve"> to long</w:t>
      </w:r>
      <w:r>
        <w:rPr>
          <w:kern w:val="20"/>
          <w:lang w:val="en-GB"/>
        </w:rPr>
        <w:noBreakHyphen/>
        <w:t>term that may benefit the very men and women who work.  The fact that the economy rebounded so strongly, especially in 2000, was expected to reduce current unemployment rates.  However, as was also mentioned above, this reduction will probably be rather slow because of the fact that increased participation rates reveal pressure in terms of the supply of jobs.</w:t>
      </w:r>
    </w:p>
    <w:p w:rsidR="00000000" w:rsidRDefault="00000000">
      <w:pPr>
        <w:rPr>
          <w:kern w:val="20"/>
        </w:rPr>
      </w:pPr>
    </w:p>
    <w:p w:rsidR="00000000" w:rsidRDefault="00000000">
      <w:pPr>
        <w:pStyle w:val="ParaNo"/>
        <w:tabs>
          <w:tab w:val="clear" w:pos="360"/>
          <w:tab w:val="clear" w:pos="737"/>
        </w:tabs>
        <w:rPr>
          <w:kern w:val="20"/>
          <w:lang w:val="en-GB"/>
        </w:rPr>
      </w:pPr>
      <w:r>
        <w:rPr>
          <w:kern w:val="20"/>
          <w:lang w:val="en-GB"/>
        </w:rPr>
        <w:t>With regard to the right to work, the Brazilian Government has concentrated its efforts in recent years on two major interconnected and interdependent thrusts:  first, the implementation of policies to foster job creation, vocational training and worker protection (these policies were described above in the comments on various other items); second, the modernization of labour law institutions with a view to creating conditions favouring the expansion of quality jobs, reducing the costs of hiring the labour force, and injecting energy into the dialogue between management and workers.  On the one hand, the current labour regulation system is still excessively rules</w:t>
      </w:r>
      <w:r>
        <w:rPr>
          <w:kern w:val="20"/>
          <w:lang w:val="en-GB"/>
        </w:rPr>
        <w:noBreakHyphen/>
        <w:t xml:space="preserve">based and dependent on State decisions.   It is marked by a predominance of </w:t>
      </w:r>
    </w:p>
    <w:p w:rsidR="00000000" w:rsidRDefault="00000000">
      <w:pPr>
        <w:rPr>
          <w:kern w:val="20"/>
        </w:rPr>
      </w:pPr>
      <w:r>
        <w:rPr>
          <w:kern w:val="20"/>
        </w:rPr>
        <w:br w:type="page"/>
        <w:t xml:space="preserve">conflicts.  On the other hand, one finds an increasingly open economy and the aspirations of a democratic and participatory society.  Measures adopted by the Government in the field of labour relations are being designed to overcome the gap.  It is generally felt that labour laws unified under the CLT include rules that are so rigid and specific that they are totally outdated with regard to new production paradigms and labour force management requirements.  Furthermore, such legislation is excessively burdensome in terms of the labour costs involved.  The Federal Constitution enacted in 1988 did in fact make significant progress in terms of individual and collective freedoms, as well as in regard to the prestige that attaches to labour negotiations.  Even the Constitution, however, left a part of the old regulatory system governing labour markets intact.  An example is the closed trade union model that allows unions to enjoy a monopoly in terms of representation and that levies compulsory union dues that all workers must pay. </w:t>
      </w:r>
    </w:p>
    <w:p w:rsidR="00000000" w:rsidRDefault="00000000">
      <w:pPr>
        <w:rPr>
          <w:kern w:val="20"/>
        </w:rPr>
      </w:pPr>
    </w:p>
    <w:p w:rsidR="00000000" w:rsidRDefault="00000000">
      <w:pPr>
        <w:pStyle w:val="ParaNo"/>
        <w:tabs>
          <w:tab w:val="clear" w:pos="360"/>
          <w:tab w:val="clear" w:pos="737"/>
        </w:tabs>
        <w:rPr>
          <w:kern w:val="20"/>
          <w:lang w:val="en-GB"/>
        </w:rPr>
      </w:pPr>
      <w:r>
        <w:rPr>
          <w:kern w:val="20"/>
          <w:lang w:val="en-GB"/>
        </w:rPr>
        <w:t>Government initiatives designed to modernize labour relations have focused primarily on two dimensions:  first, changes in the legal and judicial framework and second, the development of a culture of negotiations involving all players in the production system.  Both types of initiatives have increased the dialogue involving management confederations, trade union confederations and other organizations that represent the public in Brazil.</w:t>
      </w:r>
    </w:p>
    <w:p w:rsidR="00000000" w:rsidRDefault="00000000">
      <w:pPr>
        <w:rPr>
          <w:kern w:val="20"/>
        </w:rPr>
      </w:pPr>
    </w:p>
    <w:p w:rsidR="00000000" w:rsidRDefault="00000000">
      <w:pPr>
        <w:pStyle w:val="ParaNo"/>
        <w:tabs>
          <w:tab w:val="clear" w:pos="360"/>
          <w:tab w:val="clear" w:pos="737"/>
        </w:tabs>
        <w:rPr>
          <w:kern w:val="20"/>
          <w:lang w:val="en-GB"/>
        </w:rPr>
      </w:pPr>
      <w:r>
        <w:rPr>
          <w:kern w:val="20"/>
          <w:lang w:val="en-GB"/>
        </w:rPr>
        <w:t>A number of changes in legislation have come into force.  Several of them are worth highlighting because of the expected impact on job levels and expected changes in terms of relations between management and labour:</w:t>
      </w:r>
    </w:p>
    <w:p w:rsidR="00000000" w:rsidRDefault="00000000">
      <w:pPr>
        <w:rPr>
          <w:kern w:val="20"/>
        </w:rPr>
      </w:pPr>
    </w:p>
    <w:p w:rsidR="00000000" w:rsidRDefault="00000000">
      <w:pPr>
        <w:rPr>
          <w:kern w:val="20"/>
        </w:rPr>
      </w:pPr>
      <w:r>
        <w:rPr>
          <w:kern w:val="20"/>
        </w:rPr>
        <w:tab/>
        <w:t>(a)</w:t>
      </w:r>
      <w:r>
        <w:rPr>
          <w:kern w:val="20"/>
        </w:rPr>
        <w:tab/>
        <w:t>Wage de</w:t>
      </w:r>
      <w:r>
        <w:rPr>
          <w:kern w:val="20"/>
        </w:rPr>
        <w:noBreakHyphen/>
        <w:t>indexation (Provisional Measure 1950</w:t>
      </w:r>
      <w:r>
        <w:rPr>
          <w:kern w:val="20"/>
        </w:rPr>
        <w:noBreakHyphen/>
        <w:t>59 of 6 January 2000), complementing Brazil’s economic stabilization plan called the “Real Plan”.  This Provisional Measure states that wages and other conditioning factors in the workplace will be set and re</w:t>
      </w:r>
      <w:r>
        <w:rPr>
          <w:kern w:val="20"/>
        </w:rPr>
        <w:noBreakHyphen/>
        <w:t>examined once a year, on a specific “base</w:t>
      </w:r>
      <w:r>
        <w:rPr>
          <w:kern w:val="20"/>
        </w:rPr>
        <w:noBreakHyphen/>
        <w:t>date”, via free collective bargaining.  Furthermore, the Provisional Measure reinforces the role of mediation, whether public or private, in labour negotiations;</w:t>
      </w:r>
    </w:p>
    <w:p w:rsidR="00000000" w:rsidRDefault="00000000">
      <w:pPr>
        <w:rPr>
          <w:kern w:val="20"/>
        </w:rPr>
      </w:pPr>
    </w:p>
    <w:p w:rsidR="00000000" w:rsidRDefault="00000000">
      <w:pPr>
        <w:rPr>
          <w:kern w:val="20"/>
        </w:rPr>
      </w:pPr>
      <w:r>
        <w:rPr>
          <w:kern w:val="20"/>
        </w:rPr>
        <w:tab/>
        <w:t>(b)</w:t>
      </w:r>
      <w:r>
        <w:rPr>
          <w:kern w:val="20"/>
        </w:rPr>
        <w:tab/>
        <w:t>Employee participation in company profits or results (Provisional Measure 1982</w:t>
      </w:r>
      <w:r>
        <w:rPr>
          <w:kern w:val="20"/>
        </w:rPr>
        <w:noBreakHyphen/>
        <w:t>65 of 10 December 1999):  profit</w:t>
      </w:r>
      <w:r>
        <w:rPr>
          <w:kern w:val="20"/>
        </w:rPr>
        <w:noBreakHyphen/>
        <w:t>sharing is not a subjective right, but is viewed as the result of collective bargaining and as a way to encourage increased productivity.  Such profit</w:t>
      </w:r>
      <w:r>
        <w:rPr>
          <w:kern w:val="20"/>
        </w:rPr>
        <w:noBreakHyphen/>
        <w:t>sharing is remuneration that is considered to be of a non</w:t>
      </w:r>
      <w:r>
        <w:rPr>
          <w:kern w:val="20"/>
        </w:rPr>
        <w:noBreakHyphen/>
        <w:t>wage nature and therefore not subject to payroll taxes;</w:t>
      </w:r>
    </w:p>
    <w:p w:rsidR="00000000" w:rsidRDefault="00000000">
      <w:pPr>
        <w:rPr>
          <w:kern w:val="20"/>
        </w:rPr>
      </w:pPr>
    </w:p>
    <w:p w:rsidR="00000000" w:rsidRDefault="00000000">
      <w:pPr>
        <w:rPr>
          <w:kern w:val="20"/>
        </w:rPr>
      </w:pPr>
      <w:r>
        <w:rPr>
          <w:kern w:val="20"/>
        </w:rPr>
        <w:tab/>
        <w:t>(c)</w:t>
      </w:r>
      <w:r>
        <w:rPr>
          <w:kern w:val="20"/>
        </w:rPr>
        <w:tab/>
        <w:t>Opening hours for retail stores on Sundays (Provisional Measure 1982</w:t>
      </w:r>
      <w:r>
        <w:rPr>
          <w:kern w:val="20"/>
        </w:rPr>
        <w:noBreakHyphen/>
        <w:t xml:space="preserve">65 of 10 December 1999):  this decree eliminates constraints regarding opening hours on Sundays, but does include a legal caveat with regard to municipal jurisdiction;  </w:t>
      </w:r>
    </w:p>
    <w:p w:rsidR="00000000" w:rsidRDefault="00000000">
      <w:pPr>
        <w:rPr>
          <w:kern w:val="20"/>
        </w:rPr>
      </w:pPr>
    </w:p>
    <w:p w:rsidR="00000000" w:rsidRDefault="00000000">
      <w:pPr>
        <w:rPr>
          <w:kern w:val="20"/>
        </w:rPr>
      </w:pPr>
      <w:r>
        <w:rPr>
          <w:kern w:val="20"/>
        </w:rPr>
        <w:tab/>
        <w:t>(d)</w:t>
      </w:r>
      <w:r>
        <w:rPr>
          <w:kern w:val="20"/>
        </w:rPr>
        <w:tab/>
        <w:t>The institution of fixed</w:t>
      </w:r>
      <w:r>
        <w:rPr>
          <w:kern w:val="20"/>
        </w:rPr>
        <w:noBreakHyphen/>
        <w:t xml:space="preserve">term contracts (Law 9601, 21 January 1998 and Decree 2490/98), targeting the need to meet special seasonal or company needs in any sphere of activity.  The Law protects workers’ rights and, furthermore, requires that for this type of contract to be signed, there must be advanced authorization contained in a collective agreement or accord, as well as proof in terms of the increase in the number of employees.  The companies </w:t>
      </w:r>
    </w:p>
    <w:p w:rsidR="00000000" w:rsidRDefault="00000000">
      <w:pPr>
        <w:rPr>
          <w:kern w:val="20"/>
        </w:rPr>
      </w:pPr>
      <w:r>
        <w:rPr>
          <w:kern w:val="20"/>
        </w:rPr>
        <w:br w:type="page"/>
        <w:t xml:space="preserve">benefit from reduced hiring costs if all legal requirements are met, because they pay less into certain funds, which are funded by payroll taxes, for example, the FGTS (Length of Service Guarantee Fund).  Companies are also exempted from paying a fine, based on deposits in the FGTS on the occasion of contract termination; </w:t>
      </w:r>
    </w:p>
    <w:p w:rsidR="00000000" w:rsidRDefault="00000000">
      <w:pPr>
        <w:rPr>
          <w:kern w:val="20"/>
        </w:rPr>
      </w:pPr>
    </w:p>
    <w:p w:rsidR="00000000" w:rsidRDefault="00000000">
      <w:pPr>
        <w:rPr>
          <w:kern w:val="20"/>
        </w:rPr>
      </w:pPr>
      <w:r>
        <w:rPr>
          <w:kern w:val="20"/>
        </w:rPr>
        <w:tab/>
        <w:t>(e)</w:t>
      </w:r>
      <w:r>
        <w:rPr>
          <w:kern w:val="20"/>
        </w:rPr>
        <w:tab/>
        <w:t>The creation of a “comp time bank of hours” mentioned in Law 9601 above.  This system to provide compensation for overtime allows companies to adapt the workdays of their employees to variations in production without requiring special remuneration for overtime.  Overtime can instead be compensated for by time off during periods in which there is less demand.  The law determines rules for the “comp time bank of hours” operations:  compensation must be provided within a year and during the term of the work contract; advance authorization in the form of a collective agreement or accord; and observance of the maximum 10</w:t>
      </w:r>
      <w:r>
        <w:rPr>
          <w:kern w:val="20"/>
        </w:rPr>
        <w:noBreakHyphen/>
        <w:t>hour workday (2 hours’ overtime);</w:t>
      </w:r>
    </w:p>
    <w:p w:rsidR="00000000" w:rsidRDefault="00000000">
      <w:pPr>
        <w:rPr>
          <w:kern w:val="20"/>
        </w:rPr>
      </w:pPr>
    </w:p>
    <w:p w:rsidR="00000000" w:rsidRDefault="00000000">
      <w:pPr>
        <w:rPr>
          <w:kern w:val="20"/>
        </w:rPr>
      </w:pPr>
      <w:r>
        <w:rPr>
          <w:kern w:val="20"/>
        </w:rPr>
        <w:tab/>
        <w:t>(f)</w:t>
      </w:r>
      <w:r>
        <w:rPr>
          <w:kern w:val="20"/>
        </w:rPr>
        <w:tab/>
        <w:t>The creation of part</w:t>
      </w:r>
      <w:r>
        <w:rPr>
          <w:kern w:val="20"/>
        </w:rPr>
        <w:noBreakHyphen/>
        <w:t>time work systems (Provisional Measure 1952</w:t>
      </w:r>
      <w:r>
        <w:rPr>
          <w:kern w:val="20"/>
        </w:rPr>
        <w:noBreakHyphen/>
        <w:t>19, of 6 January 2000) to be used when hiring people for a workload that shall not exceed 24 hours per week.  The legalities involved must preserve all workers’ rights, including the value of the wages in proportion to the workday and in relation to the wages of employees carrying out the same duties on a full</w:t>
      </w:r>
      <w:r>
        <w:rPr>
          <w:kern w:val="20"/>
        </w:rPr>
        <w:noBreakHyphen/>
        <w:t>time basis.  This system strengthens the institution of collective bargaining because it requires advance approval by current employees vis</w:t>
      </w:r>
      <w:r>
        <w:rPr>
          <w:kern w:val="20"/>
        </w:rPr>
        <w:noBreakHyphen/>
        <w:t>à</w:t>
      </w:r>
      <w:r>
        <w:rPr>
          <w:kern w:val="20"/>
        </w:rPr>
        <w:noBreakHyphen/>
        <w:t xml:space="preserve">vis the adoption of the new system.  The system also requires that the new rules must be set forth in the form of a collective agreement or accord.  This measure is meant to be beneficial both for employers, by allowing them to reduce their payrolls, as well as for employees, whose need to earn income sometimes coexists with other interests.  This is typically the case of students or parents of small children; </w:t>
      </w:r>
    </w:p>
    <w:p w:rsidR="00000000" w:rsidRDefault="00000000">
      <w:pPr>
        <w:rPr>
          <w:kern w:val="20"/>
        </w:rPr>
      </w:pPr>
    </w:p>
    <w:p w:rsidR="00000000" w:rsidRDefault="00000000">
      <w:pPr>
        <w:rPr>
          <w:kern w:val="20"/>
        </w:rPr>
      </w:pPr>
      <w:r>
        <w:rPr>
          <w:kern w:val="20"/>
        </w:rPr>
        <w:tab/>
        <w:t>(g)</w:t>
      </w:r>
      <w:r>
        <w:rPr>
          <w:kern w:val="20"/>
        </w:rPr>
        <w:tab/>
        <w:t>Labour contract suspensions tied to professional training (Provisional Measure 1952</w:t>
      </w:r>
      <w:r>
        <w:rPr>
          <w:kern w:val="20"/>
        </w:rPr>
        <w:noBreakHyphen/>
        <w:t>19, of 6 January, 2000).  This rule determines an alternative to firings and to turnover in the workplace because it allows companies to suspend an employee’s contract for a period of two to five months, while offering the same employee a professional training course of the same duration.  Under this situation, the employee receives a training stipend very similar to unemployment insurance.  This contract modality may only be used if the employee agrees in advance and if there is authorization for the use of such a contract in the form of a collective agreement or accord.  Such agreements may stipulate an increase in the value of the stipend to be paid by the employer and may also extend the term during which the suspension will last, during which period the allowance or stipend will be paid by the employer;</w:t>
      </w:r>
    </w:p>
    <w:p w:rsidR="00000000" w:rsidRDefault="00000000">
      <w:pPr>
        <w:rPr>
          <w:kern w:val="20"/>
        </w:rPr>
      </w:pPr>
    </w:p>
    <w:p w:rsidR="00000000" w:rsidRDefault="00000000">
      <w:pPr>
        <w:rPr>
          <w:kern w:val="20"/>
        </w:rPr>
      </w:pPr>
      <w:r>
        <w:rPr>
          <w:kern w:val="20"/>
        </w:rPr>
        <w:tab/>
        <w:t>(h)</w:t>
      </w:r>
      <w:r>
        <w:rPr>
          <w:kern w:val="20"/>
        </w:rPr>
        <w:tab/>
        <w:t>Broader internship/externship possibilities:  the decree mentioned above also determines provisions regarding greater use of students in the workplace.  These students may be taken on as trainees, as long as they are in secondary school.  This is in addition to the interns who were already permitted under current legislation (those in higher education, vocational schools or special education schools).  The internship/externship does not constitute an employment relationship of any nature.  The intern may receive a stipend or any other type of allowance that may be agreed to;</w:t>
      </w:r>
    </w:p>
    <w:p w:rsidR="00000000" w:rsidRDefault="00000000">
      <w:pPr>
        <w:rPr>
          <w:kern w:val="20"/>
        </w:rPr>
      </w:pPr>
    </w:p>
    <w:p w:rsidR="00000000" w:rsidRDefault="00000000">
      <w:pPr>
        <w:rPr>
          <w:kern w:val="20"/>
        </w:rPr>
      </w:pPr>
      <w:r>
        <w:rPr>
          <w:kern w:val="20"/>
        </w:rPr>
        <w:br w:type="page"/>
      </w:r>
      <w:r>
        <w:rPr>
          <w:kern w:val="20"/>
        </w:rPr>
        <w:tab/>
        <w:t>(i)</w:t>
      </w:r>
      <w:r>
        <w:rPr>
          <w:kern w:val="20"/>
        </w:rPr>
        <w:tab/>
        <w:t>The creation of Advance</w:t>
      </w:r>
      <w:r>
        <w:rPr>
          <w:kern w:val="20"/>
        </w:rPr>
        <w:noBreakHyphen/>
        <w:t>Reconciliation Committees (Law 9958 of 12 January 2000):  this law authorizes companies and trade unions to create advance</w:t>
      </w:r>
      <w:r>
        <w:rPr>
          <w:kern w:val="20"/>
        </w:rPr>
        <w:noBreakHyphen/>
        <w:t>reconciliation committees, comprising an equal number of representatives from management and labour, for the purpose of seeking to solve individual conflicts in the workplace.  The Law states that the committee, to be set up by the trade unions, will have both its bylaws and operations defined by collective agreements or accords, and also guarantees job tenure to the employee representatives on the committee.  Where such committees exist, conflicts must be heard by them before a labour lawsuit can be filed.  The reconciliation statement is a document that is held to be valid with regard to commencing an execution process.  No ruling is required from the courts on the merits that attach to the case and the execution process can be initiated if the agreement that had been reached is flouted.  The purview of this instrument is designed to encourage self</w:t>
      </w:r>
      <w:r>
        <w:rPr>
          <w:kern w:val="20"/>
        </w:rPr>
        <w:noBreakHyphen/>
        <w:t xml:space="preserve">resolution of conflicts to ease the cost to companies of paying for lawsuits and to ease the burden on labour courts stemming from the large number of lawsuits targeting economic clauses in labour contracts.  </w:t>
      </w:r>
    </w:p>
    <w:p w:rsidR="00000000" w:rsidRDefault="00000000">
      <w:pPr>
        <w:rPr>
          <w:kern w:val="20"/>
        </w:rPr>
      </w:pPr>
    </w:p>
    <w:p w:rsidR="00000000" w:rsidRDefault="00000000">
      <w:pPr>
        <w:pStyle w:val="ParaNo"/>
        <w:tabs>
          <w:tab w:val="clear" w:pos="360"/>
          <w:tab w:val="clear" w:pos="737"/>
        </w:tabs>
        <w:rPr>
          <w:kern w:val="20"/>
          <w:lang w:val="en-GB"/>
        </w:rPr>
      </w:pPr>
      <w:r>
        <w:rPr>
          <w:kern w:val="20"/>
          <w:lang w:val="en-GB"/>
        </w:rPr>
        <w:t>In addition to these measures, which are already in force, there are two important proposals in terms of labour laws that are worth mentioning:</w:t>
      </w:r>
    </w:p>
    <w:p w:rsidR="00000000" w:rsidRDefault="00000000">
      <w:pPr>
        <w:rPr>
          <w:kern w:val="20"/>
        </w:rPr>
      </w:pPr>
    </w:p>
    <w:p w:rsidR="00000000" w:rsidRDefault="00000000">
      <w:pPr>
        <w:rPr>
          <w:kern w:val="20"/>
        </w:rPr>
      </w:pPr>
      <w:r>
        <w:rPr>
          <w:kern w:val="20"/>
        </w:rPr>
        <w:tab/>
        <w:t>(a)</w:t>
      </w:r>
      <w:r>
        <w:rPr>
          <w:kern w:val="20"/>
        </w:rPr>
        <w:tab/>
        <w:t xml:space="preserve">A proposed constitutional amendment </w:t>
      </w:r>
      <w:r>
        <w:rPr>
          <w:kern w:val="20"/>
        </w:rPr>
        <w:noBreakHyphen/>
        <w:t xml:space="preserve"> PEC 638/98 </w:t>
      </w:r>
      <w:r>
        <w:rPr>
          <w:kern w:val="20"/>
        </w:rPr>
        <w:noBreakHyphen/>
        <w:t xml:space="preserve"> prepared by the executive branch to modify articles 8, 111 and 114 of the Federal Constitution.  These amendments seek to extinguish the monopoly of trade union representation called “single trade unions”, thus guaranteeing wide freedom with regard to the creation of trade unions without requirements involving affinities among professional categories or economic groups and territorial basis.  This amendment also ends obligatory trade union dues (“contributions”) built into current laws that are mandatory even in the case of people who have not joined trade unions.  The proposed constitutional amendment also reviews the rules</w:t>
      </w:r>
      <w:r>
        <w:rPr>
          <w:kern w:val="20"/>
        </w:rPr>
        <w:noBreakHyphen/>
        <w:t>making power given to the labour judiciary, while preserving its right to provide optional arbitration in collective conflicts of an economic nature and to solve individual and collective lawsuits of a legal nature.  This proposal was attached to proposed constitutional amendment PEC 346/96 which covers the reorganization of the labour arm of the judiciary and which is currently being held for consideration by special committees in the lower house of Parliament, the Chamber of Deputies;</w:t>
      </w:r>
    </w:p>
    <w:p w:rsidR="00000000" w:rsidRDefault="00000000">
      <w:pPr>
        <w:rPr>
          <w:kern w:val="20"/>
        </w:rPr>
      </w:pPr>
    </w:p>
    <w:p w:rsidR="00000000" w:rsidRDefault="00000000">
      <w:pPr>
        <w:rPr>
          <w:kern w:val="20"/>
        </w:rPr>
      </w:pPr>
      <w:r>
        <w:rPr>
          <w:kern w:val="20"/>
        </w:rPr>
        <w:tab/>
        <w:t>(b)</w:t>
      </w:r>
      <w:r>
        <w:rPr>
          <w:kern w:val="20"/>
        </w:rPr>
        <w:tab/>
        <w:t>Bill of Law 3003/97, designed to guarantee the financial independence of trade unions, instead of the mandatory trade union contribution or levy.  There would be a so</w:t>
      </w:r>
      <w:r>
        <w:rPr>
          <w:kern w:val="20"/>
        </w:rPr>
        <w:noBreakHyphen/>
        <w:t>called “negotiated contribution” that would be determined during collective bargaining.</w:t>
      </w:r>
      <w:r>
        <w:rPr>
          <w:kern w:val="20"/>
        </w:rPr>
        <w:cr/>
      </w:r>
    </w:p>
    <w:p w:rsidR="00000000" w:rsidRDefault="00000000">
      <w:pPr>
        <w:pStyle w:val="ParaNo"/>
        <w:tabs>
          <w:tab w:val="clear" w:pos="360"/>
          <w:tab w:val="clear" w:pos="737"/>
        </w:tabs>
        <w:rPr>
          <w:kern w:val="20"/>
          <w:lang w:val="en-GB"/>
        </w:rPr>
      </w:pPr>
      <w:r>
        <w:rPr>
          <w:kern w:val="20"/>
          <w:lang w:val="en-GB"/>
        </w:rPr>
        <w:t>Changes in the right to employment have also affected the way in which wages are set in the private sector.  In a provisional measure designed to complement the Real Economic Stability Plan, wage indexation was extinguished.  This was the mechanism designed to ensure that the buying power of wages would be maintained but which fed spiralling inflation.  The same provisional measure required that wages and other workplace conditions be set and reviewed on the respective “base</w:t>
      </w:r>
      <w:r>
        <w:rPr>
          <w:kern w:val="20"/>
          <w:lang w:val="en-GB"/>
        </w:rPr>
        <w:noBreakHyphen/>
        <w:t xml:space="preserve">dates” of each professional category, once a year, via freely conducted collective bargaining.  During such bargaining, the parties may use the services of a public or private mediator appointed by them, jointly or, on their request, of the Ministry for Labour and Employment, in accordance with procedures defined by the administration in Decree 1572 of July 1995.  These legal acts are complemented by administrative standards, for example, </w:t>
      </w:r>
    </w:p>
    <w:p w:rsidR="00000000" w:rsidRDefault="00000000">
      <w:pPr>
        <w:rPr>
          <w:kern w:val="20"/>
        </w:rPr>
      </w:pPr>
      <w:r>
        <w:rPr>
          <w:kern w:val="20"/>
        </w:rPr>
        <w:br w:type="page"/>
        <w:t>Directives 817 and 818, dated 30 August; and Directive 865, dated 14 September 1995.  These rulings detail the criteria for participation by a public mediator in workplace conflicts and his or her registration by the proper authorities, while also defining criteria involved in oversight of workplace conditions reached by collective agreements or accords.</w:t>
      </w:r>
    </w:p>
    <w:p w:rsidR="00000000" w:rsidRDefault="00000000">
      <w:pPr>
        <w:rPr>
          <w:kern w:val="20"/>
        </w:rPr>
      </w:pPr>
    </w:p>
    <w:p w:rsidR="00000000" w:rsidRDefault="00000000">
      <w:pPr>
        <w:pStyle w:val="ParaNo"/>
        <w:tabs>
          <w:tab w:val="clear" w:pos="360"/>
          <w:tab w:val="clear" w:pos="737"/>
        </w:tabs>
        <w:rPr>
          <w:kern w:val="20"/>
          <w:lang w:val="en-GB"/>
        </w:rPr>
      </w:pPr>
      <w:r>
        <w:rPr>
          <w:kern w:val="20"/>
          <w:lang w:val="en-GB"/>
        </w:rPr>
        <w:t>In addition to the changes in the regulatory framework in the labour market, Brazil’s Government has also implemented an intense programme of seminars, training and similar activities in recent years with a view to promoting a debate on the collective hiring systems most suited to Brazil’s reality.  This has been done while training public representatives and players representing management and trade unions at the same time in which efforts have been made to consolidate a culture of negotiation in workplace environments.  These events have brought together highly qualified representatives from the Ministry of Labour and Employment from the Labour Branch of the Judiciary, from the Public Ministry for Labour Affairs.</w:t>
      </w:r>
      <w:r>
        <w:rPr>
          <w:rStyle w:val="EndnoteReference"/>
          <w:kern w:val="20"/>
          <w:lang w:val="en-GB"/>
        </w:rPr>
        <w:endnoteReference w:id="3"/>
      </w:r>
      <w:r>
        <w:rPr>
          <w:kern w:val="20"/>
          <w:lang w:val="en-GB"/>
        </w:rPr>
        <w:t xml:space="preserve"> and from organizations that represent management, labour and civil society.  It must be emphasized that in such undertakings the Government has enjoyed the cooperation of the International Labour Organization (ILO), which has provided experts, methodologies, expertise and funds.  </w:t>
      </w:r>
    </w:p>
    <w:p w:rsidR="00000000" w:rsidRDefault="00000000">
      <w:pPr>
        <w:rPr>
          <w:kern w:val="20"/>
        </w:rPr>
      </w:pPr>
    </w:p>
    <w:p w:rsidR="00000000" w:rsidRDefault="00000000">
      <w:pPr>
        <w:pStyle w:val="ParaNo"/>
        <w:tabs>
          <w:tab w:val="clear" w:pos="360"/>
          <w:tab w:val="clear" w:pos="737"/>
        </w:tabs>
        <w:rPr>
          <w:kern w:val="20"/>
          <w:lang w:val="en-GB"/>
        </w:rPr>
      </w:pPr>
      <w:r>
        <w:rPr>
          <w:kern w:val="20"/>
          <w:lang w:val="en-GB"/>
        </w:rPr>
        <w:t>The autonomous model to be used in regulating the workplace has rapidly become the instrument of choice when bridging the clashing interests of management and labour, despite Brazil’s tremendous economic, social and cultural diversity, which is reflected in the different stages of maturity reached in terms of labour relations.  This view is corroborated by the considerable increase in the number of collective agreements and accords that have been signed in recent years.  In fact, the Ministry of Labour and Employment has a national System of Statistics on Collective Bargaining (SENC), whose data revealed that, in 1997, 9,826 collective instruments were registered, a number which increased to 15,456 in 1998 and 16,713 in 1999.  SENC figures also reveal that during the same respective periods, 8,258, 10,213 and 9,700 public mediation procedures to resolve labour contract conflicts were handled by regional labour offices.</w:t>
      </w:r>
    </w:p>
    <w:p w:rsidR="00000000" w:rsidRDefault="00000000">
      <w:pPr>
        <w:rPr>
          <w:kern w:val="20"/>
        </w:rPr>
      </w:pPr>
    </w:p>
    <w:p w:rsidR="00000000" w:rsidRDefault="00000000">
      <w:pPr>
        <w:pStyle w:val="ParaNo"/>
        <w:tabs>
          <w:tab w:val="clear" w:pos="360"/>
          <w:tab w:val="clear" w:pos="737"/>
        </w:tabs>
        <w:rPr>
          <w:kern w:val="20"/>
          <w:lang w:val="en-GB"/>
        </w:rPr>
      </w:pPr>
      <w:r>
        <w:rPr>
          <w:kern w:val="20"/>
          <w:lang w:val="en-GB"/>
        </w:rPr>
        <w:t>A brief analysis of the content of these collective instruments clearly evidences the increasingly varied nature of negotiation agendas, as clauses relating to contemporary problems are progressively incorporated.  These include job preservation schemes, profit</w:t>
      </w:r>
      <w:r>
        <w:rPr>
          <w:kern w:val="20"/>
          <w:lang w:val="en-GB"/>
        </w:rPr>
        <w:noBreakHyphen/>
        <w:t xml:space="preserve"> and results</w:t>
      </w:r>
      <w:r>
        <w:rPr>
          <w:kern w:val="20"/>
          <w:lang w:val="en-GB"/>
        </w:rPr>
        <w:noBreakHyphen/>
        <w:t xml:space="preserve">sharing, productivity, training, and flexible conditions.  The agenda of topics for negotiation, which in the past was restricted to salary and benefit adjustments, is sending out clear signals regarding the growing maturity of the players involved in such negotiations and the fact that they are more fully in sync with today’s workplace challenges.  </w:t>
      </w:r>
    </w:p>
    <w:p w:rsidR="00000000" w:rsidRDefault="00000000">
      <w:pPr>
        <w:rPr>
          <w:kern w:val="20"/>
        </w:rPr>
      </w:pPr>
    </w:p>
    <w:p w:rsidR="00000000" w:rsidRDefault="00000000">
      <w:pPr>
        <w:pStyle w:val="ParaNo"/>
        <w:tabs>
          <w:tab w:val="clear" w:pos="360"/>
          <w:tab w:val="clear" w:pos="737"/>
        </w:tabs>
        <w:rPr>
          <w:kern w:val="20"/>
          <w:lang w:val="en-GB"/>
        </w:rPr>
      </w:pPr>
      <w:r>
        <w:rPr>
          <w:kern w:val="20"/>
          <w:lang w:val="en-GB"/>
        </w:rPr>
        <w:t xml:space="preserve">The Brazilian Government would like to point out that national legislation does not create any distinctions, exclusions, restrictions or preferences among persons, or groups of persons, on the basis of race, colour, gender, religion, political opinion, nationality or social origin, which have the effect of nullifying or impairing the recognition, enjoyment or exercise of the quality of opportunity or treatment in employment or occupation.  This status of full equality is reinforced by the fact that Brazil is a country that has admitted the problem of employment and occupation discrimination to the international community.  In 1995, the Government recognized, in a meeting of the Committee on Standard Enforcement during the 82nd International Labour </w:t>
      </w:r>
    </w:p>
    <w:p w:rsidR="00000000" w:rsidRDefault="00000000">
      <w:pPr>
        <w:rPr>
          <w:kern w:val="20"/>
        </w:rPr>
      </w:pPr>
      <w:r>
        <w:rPr>
          <w:kern w:val="20"/>
        </w:rPr>
        <w:br w:type="page"/>
        <w:t xml:space="preserve">Conference of the ILO, that discrimination was a problem and requested the technical assistance of the ILO to help Brazil do a better job at enforcing the provisions of Convention No. 111, both in terms of legislation and in practice.  Brazil submitted its most recent report to the ILO in 1999. During the last meeting of the Committee on the Enforcement of Standards under the International Labour Conference, Brazil was invited to present its experience and discuss the efforts that the Brazilian Government has been making to fight all forms of discrimination in employment and occupation, and its efforts to implement the Convention mentioned above. </w:t>
      </w:r>
    </w:p>
    <w:p w:rsidR="00000000" w:rsidRDefault="00000000">
      <w:pPr>
        <w:rPr>
          <w:kern w:val="20"/>
        </w:rPr>
      </w:pPr>
    </w:p>
    <w:p w:rsidR="00000000" w:rsidRDefault="00000000">
      <w:pPr>
        <w:pStyle w:val="ParaNo"/>
        <w:tabs>
          <w:tab w:val="clear" w:pos="360"/>
          <w:tab w:val="clear" w:pos="737"/>
        </w:tabs>
        <w:rPr>
          <w:kern w:val="20"/>
          <w:lang w:val="en-GB"/>
        </w:rPr>
      </w:pPr>
      <w:r>
        <w:rPr>
          <w:kern w:val="20"/>
          <w:lang w:val="en-GB"/>
        </w:rPr>
        <w:t xml:space="preserve">At that time, the Government disseminated a great deal of information regarding these issues; the information is repeated in this report.  In October 1995, a National Tripartite Seminar was held, which opened the door to attempts to end discrimination in Brazil.  At the National Tripartite Seminar, efforts were made to involve organizations representing management and labour in an examination of the theme in order to ensure that something would actually be done to solve the problem.  As a result of the Seminar, two working groups were created.  One is the GTEDEO (the Working Group for the Elimination of Discrimination in Employment) and the </w:t>
      </w:r>
    </w:p>
    <w:p w:rsidR="00000000" w:rsidRDefault="00000000">
      <w:pPr>
        <w:rPr>
          <w:kern w:val="20"/>
        </w:rPr>
      </w:pPr>
      <w:r>
        <w:rPr>
          <w:kern w:val="20"/>
        </w:rPr>
        <w:t xml:space="preserve">other, under the aegis of the Ministry of Labour, is the GTM (Multidisciplinary Technical </w:t>
      </w:r>
    </w:p>
    <w:p w:rsidR="00000000" w:rsidRDefault="00000000">
      <w:pPr>
        <w:rPr>
          <w:kern w:val="20"/>
        </w:rPr>
      </w:pPr>
      <w:r>
        <w:rPr>
          <w:kern w:val="20"/>
        </w:rPr>
        <w:t xml:space="preserve">Group).  In order to follow up on any action taken, a programme called BRAZIL, GENDER </w:t>
      </w:r>
    </w:p>
    <w:p w:rsidR="00000000" w:rsidRDefault="00000000">
      <w:pPr>
        <w:rPr>
          <w:kern w:val="20"/>
        </w:rPr>
      </w:pPr>
      <w:r>
        <w:rPr>
          <w:kern w:val="20"/>
        </w:rPr>
        <w:t xml:space="preserve">AND RACE </w:t>
      </w:r>
      <w:r>
        <w:t>was</w:t>
      </w:r>
      <w:r>
        <w:rPr>
          <w:kern w:val="20"/>
        </w:rPr>
        <w:t xml:space="preserve"> launched in 1999, with the assistance of the ILO.  Since its inception, this programme has enjoyed tripartite participation; it was also set up to disseminate the principles enshrined in the Convention.</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The Government is committed to publicizing the ILO Convention as widely as possible.  The fact that the target sectors today enjoy greater awareness of the problem can be illustrated by the fact that the “</w:t>
      </w:r>
      <w:r>
        <w:rPr>
          <w:kern w:val="20"/>
          <w:u w:val="single"/>
          <w:lang w:val="en-GB"/>
        </w:rPr>
        <w:t>Grito da Terra/Brasil</w:t>
      </w:r>
      <w:r>
        <w:rPr>
          <w:kern w:val="20"/>
          <w:lang w:val="en-GB"/>
        </w:rPr>
        <w:t xml:space="preserve">” (“The Cry from the Land/Brazil”) movement included the </w:t>
      </w:r>
      <w:r>
        <w:rPr>
          <w:lang w:val="en-GB"/>
        </w:rPr>
        <w:t>enforcement</w:t>
      </w:r>
      <w:r>
        <w:rPr>
          <w:kern w:val="20"/>
          <w:lang w:val="en-GB"/>
        </w:rPr>
        <w:t xml:space="preserve"> of the Convention on the list of demands presented by the National Confederation of Workers in Agriculture (CONTAG).  Efforts to publicize the Convention are achieving such broad coverage that information is reaching rural zones.</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Nevertheless, the Government recognizes, as it did in the presence of the ILO, that countless problems involving discrimination still occur in the workplace.  This is true despite the fact that in social, economic and cultural terms discrimination involves the violation of one of the most fundamental human rights covered by the International Covenant.  One of the key difficulties worth mentioning has to do with proving allegations of discrimination in a number of cases.  In order to do so, greater awareness of employee rights and employer obligations is necessary.  In 1998, the Government began to establish “Units to Promote Equal Opportunities and Combat Discrimination in Employment and the Workplace” in order to strengthen its efforts to enforce anti</w:t>
      </w:r>
      <w:r>
        <w:rPr>
          <w:kern w:val="20"/>
          <w:lang w:val="en-GB"/>
        </w:rPr>
        <w:noBreakHyphen/>
        <w:t>discrimination standards.  This was done in 16 of the 27 regional labour offices and at least one unit is going to be created in each of the remaining offices.</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 xml:space="preserve">The Units are authorized to receive denunciations regarding all forms of discrimination under the ILO Convention.  Once a complaint has been received, the labour investigators look into the facts and the circumstances and attempt a solution by reconciliation.  If no settlement is reached, the case is sent to the Public Ministry for it to take the proper legal steps.  Information has been received regarding the period from January to March 2000, indicating that </w:t>
      </w:r>
    </w:p>
    <w:p w:rsidR="00000000" w:rsidRDefault="00000000">
      <w:pPr>
        <w:rPr>
          <w:kern w:val="20"/>
        </w:rPr>
      </w:pPr>
      <w:r>
        <w:rPr>
          <w:kern w:val="20"/>
        </w:rPr>
        <w:br w:type="page"/>
        <w:t>five of such units received 80 complaints of discrimination of which about 80 per cent were settled.  The complaints were brought in reference to discrimination involving gender (42 per cent), workplace accidents and occupational diseases (29 per cent), health (12 per cent), age (5 per cent), people with disabilities (4 per cent), race and colour (1 per cent) and other (3 per cent).  It has become clear that the main victims of discrimination are black women.  Of the 522 cases of complaints presented by HIV</w:t>
      </w:r>
      <w:r>
        <w:rPr>
          <w:kern w:val="20"/>
        </w:rPr>
        <w:noBreakHyphen/>
        <w:t>positive people, 513 were settled.</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It is worth mentioning that the Units in the regional offices are currently setting up databases in which to store information about discrimination, complaints or denunciations, events, number of cases and how they were settled.  Furthermore, questions on race and colour are being included in statistical registration forms of an administrative nature in the Ministry, such as the General Registry of Employees and Unemployed People (CAGED) and the Annual Report on Social Information (RAIS).</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 xml:space="preserve">The Committee on the Enforcement of Standards under the International Labour Conference </w:t>
      </w:r>
      <w:r>
        <w:rPr>
          <w:lang w:val="en-GB"/>
        </w:rPr>
        <w:t>reached</w:t>
      </w:r>
      <w:r>
        <w:rPr>
          <w:kern w:val="20"/>
          <w:lang w:val="en-GB"/>
        </w:rPr>
        <w:t xml:space="preserve"> the following conclusion:</w:t>
      </w:r>
    </w:p>
    <w:p w:rsidR="00000000" w:rsidRDefault="00000000">
      <w:pPr>
        <w:rPr>
          <w:kern w:val="20"/>
        </w:rPr>
      </w:pPr>
    </w:p>
    <w:p w:rsidR="00000000" w:rsidRDefault="00000000">
      <w:pPr>
        <w:ind w:left="720"/>
        <w:rPr>
          <w:kern w:val="20"/>
        </w:rPr>
      </w:pPr>
      <w:r>
        <w:rPr>
          <w:kern w:val="20"/>
        </w:rPr>
        <w:tab/>
        <w:t>“The Committee would like to thank the Government for the detailed verbal information and took note with interest of the discussion which immediately followed.  It recalled the principal violations of the Convention observed previously by the Committee of Experts and by the Committee on Standards of the Conference and the progress achieved in dealing with such issues with the assistance of staff members, which was also noted by the Experts Committee.  It also took note of the great interest in a great many programmes and activities developed by the Government for the purpose of promoting human rights in Brazil, particularly, equality in accordance with convention principles at the same time in which it does not hide the fact that certain problems still exist in practice.  The Committee requests of the Government that it send detailed information on concrete and tangible results achieved by such activities, including reports, studies and statistics as well as other indicators, particularly with regard to changes in the economic participation rates of women and various racial minorities, ethnic groups and indigenous peoples.  It encourages the Government to assess the progress made and to provide detailed information on these various aspects in the next report to be sent to the Experts Committee</w:t>
      </w:r>
      <w:r>
        <w:rPr>
          <w:iCs/>
          <w:kern w:val="20"/>
        </w:rPr>
        <w:t>.</w:t>
      </w:r>
      <w:r>
        <w:rPr>
          <w:kern w:val="20"/>
        </w:rPr>
        <w:t>”</w:t>
      </w:r>
    </w:p>
    <w:p w:rsidR="00000000" w:rsidRDefault="00000000">
      <w:pPr>
        <w:rPr>
          <w:kern w:val="20"/>
        </w:rPr>
      </w:pPr>
    </w:p>
    <w:p w:rsidR="00000000" w:rsidRDefault="00000000">
      <w:pPr>
        <w:pStyle w:val="ParaNo"/>
        <w:tabs>
          <w:tab w:val="clear" w:pos="360"/>
          <w:tab w:val="clear" w:pos="737"/>
        </w:tabs>
        <w:ind w:left="0" w:firstLine="0"/>
        <w:rPr>
          <w:color w:val="000000"/>
          <w:kern w:val="20"/>
          <w:lang w:val="en-GB"/>
        </w:rPr>
      </w:pPr>
      <w:r>
        <w:rPr>
          <w:kern w:val="20"/>
          <w:lang w:val="en-GB"/>
        </w:rPr>
        <w:t xml:space="preserve">Because it wishes to provide a broad range of information to the Committee on Economic, Social and </w:t>
      </w:r>
      <w:r>
        <w:rPr>
          <w:lang w:val="en-GB"/>
        </w:rPr>
        <w:t>Cultural</w:t>
      </w:r>
      <w:r>
        <w:rPr>
          <w:kern w:val="20"/>
          <w:lang w:val="en-GB"/>
        </w:rPr>
        <w:t xml:space="preserve"> Rights, the Brazilian Government would also like to point out additional aspects of the </w:t>
      </w:r>
      <w:r>
        <w:rPr>
          <w:color w:val="000000"/>
          <w:kern w:val="20"/>
          <w:lang w:val="en-GB"/>
        </w:rPr>
        <w:t>PLANFOR programme that it considers to be of extreme importance.  One of these is the fact that the Plan has incorporated the guidelines of the National Plan on Human Rights of Convention No. 111 and the proposals of the</w:t>
      </w:r>
      <w:r>
        <w:rPr>
          <w:kern w:val="20"/>
          <w:lang w:val="en-GB"/>
        </w:rPr>
        <w:t xml:space="preserve"> GTM, GTEDEO and GTI (Working Group on Informatics).  The proposal on vocational education targeting the economically active part of our population is very broad in nature.  It covers the full diversity of people in that group and attempts to guarantee access to vocational training without discrimination or a selection process of any other nature such as age, sex, race/colour, years of schooling and disabilities, while simultaneously trying to guarantee the priority that should be given to the most vulnerable groups or those that are most subject to exclusion (a guideline which was added to CODEFAT resolution</w:t>
      </w:r>
      <w:r>
        <w:rPr>
          <w:color w:val="000000"/>
          <w:kern w:val="20"/>
          <w:lang w:val="en-GB"/>
        </w:rPr>
        <w:t> 194/98).</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 xml:space="preserve">In order to add the dimension of gender, a number of efforts were made to advance concepts and work in coordination with others in order to discuss and perfect proposals, as well as to train and raise the awareness of labour secretariats and other interlocutors involved in implementation.  The following activities that were developed are worth mentioning:  support and guidance to </w:t>
      </w:r>
      <w:r>
        <w:rPr>
          <w:lang w:val="en-GB"/>
        </w:rPr>
        <w:t>forums</w:t>
      </w:r>
      <w:r>
        <w:rPr>
          <w:kern w:val="20"/>
          <w:lang w:val="en-GB"/>
        </w:rPr>
        <w:t xml:space="preserve"> and councils on women in States and municipalities to mobilize their representatives in State and municipal labour committees; organization or sponsorship of seminars, congresses and workshops involving governmental and non</w:t>
      </w:r>
      <w:r>
        <w:rPr>
          <w:kern w:val="20"/>
          <w:lang w:val="en-GB"/>
        </w:rPr>
        <w:noBreakHyphen/>
        <w:t xml:space="preserve">governmental organizations that work on women’s issues; and support for the production and/or distribution of conceptual texts.  This full set of measures has translated into advances in dealing with the issue of gender within the framework of public policies and has helped to ensure broad participation by women in PLANFOR programmes while, at the same time, it has achieved qualitative progress in terms of gender issues in vocational and professional training. </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 xml:space="preserve">The result of all these activities with regard to a gender perspective is very positive.  In quantitative terms, one sees that a growing number of women are participating in PLANFOR </w:t>
      </w:r>
      <w:r>
        <w:rPr>
          <w:kern w:val="20"/>
          <w:lang w:val="en-GB"/>
        </w:rPr>
        <w:noBreakHyphen/>
        <w:t xml:space="preserve"> the </w:t>
      </w:r>
      <w:r>
        <w:rPr>
          <w:lang w:val="en-GB"/>
        </w:rPr>
        <w:t>number</w:t>
      </w:r>
      <w:r>
        <w:rPr>
          <w:kern w:val="20"/>
          <w:lang w:val="en-GB"/>
        </w:rPr>
        <w:t xml:space="preserve"> grew from 41 per cent in 1996 to 49 per cent in 1999.  This means that of the 8.3 million people trained between 1995 and 1999, 48 per cent are women </w:t>
      </w:r>
      <w:r>
        <w:rPr>
          <w:kern w:val="20"/>
          <w:lang w:val="en-GB"/>
        </w:rPr>
        <w:noBreakHyphen/>
        <w:t xml:space="preserve"> in other words, approximately 4 million people.</w:t>
      </w:r>
    </w:p>
    <w:p w:rsidR="00000000" w:rsidRDefault="00000000">
      <w:pPr>
        <w:rPr>
          <w:color w:val="000000"/>
          <w:kern w:val="20"/>
        </w:rPr>
      </w:pPr>
    </w:p>
    <w:p w:rsidR="00000000" w:rsidRDefault="00000000">
      <w:pPr>
        <w:pStyle w:val="ParaNo"/>
        <w:tabs>
          <w:tab w:val="clear" w:pos="360"/>
          <w:tab w:val="clear" w:pos="737"/>
        </w:tabs>
        <w:ind w:left="0" w:firstLine="0"/>
        <w:rPr>
          <w:color w:val="000000"/>
          <w:kern w:val="20"/>
          <w:lang w:val="en-GB"/>
        </w:rPr>
      </w:pPr>
      <w:r>
        <w:rPr>
          <w:color w:val="000000"/>
          <w:kern w:val="20"/>
          <w:lang w:val="en-GB"/>
        </w:rPr>
        <w:t xml:space="preserve">On </w:t>
      </w:r>
      <w:r>
        <w:rPr>
          <w:lang w:val="en-GB"/>
        </w:rPr>
        <w:t>the</w:t>
      </w:r>
      <w:r>
        <w:rPr>
          <w:color w:val="000000"/>
          <w:kern w:val="20"/>
          <w:lang w:val="en-GB"/>
        </w:rPr>
        <w:t xml:space="preserve"> other hand, the black community faces a great many difficulties in the labour market, among which we can mention:  jobs requiring less qualification, lower salaries, obstacles to promotions.  These difficulties are accentuated when there is a convergence of characteristics such as gender and race or colour.  The situation becomes even worse when we talk about people from low</w:t>
      </w:r>
      <w:r>
        <w:rPr>
          <w:color w:val="000000"/>
          <w:kern w:val="20"/>
          <w:lang w:val="en-GB"/>
        </w:rPr>
        <w:noBreakHyphen/>
        <w:t>income groups or those with very few years of schooling.</w:t>
      </w:r>
    </w:p>
    <w:p w:rsidR="00000000" w:rsidRDefault="00000000">
      <w:pPr>
        <w:rPr>
          <w:kern w:val="20"/>
        </w:rPr>
      </w:pPr>
    </w:p>
    <w:p w:rsidR="00000000" w:rsidRDefault="00000000">
      <w:pPr>
        <w:pStyle w:val="ParaNo"/>
        <w:tabs>
          <w:tab w:val="clear" w:pos="360"/>
          <w:tab w:val="clear" w:pos="737"/>
        </w:tabs>
        <w:ind w:left="0" w:firstLine="0"/>
        <w:rPr>
          <w:color w:val="000000"/>
          <w:kern w:val="20"/>
          <w:lang w:val="en-GB"/>
        </w:rPr>
      </w:pPr>
      <w:r>
        <w:rPr>
          <w:kern w:val="20"/>
          <w:lang w:val="en-GB"/>
        </w:rPr>
        <w:t xml:space="preserve">The Government deemed that a reasonable step to take in this case would be to initiate negotiations and discussions with organized segments of the black community to permit the </w:t>
      </w:r>
      <w:r>
        <w:rPr>
          <w:lang w:val="en-GB"/>
        </w:rPr>
        <w:t>inclusion</w:t>
      </w:r>
      <w:r>
        <w:rPr>
          <w:kern w:val="20"/>
          <w:lang w:val="en-GB"/>
        </w:rPr>
        <w:t xml:space="preserve"> of the variable race/colour in statistics on professional training, in order to have materials available that would ensure more accurate diagnoses and consequently positive policies that would be more adjusted to real needs in this area.  Currently, </w:t>
      </w:r>
      <w:r>
        <w:rPr>
          <w:color w:val="000000"/>
          <w:kern w:val="20"/>
          <w:lang w:val="en-GB"/>
        </w:rPr>
        <w:t>PLANFOR does have access to more complete information on race and colour of people in training programmes.  PLANFOR is in fact the only large</w:t>
      </w:r>
      <w:r>
        <w:rPr>
          <w:color w:val="000000"/>
          <w:kern w:val="20"/>
          <w:lang w:val="en-GB"/>
        </w:rPr>
        <w:noBreakHyphen/>
        <w:t>scale public education programme in Latin America that has developed this statistical perspective.</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lang w:val="en-GB"/>
        </w:rPr>
        <w:t>Thanks</w:t>
      </w:r>
      <w:r>
        <w:rPr>
          <w:kern w:val="20"/>
          <w:lang w:val="en-GB"/>
        </w:rPr>
        <w:t xml:space="preserve"> to these developments in registration systems, we can now estimate that the average participation by Blacks and those of mixed blood among those being trained between 1995 and 1999 was 45 per cent, which means approximately 3.7 million people among these groups that did receive training (in principle, such participation is equivalent to the proportion of these races among the economically active population).  In addition to records on race and colour, a number of local projects and programmes were promoted and conceived by and for Afro</w:t>
      </w:r>
      <w:r>
        <w:rPr>
          <w:kern w:val="20"/>
          <w:lang w:val="en-GB"/>
        </w:rPr>
        <w:noBreakHyphen/>
        <w:t xml:space="preserve">Brazilian workers with a view to ensuring that they would receive professional training in tandem with programmes to salvage their culture and to ensure that these groups would be brought into the mainstream. </w:t>
      </w:r>
    </w:p>
    <w:p w:rsidR="00000000" w:rsidRDefault="00000000">
      <w:pPr>
        <w:pStyle w:val="ParaNo"/>
        <w:numPr>
          <w:ilvl w:val="0"/>
          <w:numId w:val="0"/>
        </w:numPr>
        <w:tabs>
          <w:tab w:val="clear" w:pos="737"/>
        </w:tabs>
        <w:rPr>
          <w:kern w:val="20"/>
          <w:lang w:val="en-GB"/>
        </w:rPr>
      </w:pPr>
    </w:p>
    <w:p w:rsidR="00000000" w:rsidRDefault="00000000">
      <w:pPr>
        <w:pStyle w:val="ParaNo"/>
        <w:tabs>
          <w:tab w:val="clear" w:pos="360"/>
          <w:tab w:val="clear" w:pos="737"/>
        </w:tabs>
        <w:ind w:left="0" w:firstLine="0"/>
        <w:rPr>
          <w:color w:val="000000"/>
          <w:kern w:val="20"/>
          <w:lang w:val="en-GB"/>
        </w:rPr>
      </w:pPr>
      <w:r>
        <w:rPr>
          <w:color w:val="000000"/>
          <w:kern w:val="20"/>
          <w:lang w:val="en-GB"/>
        </w:rPr>
        <w:br w:type="page"/>
        <w:t>In additional efforts to ensure that black communities will truly be brought into the mainstream of the labour market, the Ministries of Justice and Labour and Employment signed a “Protocol to Promote Racial and Ethnic Equality in the Workplace” on 13 May 1998.  This protocol consolidates the progress made in handling these issues and sets forth a policy for professional and vocational training, employment and income for Afro</w:t>
      </w:r>
      <w:r>
        <w:rPr>
          <w:color w:val="000000"/>
          <w:kern w:val="20"/>
          <w:lang w:val="en-GB"/>
        </w:rPr>
        <w:noBreakHyphen/>
        <w:t>Brazilian men and women who work</w:t>
      </w:r>
      <w:r>
        <w:rPr>
          <w:kern w:val="20"/>
          <w:lang w:val="en-GB"/>
        </w:rPr>
        <w:t>.</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Another perspective that is worthy of government attention is that of persons with disabilities, which was also incorporated into PLANFOR.  In 1996, the National Programme for Persons with Disabilities (MTb/SEFOR, 1997) was set up.  This is an instrument that involves coordinated and specific actions (both in conceptual and operational terms) and that has brought in a number of specialists and organizations to work with these groups.</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 xml:space="preserve">Beginning in 1998, once the guidelines and the practices for dealing with persons with </w:t>
      </w:r>
      <w:r>
        <w:rPr>
          <w:lang w:val="en-GB"/>
        </w:rPr>
        <w:t>disabilities</w:t>
      </w:r>
      <w:r>
        <w:rPr>
          <w:kern w:val="20"/>
          <w:lang w:val="en-GB"/>
        </w:rPr>
        <w:t xml:space="preserve"> had been put in place, PLANFOR made a quantum leap in terms of the concepts and methodologies of great importance that it works with, because it decided not to determine a specific programme for persons with disabilities, but instead decided to guarantee what seemed to be more important, in other words, to give priority to persons with disabilities who sought out training programmes.  Current data indicate that in 1999, once the guideline and the record system had been set up, 159,000 persons with disabilities were trained, equivalent to 6 per cent of the total for PLANFOR.  This number is similar to the percentage of the economically active population that has disabilities.</w:t>
      </w:r>
    </w:p>
    <w:p w:rsidR="00000000" w:rsidRDefault="00000000">
      <w:pPr>
        <w:pStyle w:val="ParaNo"/>
        <w:numPr>
          <w:ilvl w:val="0"/>
          <w:numId w:val="0"/>
        </w:numPr>
        <w:tabs>
          <w:tab w:val="clear" w:pos="737"/>
        </w:tabs>
        <w:rPr>
          <w:kern w:val="20"/>
          <w:lang w:val="en-GB"/>
        </w:rPr>
      </w:pPr>
    </w:p>
    <w:p w:rsidR="00000000" w:rsidRDefault="00000000">
      <w:pPr>
        <w:pStyle w:val="ParaNo"/>
        <w:tabs>
          <w:tab w:val="clear" w:pos="360"/>
          <w:tab w:val="clear" w:pos="737"/>
        </w:tabs>
        <w:ind w:left="0" w:firstLine="0"/>
        <w:rPr>
          <w:color w:val="000000"/>
          <w:kern w:val="20"/>
          <w:lang w:val="en-GB"/>
        </w:rPr>
      </w:pPr>
      <w:r>
        <w:rPr>
          <w:color w:val="000000"/>
          <w:kern w:val="20"/>
          <w:lang w:val="en-GB"/>
        </w:rPr>
        <w:t xml:space="preserve">A closer look at government efforts to promote the rights of people with disabilities to work reveals that, as occurred in the case of gender or race/colour, a number of innovative experiments have </w:t>
      </w:r>
      <w:r>
        <w:rPr>
          <w:lang w:val="en-GB"/>
        </w:rPr>
        <w:t>been</w:t>
      </w:r>
      <w:r>
        <w:rPr>
          <w:color w:val="000000"/>
          <w:kern w:val="20"/>
          <w:lang w:val="en-GB"/>
        </w:rPr>
        <w:t xml:space="preserve"> set up comprising carefully targeted programmes.  PLANFOR also focused on broader programmes, which also foster participation by people with disabilities with a view to elevating their educational attainments.  One example is the case of </w:t>
      </w:r>
      <w:r>
        <w:rPr>
          <w:iCs/>
          <w:color w:val="000000"/>
          <w:kern w:val="20"/>
          <w:lang w:val="en-GB"/>
        </w:rPr>
        <w:t>Telecurso 2000</w:t>
      </w:r>
      <w:r>
        <w:rPr>
          <w:color w:val="000000"/>
          <w:kern w:val="20"/>
          <w:lang w:val="en-GB"/>
        </w:rPr>
        <w:t xml:space="preserve"> </w:t>
      </w:r>
      <w:r>
        <w:rPr>
          <w:color w:val="000000"/>
          <w:kern w:val="20"/>
          <w:lang w:val="en-GB"/>
        </w:rPr>
        <w:noBreakHyphen/>
        <w:t xml:space="preserve"> a distance education programme providing supplementary and vocational training in sign language for deaf people.  A broad overview of PLANFOR’s activities, between 1995 and 1998, in conjunction with realistic projections for the period until 2002, shows that the Brazilian Government believes it will be possible to perfect the programmes designed to meet the needs of diverse groups within the economically active population even better than in the past.  A great effort will have to be made to achieve the progress that is desired.  Nevertheless, undeniable advances have been made, such as greater access to professional training for women, young people, workers in the informal sector, people from rural areas, non</w:t>
      </w:r>
      <w:r>
        <w:rPr>
          <w:color w:val="000000"/>
          <w:kern w:val="20"/>
          <w:lang w:val="en-GB"/>
        </w:rPr>
        <w:noBreakHyphen/>
        <w:t>Whites, all of whom are from groups whose specific needs have not been dealt with properly in the generic and traditional institutional framework.</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 xml:space="preserve">An important distinction needs to be made between the demand for specific qualifications </w:t>
      </w:r>
      <w:r>
        <w:rPr>
          <w:lang w:val="en-GB"/>
        </w:rPr>
        <w:t>emanating</w:t>
      </w:r>
      <w:r>
        <w:rPr>
          <w:kern w:val="20"/>
          <w:lang w:val="en-GB"/>
        </w:rPr>
        <w:t xml:space="preserve"> from the labour market and the practice of discrimination.  Brazil is pleased to observe a growing concern regarding this topic on the part of the Committee on Economic, Social and Cultural Rights.</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br w:type="page"/>
        <w:t>Brazil’s Constitution has a chapter on social rights which determines specific protection for:  labour markets for women, via specific incentives determined by law; the prohibition of different salaries, different duties and different admission criteria based on gender, age, colour or civil status; the prohibition of any type of discrimination regarding wages and admission criteria vis</w:t>
      </w:r>
      <w:r>
        <w:rPr>
          <w:kern w:val="20"/>
          <w:lang w:val="en-GB"/>
        </w:rPr>
        <w:noBreakHyphen/>
        <w:t>à</w:t>
      </w:r>
      <w:r>
        <w:rPr>
          <w:kern w:val="20"/>
          <w:lang w:val="en-GB"/>
        </w:rPr>
        <w:noBreakHyphen/>
        <w:t>vis workers with disabilities; and the prohibition of distinctions between manual, technical and intellectual labour or among professionals in these respective areas.  These provisions have allowed Brazil to determine a minimum level of protection regulated by specific legislation, to protect the physical safety and moral integrity of its workers.</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 xml:space="preserve">Brazil’s legislation never permits a distinction, exclusion or preference based on any of the conditions named above.  No waivers to discrimination laws are allowed on the basis of the </w:t>
      </w:r>
      <w:r>
        <w:rPr>
          <w:lang w:val="en-GB"/>
        </w:rPr>
        <w:t>inherent</w:t>
      </w:r>
      <w:r>
        <w:rPr>
          <w:kern w:val="20"/>
          <w:lang w:val="en-GB"/>
        </w:rPr>
        <w:t xml:space="preserve"> requirements of a particular job.  Labour inspectors are constantly vigilant as to admission requirements and specific conditions attaching to specific jobs to ensure that such prerequisites will not contain any provisions of a discriminatory nature. </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 xml:space="preserve">With regard to holding more than one job, data from the 1999 PNAD/IBGE survey (the National Residential Sample Survey) reveals that in Brazil about 3.3 million people (or 4.7 per cent of all people with jobs) find themselves holding more than one job.  The absolute number did not </w:t>
      </w:r>
      <w:r>
        <w:rPr>
          <w:lang w:val="en-GB"/>
        </w:rPr>
        <w:t>change</w:t>
      </w:r>
      <w:r>
        <w:rPr>
          <w:kern w:val="20"/>
          <w:lang w:val="en-GB"/>
        </w:rPr>
        <w:t xml:space="preserve"> in a significant way between 1995 and 1999, although there was a slight increase over the four</w:t>
      </w:r>
      <w:r>
        <w:rPr>
          <w:kern w:val="20"/>
          <w:lang w:val="en-GB"/>
        </w:rPr>
        <w:noBreakHyphen/>
        <w:t>year period.  Table 19 supplies data that indicate that the increase in persons with more than one job during this period was, in relative terms, less than had been observed among the whole population with a job, which led to an overall slight decrease in the share.</w:t>
      </w:r>
    </w:p>
    <w:p w:rsidR="00000000" w:rsidRDefault="00000000"/>
    <w:p w:rsidR="00000000" w:rsidRDefault="00000000">
      <w:pPr>
        <w:jc w:val="center"/>
        <w:rPr>
          <w:b/>
          <w:bCs/>
        </w:rPr>
      </w:pPr>
      <w:r>
        <w:rPr>
          <w:b/>
          <w:bCs/>
        </w:rPr>
        <w:t>Table 19</w:t>
      </w:r>
    </w:p>
    <w:p w:rsidR="00000000" w:rsidRDefault="00000000">
      <w:pPr>
        <w:jc w:val="center"/>
        <w:rPr>
          <w:b/>
          <w:bCs/>
        </w:rPr>
      </w:pPr>
    </w:p>
    <w:p w:rsidR="00000000" w:rsidRDefault="00000000">
      <w:pPr>
        <w:jc w:val="center"/>
        <w:rPr>
          <w:b/>
          <w:bCs/>
        </w:rPr>
      </w:pPr>
      <w:r>
        <w:rPr>
          <w:b/>
          <w:bCs/>
        </w:rPr>
        <w:t>Persons with jobs compared to the number of jobs that</w:t>
      </w:r>
    </w:p>
    <w:p w:rsidR="00000000" w:rsidRDefault="00000000">
      <w:pPr>
        <w:rPr>
          <w:b/>
          <w:bCs/>
        </w:rPr>
      </w:pPr>
      <w:r>
        <w:rPr>
          <w:b/>
          <w:bCs/>
        </w:rPr>
        <w:t xml:space="preserve">                                        they held during the reference week in question</w:t>
      </w:r>
    </w:p>
    <w:p w:rsidR="00000000" w:rsidRDefault="00000000"/>
    <w:tbl>
      <w:tblPr>
        <w:tblW w:w="0" w:type="auto"/>
        <w:tblInd w:w="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694"/>
        <w:gridCol w:w="2126"/>
        <w:gridCol w:w="1984"/>
        <w:gridCol w:w="1560"/>
      </w:tblGrid>
      <w:tr w:rsidR="00000000">
        <w:tblPrEx>
          <w:tblCellMar>
            <w:top w:w="0" w:type="dxa"/>
            <w:bottom w:w="0" w:type="dxa"/>
          </w:tblCellMar>
        </w:tblPrEx>
        <w:trPr>
          <w:trHeight w:val="353"/>
        </w:trPr>
        <w:tc>
          <w:tcPr>
            <w:tcW w:w="2694" w:type="dxa"/>
          </w:tcPr>
          <w:p w:rsidR="00000000" w:rsidRDefault="00000000">
            <w:pPr>
              <w:rPr>
                <w:snapToGrid w:val="0"/>
                <w:color w:val="000000"/>
                <w:kern w:val="16"/>
              </w:rPr>
            </w:pPr>
            <w:r>
              <w:rPr>
                <w:snapToGrid w:val="0"/>
                <w:color w:val="000000"/>
                <w:kern w:val="16"/>
              </w:rPr>
              <w:t xml:space="preserve">Number of jobs during the </w:t>
            </w:r>
          </w:p>
          <w:p w:rsidR="00000000" w:rsidRDefault="00000000">
            <w:pPr>
              <w:rPr>
                <w:snapToGrid w:val="0"/>
                <w:color w:val="000000"/>
                <w:kern w:val="16"/>
              </w:rPr>
            </w:pPr>
            <w:r>
              <w:rPr>
                <w:snapToGrid w:val="0"/>
                <w:color w:val="000000"/>
                <w:kern w:val="16"/>
              </w:rPr>
              <w:t>reference week</w:t>
            </w:r>
          </w:p>
        </w:tc>
        <w:tc>
          <w:tcPr>
            <w:tcW w:w="2126" w:type="dxa"/>
          </w:tcPr>
          <w:p w:rsidR="00000000" w:rsidRDefault="00000000">
            <w:pPr>
              <w:jc w:val="center"/>
              <w:rPr>
                <w:snapToGrid w:val="0"/>
                <w:color w:val="000000"/>
                <w:kern w:val="16"/>
              </w:rPr>
            </w:pPr>
            <w:r>
              <w:rPr>
                <w:snapToGrid w:val="0"/>
                <w:color w:val="000000"/>
                <w:kern w:val="16"/>
              </w:rPr>
              <w:t>Persons with jobs</w:t>
            </w:r>
          </w:p>
          <w:p w:rsidR="00000000" w:rsidRDefault="00000000">
            <w:pPr>
              <w:jc w:val="center"/>
              <w:rPr>
                <w:snapToGrid w:val="0"/>
                <w:color w:val="000000"/>
                <w:kern w:val="16"/>
              </w:rPr>
            </w:pPr>
            <w:r>
              <w:rPr>
                <w:snapToGrid w:val="0"/>
                <w:color w:val="000000"/>
                <w:kern w:val="16"/>
              </w:rPr>
              <w:t>1995</w:t>
            </w:r>
          </w:p>
        </w:tc>
        <w:tc>
          <w:tcPr>
            <w:tcW w:w="1984" w:type="dxa"/>
          </w:tcPr>
          <w:p w:rsidR="00000000" w:rsidRDefault="00000000">
            <w:pPr>
              <w:jc w:val="center"/>
              <w:rPr>
                <w:snapToGrid w:val="0"/>
                <w:color w:val="000000"/>
                <w:kern w:val="16"/>
              </w:rPr>
            </w:pPr>
            <w:r>
              <w:rPr>
                <w:snapToGrid w:val="0"/>
                <w:color w:val="000000"/>
                <w:kern w:val="16"/>
              </w:rPr>
              <w:t>Persons with jobs 1999</w:t>
            </w:r>
          </w:p>
        </w:tc>
        <w:tc>
          <w:tcPr>
            <w:tcW w:w="1560" w:type="dxa"/>
          </w:tcPr>
          <w:p w:rsidR="00000000" w:rsidRDefault="00000000">
            <w:pPr>
              <w:jc w:val="center"/>
              <w:rPr>
                <w:snapToGrid w:val="0"/>
                <w:color w:val="000000"/>
                <w:kern w:val="16"/>
              </w:rPr>
            </w:pPr>
            <w:r>
              <w:rPr>
                <w:snapToGrid w:val="0"/>
                <w:color w:val="000000"/>
                <w:kern w:val="16"/>
              </w:rPr>
              <w:t>Variation</w:t>
            </w:r>
          </w:p>
        </w:tc>
      </w:tr>
      <w:tr w:rsidR="00000000">
        <w:tblPrEx>
          <w:tblCellMar>
            <w:top w:w="0" w:type="dxa"/>
            <w:bottom w:w="0" w:type="dxa"/>
          </w:tblCellMar>
        </w:tblPrEx>
        <w:trPr>
          <w:trHeight w:val="104"/>
        </w:trPr>
        <w:tc>
          <w:tcPr>
            <w:tcW w:w="2694" w:type="dxa"/>
            <w:tcBorders>
              <w:bottom w:val="nil"/>
            </w:tcBorders>
          </w:tcPr>
          <w:p w:rsidR="00000000" w:rsidRDefault="00000000">
            <w:pPr>
              <w:rPr>
                <w:snapToGrid w:val="0"/>
                <w:color w:val="000000"/>
                <w:kern w:val="16"/>
              </w:rPr>
            </w:pPr>
            <w:r>
              <w:rPr>
                <w:snapToGrid w:val="0"/>
                <w:color w:val="000000"/>
                <w:kern w:val="16"/>
              </w:rPr>
              <w:t>One</w:t>
            </w:r>
          </w:p>
        </w:tc>
        <w:tc>
          <w:tcPr>
            <w:tcW w:w="2126" w:type="dxa"/>
            <w:tcBorders>
              <w:bottom w:val="nil"/>
            </w:tcBorders>
          </w:tcPr>
          <w:p w:rsidR="00000000" w:rsidRDefault="00000000">
            <w:pPr>
              <w:rPr>
                <w:snapToGrid w:val="0"/>
                <w:color w:val="000000"/>
                <w:kern w:val="16"/>
              </w:rPr>
            </w:pPr>
            <w:r>
              <w:rPr>
                <w:snapToGrid w:val="0"/>
                <w:color w:val="000000"/>
                <w:kern w:val="16"/>
              </w:rPr>
              <w:t xml:space="preserve">        66 277 014</w:t>
            </w:r>
          </w:p>
        </w:tc>
        <w:tc>
          <w:tcPr>
            <w:tcW w:w="1984" w:type="dxa"/>
            <w:tcBorders>
              <w:bottom w:val="nil"/>
            </w:tcBorders>
          </w:tcPr>
          <w:p w:rsidR="00000000" w:rsidRDefault="00000000">
            <w:pPr>
              <w:rPr>
                <w:snapToGrid w:val="0"/>
                <w:color w:val="000000"/>
                <w:kern w:val="16"/>
              </w:rPr>
            </w:pPr>
            <w:r>
              <w:rPr>
                <w:snapToGrid w:val="0"/>
                <w:color w:val="000000"/>
                <w:kern w:val="16"/>
              </w:rPr>
              <w:t xml:space="preserve">      68 318 027</w:t>
            </w:r>
          </w:p>
        </w:tc>
        <w:tc>
          <w:tcPr>
            <w:tcW w:w="1560" w:type="dxa"/>
            <w:tcBorders>
              <w:bottom w:val="nil"/>
            </w:tcBorders>
          </w:tcPr>
          <w:p w:rsidR="00000000" w:rsidRDefault="00000000">
            <w:pPr>
              <w:jc w:val="center"/>
              <w:rPr>
                <w:snapToGrid w:val="0"/>
                <w:color w:val="000000"/>
                <w:kern w:val="16"/>
              </w:rPr>
            </w:pPr>
            <w:r>
              <w:rPr>
                <w:snapToGrid w:val="0"/>
                <w:color w:val="000000"/>
                <w:kern w:val="16"/>
              </w:rPr>
              <w:t>3.1%</w:t>
            </w:r>
          </w:p>
        </w:tc>
      </w:tr>
      <w:tr w:rsidR="00000000">
        <w:tblPrEx>
          <w:tblCellMar>
            <w:top w:w="0" w:type="dxa"/>
            <w:bottom w:w="0" w:type="dxa"/>
          </w:tblCellMar>
        </w:tblPrEx>
        <w:trPr>
          <w:trHeight w:val="191"/>
        </w:trPr>
        <w:tc>
          <w:tcPr>
            <w:tcW w:w="2694" w:type="dxa"/>
            <w:tcBorders>
              <w:top w:val="nil"/>
              <w:bottom w:val="nil"/>
            </w:tcBorders>
          </w:tcPr>
          <w:p w:rsidR="00000000" w:rsidRDefault="00000000">
            <w:pPr>
              <w:rPr>
                <w:snapToGrid w:val="0"/>
                <w:color w:val="000000"/>
                <w:kern w:val="16"/>
              </w:rPr>
            </w:pPr>
            <w:r>
              <w:rPr>
                <w:snapToGrid w:val="0"/>
                <w:color w:val="000000"/>
                <w:kern w:val="16"/>
              </w:rPr>
              <w:t>Two</w:t>
            </w:r>
          </w:p>
        </w:tc>
        <w:tc>
          <w:tcPr>
            <w:tcW w:w="2126" w:type="dxa"/>
            <w:tcBorders>
              <w:top w:val="nil"/>
              <w:bottom w:val="nil"/>
            </w:tcBorders>
          </w:tcPr>
          <w:p w:rsidR="00000000" w:rsidRDefault="00000000">
            <w:pPr>
              <w:rPr>
                <w:snapToGrid w:val="0"/>
                <w:color w:val="000000"/>
                <w:kern w:val="16"/>
              </w:rPr>
            </w:pPr>
            <w:r>
              <w:rPr>
                <w:snapToGrid w:val="0"/>
                <w:color w:val="000000"/>
                <w:kern w:val="16"/>
              </w:rPr>
              <w:t xml:space="preserve">          3 119 766</w:t>
            </w:r>
          </w:p>
        </w:tc>
        <w:tc>
          <w:tcPr>
            <w:tcW w:w="1984" w:type="dxa"/>
            <w:tcBorders>
              <w:top w:val="nil"/>
              <w:bottom w:val="nil"/>
            </w:tcBorders>
          </w:tcPr>
          <w:p w:rsidR="00000000" w:rsidRDefault="00000000">
            <w:pPr>
              <w:rPr>
                <w:snapToGrid w:val="0"/>
                <w:color w:val="000000"/>
                <w:kern w:val="16"/>
              </w:rPr>
            </w:pPr>
            <w:r>
              <w:rPr>
                <w:snapToGrid w:val="0"/>
                <w:color w:val="000000"/>
                <w:kern w:val="16"/>
              </w:rPr>
              <w:t xml:space="preserve">        3 125 455</w:t>
            </w:r>
          </w:p>
        </w:tc>
        <w:tc>
          <w:tcPr>
            <w:tcW w:w="1560" w:type="dxa"/>
            <w:tcBorders>
              <w:top w:val="nil"/>
              <w:bottom w:val="nil"/>
            </w:tcBorders>
          </w:tcPr>
          <w:p w:rsidR="00000000" w:rsidRDefault="00000000">
            <w:pPr>
              <w:jc w:val="center"/>
              <w:rPr>
                <w:snapToGrid w:val="0"/>
                <w:color w:val="000000"/>
                <w:kern w:val="16"/>
              </w:rPr>
            </w:pPr>
            <w:r>
              <w:rPr>
                <w:snapToGrid w:val="0"/>
                <w:color w:val="000000"/>
                <w:kern w:val="16"/>
              </w:rPr>
              <w:t>0.2%</w:t>
            </w:r>
          </w:p>
        </w:tc>
      </w:tr>
      <w:tr w:rsidR="00000000">
        <w:tblPrEx>
          <w:tblCellMar>
            <w:top w:w="0" w:type="dxa"/>
            <w:bottom w:w="0" w:type="dxa"/>
          </w:tblCellMar>
        </w:tblPrEx>
        <w:trPr>
          <w:trHeight w:val="137"/>
        </w:trPr>
        <w:tc>
          <w:tcPr>
            <w:tcW w:w="2694" w:type="dxa"/>
            <w:tcBorders>
              <w:top w:val="nil"/>
            </w:tcBorders>
          </w:tcPr>
          <w:p w:rsidR="00000000" w:rsidRDefault="00000000">
            <w:pPr>
              <w:rPr>
                <w:snapToGrid w:val="0"/>
                <w:color w:val="000000"/>
                <w:kern w:val="16"/>
              </w:rPr>
            </w:pPr>
            <w:r>
              <w:rPr>
                <w:snapToGrid w:val="0"/>
                <w:color w:val="000000"/>
                <w:kern w:val="16"/>
              </w:rPr>
              <w:t>Three or more</w:t>
            </w:r>
          </w:p>
        </w:tc>
        <w:tc>
          <w:tcPr>
            <w:tcW w:w="2126" w:type="dxa"/>
            <w:tcBorders>
              <w:top w:val="nil"/>
            </w:tcBorders>
          </w:tcPr>
          <w:p w:rsidR="00000000" w:rsidRDefault="00000000">
            <w:pPr>
              <w:rPr>
                <w:snapToGrid w:val="0"/>
                <w:color w:val="000000"/>
                <w:kern w:val="16"/>
              </w:rPr>
            </w:pPr>
            <w:r>
              <w:rPr>
                <w:snapToGrid w:val="0"/>
                <w:color w:val="000000"/>
                <w:kern w:val="16"/>
              </w:rPr>
              <w:t xml:space="preserve">             231 828</w:t>
            </w:r>
          </w:p>
        </w:tc>
        <w:tc>
          <w:tcPr>
            <w:tcW w:w="1984" w:type="dxa"/>
            <w:tcBorders>
              <w:top w:val="nil"/>
            </w:tcBorders>
          </w:tcPr>
          <w:p w:rsidR="00000000" w:rsidRDefault="00000000">
            <w:pPr>
              <w:rPr>
                <w:snapToGrid w:val="0"/>
                <w:color w:val="000000"/>
                <w:kern w:val="16"/>
              </w:rPr>
            </w:pPr>
            <w:r>
              <w:rPr>
                <w:snapToGrid w:val="0"/>
                <w:color w:val="000000"/>
                <w:kern w:val="16"/>
              </w:rPr>
              <w:t xml:space="preserve">           232 737</w:t>
            </w:r>
          </w:p>
        </w:tc>
        <w:tc>
          <w:tcPr>
            <w:tcW w:w="1560" w:type="dxa"/>
            <w:tcBorders>
              <w:top w:val="nil"/>
            </w:tcBorders>
          </w:tcPr>
          <w:p w:rsidR="00000000" w:rsidRDefault="00000000">
            <w:pPr>
              <w:jc w:val="center"/>
              <w:rPr>
                <w:snapToGrid w:val="0"/>
                <w:color w:val="000000"/>
                <w:kern w:val="16"/>
              </w:rPr>
            </w:pPr>
            <w:r>
              <w:rPr>
                <w:snapToGrid w:val="0"/>
                <w:color w:val="000000"/>
                <w:kern w:val="16"/>
              </w:rPr>
              <w:t>0.4%</w:t>
            </w:r>
          </w:p>
        </w:tc>
      </w:tr>
      <w:tr w:rsidR="00000000">
        <w:tblPrEx>
          <w:tblCellMar>
            <w:top w:w="0" w:type="dxa"/>
            <w:bottom w:w="0" w:type="dxa"/>
          </w:tblCellMar>
        </w:tblPrEx>
        <w:trPr>
          <w:trHeight w:val="84"/>
        </w:trPr>
        <w:tc>
          <w:tcPr>
            <w:tcW w:w="2694" w:type="dxa"/>
          </w:tcPr>
          <w:p w:rsidR="00000000" w:rsidRDefault="00000000">
            <w:pPr>
              <w:rPr>
                <w:snapToGrid w:val="0"/>
                <w:color w:val="000000"/>
                <w:kern w:val="16"/>
              </w:rPr>
            </w:pPr>
            <w:r>
              <w:rPr>
                <w:snapToGrid w:val="0"/>
                <w:color w:val="000000"/>
                <w:kern w:val="16"/>
              </w:rPr>
              <w:tab/>
              <w:t>Total</w:t>
            </w:r>
          </w:p>
        </w:tc>
        <w:tc>
          <w:tcPr>
            <w:tcW w:w="2126" w:type="dxa"/>
          </w:tcPr>
          <w:p w:rsidR="00000000" w:rsidRDefault="00000000">
            <w:pPr>
              <w:rPr>
                <w:snapToGrid w:val="0"/>
                <w:color w:val="000000"/>
                <w:kern w:val="16"/>
              </w:rPr>
            </w:pPr>
            <w:r>
              <w:rPr>
                <w:snapToGrid w:val="0"/>
                <w:color w:val="000000"/>
                <w:kern w:val="16"/>
              </w:rPr>
              <w:t xml:space="preserve">        69 628 608</w:t>
            </w:r>
          </w:p>
        </w:tc>
        <w:tc>
          <w:tcPr>
            <w:tcW w:w="1984" w:type="dxa"/>
          </w:tcPr>
          <w:p w:rsidR="00000000" w:rsidRDefault="00000000">
            <w:pPr>
              <w:rPr>
                <w:snapToGrid w:val="0"/>
                <w:color w:val="000000"/>
                <w:kern w:val="16"/>
              </w:rPr>
            </w:pPr>
            <w:r>
              <w:rPr>
                <w:snapToGrid w:val="0"/>
                <w:color w:val="000000"/>
                <w:kern w:val="16"/>
              </w:rPr>
              <w:t xml:space="preserve">      71 676 219</w:t>
            </w:r>
          </w:p>
        </w:tc>
        <w:tc>
          <w:tcPr>
            <w:tcW w:w="1560" w:type="dxa"/>
          </w:tcPr>
          <w:p w:rsidR="00000000" w:rsidRDefault="00000000">
            <w:pPr>
              <w:jc w:val="center"/>
              <w:rPr>
                <w:snapToGrid w:val="0"/>
                <w:color w:val="000000"/>
                <w:kern w:val="16"/>
              </w:rPr>
            </w:pPr>
            <w:r>
              <w:rPr>
                <w:snapToGrid w:val="0"/>
                <w:color w:val="000000"/>
                <w:kern w:val="16"/>
              </w:rPr>
              <w:t>2.9%</w:t>
            </w:r>
          </w:p>
        </w:tc>
      </w:tr>
    </w:tbl>
    <w:p w:rsidR="00000000" w:rsidRDefault="00000000">
      <w:pPr>
        <w:rPr>
          <w:b/>
          <w:snapToGrid w:val="0"/>
          <w:color w:val="000000"/>
          <w:kern w:val="2"/>
        </w:rPr>
      </w:pPr>
    </w:p>
    <w:p w:rsidR="00000000" w:rsidRDefault="00000000">
      <w:pPr>
        <w:rPr>
          <w:bCs/>
          <w:color w:val="000000"/>
          <w:kern w:val="2"/>
        </w:rPr>
      </w:pPr>
      <w:r>
        <w:rPr>
          <w:bCs/>
          <w:snapToGrid w:val="0"/>
          <w:color w:val="000000"/>
          <w:kern w:val="2"/>
        </w:rPr>
        <w:tab/>
      </w:r>
      <w:r>
        <w:rPr>
          <w:bCs/>
          <w:snapToGrid w:val="0"/>
          <w:color w:val="000000"/>
          <w:kern w:val="2"/>
        </w:rPr>
        <w:tab/>
      </w:r>
      <w:r>
        <w:rPr>
          <w:bCs/>
          <w:snapToGrid w:val="0"/>
          <w:color w:val="000000"/>
          <w:kern w:val="2"/>
          <w:u w:val="single"/>
        </w:rPr>
        <w:t>Source</w:t>
      </w:r>
      <w:r>
        <w:rPr>
          <w:bCs/>
          <w:snapToGrid w:val="0"/>
          <w:color w:val="000000"/>
          <w:kern w:val="2"/>
        </w:rPr>
        <w:t xml:space="preserve">:  PNAD </w:t>
      </w:r>
      <w:r>
        <w:rPr>
          <w:bCs/>
          <w:snapToGrid w:val="0"/>
          <w:color w:val="000000"/>
          <w:kern w:val="2"/>
        </w:rPr>
        <w:noBreakHyphen/>
        <w:t xml:space="preserve"> Prepared by the Ministry of Labour and Employment.</w:t>
      </w:r>
    </w:p>
    <w:p w:rsidR="00000000" w:rsidRDefault="00000000">
      <w:pPr>
        <w:rPr>
          <w:kern w:val="20"/>
        </w:rPr>
      </w:pPr>
    </w:p>
    <w:p w:rsidR="00000000" w:rsidRDefault="00000000">
      <w:pPr>
        <w:jc w:val="center"/>
        <w:rPr>
          <w:b/>
          <w:bCs/>
          <w:kern w:val="20"/>
        </w:rPr>
      </w:pPr>
      <w:r>
        <w:rPr>
          <w:b/>
          <w:bCs/>
          <w:kern w:val="20"/>
        </w:rPr>
        <w:t>Article 7</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 xml:space="preserve">With regard to the conventions of the ILO regarding which the Committee on Economic, Social and </w:t>
      </w:r>
      <w:r>
        <w:rPr>
          <w:lang w:val="en-GB"/>
        </w:rPr>
        <w:t>Cultural</w:t>
      </w:r>
      <w:r>
        <w:rPr>
          <w:kern w:val="20"/>
          <w:lang w:val="en-GB"/>
        </w:rPr>
        <w:t xml:space="preserve"> Rights has requested information in its guidelines, Brazil would like to point out the following:</w:t>
      </w:r>
    </w:p>
    <w:p w:rsidR="00000000" w:rsidRDefault="00000000">
      <w:pPr>
        <w:rPr>
          <w:kern w:val="20"/>
        </w:rPr>
      </w:pPr>
    </w:p>
    <w:p w:rsidR="00000000" w:rsidRDefault="00000000">
      <w:pPr>
        <w:rPr>
          <w:kern w:val="20"/>
        </w:rPr>
      </w:pPr>
      <w:r>
        <w:rPr>
          <w:kern w:val="20"/>
        </w:rPr>
        <w:tab/>
        <w:t>(a)</w:t>
      </w:r>
      <w:r>
        <w:rPr>
          <w:kern w:val="20"/>
        </w:rPr>
        <w:tab/>
        <w:t>Minimum Wage Fixing Convention, 1970 (No. 131).  Brazil ratified the convention in question on 4 May 1993.  The last report was submitted in 1999.  Brazil has answered the observations by the ILO Committee of Experts on methods used in setting minimum monthly wages and on the participation by organizations representing management and labour in setting such wages.  The fixing of the minimum monthly wage is a question that is always subject to intense debate and will be dealt with in specific comments to be found later in this report;</w:t>
      </w:r>
    </w:p>
    <w:p w:rsidR="00000000" w:rsidRDefault="00000000">
      <w:pPr>
        <w:rPr>
          <w:color w:val="000000"/>
          <w:kern w:val="20"/>
        </w:rPr>
      </w:pPr>
    </w:p>
    <w:p w:rsidR="00000000" w:rsidRDefault="00000000">
      <w:pPr>
        <w:rPr>
          <w:kern w:val="20"/>
        </w:rPr>
      </w:pPr>
      <w:r>
        <w:rPr>
          <w:color w:val="000000"/>
          <w:kern w:val="20"/>
        </w:rPr>
        <w:tab/>
        <w:t>(b)</w:t>
      </w:r>
      <w:r>
        <w:rPr>
          <w:color w:val="000000"/>
          <w:kern w:val="20"/>
        </w:rPr>
        <w:tab/>
      </w:r>
      <w:r>
        <w:rPr>
          <w:kern w:val="20"/>
        </w:rPr>
        <w:t>Equal Remuneration Convention, 1951 (No. 100).  Brazil ratified this convention on 25 April 1957.  A report is being submitted this year.  The report will contain data from the National Household Sample Survey of 1999 (PNAD/1999) and statistics regarding participation by men and women in the labour market.  It is worth mentioning that salary differences still persist between men and women despite the decrease in this trend in recent years.  With regard to the question of equal remuneration for men and women, recent legislation in Brazil has achieved some progress in this regard.  Examples are Bill of Law 382</w:t>
      </w:r>
      <w:r>
        <w:rPr>
          <w:kern w:val="20"/>
        </w:rPr>
        <w:noBreakHyphen/>
        <w:t>B/91, which was approved by the National Congress and transformed into Law 9799, dated 26 May 1999.  Under this law the provisions on women’s access to labour markets and other measures to be taken have been added to the Consolidated Labour Laws in Brazil;</w:t>
      </w:r>
      <w:r>
        <w:rPr>
          <w:b/>
          <w:vertAlign w:val="superscript"/>
        </w:rPr>
        <w:endnoteReference w:id="4"/>
      </w:r>
    </w:p>
    <w:p w:rsidR="00000000" w:rsidRDefault="00000000">
      <w:pPr>
        <w:rPr>
          <w:color w:val="000000"/>
          <w:kern w:val="2"/>
        </w:rPr>
      </w:pPr>
    </w:p>
    <w:p w:rsidR="00000000" w:rsidRDefault="00000000">
      <w:pPr>
        <w:rPr>
          <w:kern w:val="2"/>
        </w:rPr>
      </w:pPr>
      <w:r>
        <w:rPr>
          <w:color w:val="000000"/>
          <w:kern w:val="2"/>
        </w:rPr>
        <w:tab/>
        <w:t>(c)</w:t>
      </w:r>
      <w:r>
        <w:rPr>
          <w:color w:val="000000"/>
          <w:kern w:val="2"/>
        </w:rPr>
        <w:tab/>
      </w:r>
      <w:r>
        <w:rPr>
          <w:kern w:val="2"/>
        </w:rPr>
        <w:t>Weekly Rest (Industry) Convention, 1921 (No. 14).  Brazil ratified this convention on 25 April 1957.  A simplified report on this Convention is being submitted this year with a presentation on national legislation in this regard, and information on statistics drawn from the Federal Labour Inspection System (SFIT) on violations to the principles in the Convention found in 1997, 1998, 1999 and during the early months of 2000;</w:t>
      </w:r>
    </w:p>
    <w:p w:rsidR="00000000" w:rsidRDefault="00000000">
      <w:pPr>
        <w:rPr>
          <w:color w:val="000000"/>
          <w:kern w:val="2"/>
        </w:rPr>
      </w:pPr>
    </w:p>
    <w:p w:rsidR="00000000" w:rsidRDefault="00000000">
      <w:pPr>
        <w:rPr>
          <w:kern w:val="2"/>
        </w:rPr>
      </w:pPr>
      <w:r>
        <w:rPr>
          <w:color w:val="000000"/>
          <w:kern w:val="2"/>
        </w:rPr>
        <w:tab/>
        <w:t>(d)</w:t>
      </w:r>
      <w:r>
        <w:rPr>
          <w:color w:val="000000"/>
          <w:kern w:val="2"/>
        </w:rPr>
        <w:tab/>
        <w:t>W</w:t>
      </w:r>
      <w:r>
        <w:rPr>
          <w:kern w:val="2"/>
        </w:rPr>
        <w:t>eekly Rest (Commerce and Offices) Convention, 1957 (No. 106).  Brazil ratified this convention on 18 June 1965.  A report on the Convention is being submitted this year with a presentation on the national legislation in regard to this issue and information on statistics drawn from the Federal Labour Inspection System (SFIT) vis</w:t>
      </w:r>
      <w:r>
        <w:rPr>
          <w:kern w:val="2"/>
        </w:rPr>
        <w:noBreakHyphen/>
        <w:t>à</w:t>
      </w:r>
      <w:r>
        <w:rPr>
          <w:kern w:val="2"/>
        </w:rPr>
        <w:noBreakHyphen/>
        <w:t>vis violations to the principles of the Convention during 1997, 1998, 1999 and the early months of 2000;</w:t>
      </w:r>
    </w:p>
    <w:p w:rsidR="00000000" w:rsidRDefault="00000000">
      <w:pPr>
        <w:rPr>
          <w:color w:val="000000"/>
          <w:kern w:val="2"/>
        </w:rPr>
      </w:pPr>
    </w:p>
    <w:p w:rsidR="00000000" w:rsidRDefault="00000000">
      <w:pPr>
        <w:rPr>
          <w:kern w:val="2"/>
        </w:rPr>
      </w:pPr>
      <w:r>
        <w:rPr>
          <w:color w:val="000000"/>
          <w:kern w:val="2"/>
        </w:rPr>
        <w:tab/>
        <w:t>(e)</w:t>
      </w:r>
      <w:r>
        <w:rPr>
          <w:color w:val="000000"/>
          <w:kern w:val="2"/>
        </w:rPr>
        <w:tab/>
      </w:r>
      <w:r>
        <w:rPr>
          <w:kern w:val="2"/>
        </w:rPr>
        <w:t>Holidays with Pay (Revised) Convention, 1970 (No. 132).  Brazil ratified this convention on 23 September 1998.  The first report/record is being submitted this year with information on provisions of national legislation that cover this issue;</w:t>
      </w:r>
    </w:p>
    <w:p w:rsidR="00000000" w:rsidRDefault="00000000">
      <w:pPr>
        <w:rPr>
          <w:kern w:val="2"/>
        </w:rPr>
      </w:pPr>
    </w:p>
    <w:p w:rsidR="00000000" w:rsidRDefault="00000000">
      <w:pPr>
        <w:rPr>
          <w:kern w:val="2"/>
        </w:rPr>
      </w:pPr>
      <w:r>
        <w:rPr>
          <w:color w:val="000000"/>
          <w:kern w:val="2"/>
        </w:rPr>
        <w:tab/>
        <w:t>(f)</w:t>
      </w:r>
      <w:r>
        <w:rPr>
          <w:color w:val="000000"/>
          <w:kern w:val="2"/>
        </w:rPr>
        <w:tab/>
      </w:r>
      <w:r>
        <w:rPr>
          <w:kern w:val="2"/>
        </w:rPr>
        <w:t>Labour Inspection Convention, 1947 (No. 81).  Brazil ratified this convention on 11 October 1989.  The most recent detailed report was submitted to the ILO in 1999 with the information on Constitutional Amendment 20 which raised the minimum age for admission to the workplace to 16 years of age and 14 years of age for apprentices.  Information on progress attained in combating forced labour and efforts made to diminish workplace accidents and occupational diseases was also submitted;</w:t>
      </w:r>
    </w:p>
    <w:p w:rsidR="00000000" w:rsidRDefault="00000000">
      <w:pPr>
        <w:rPr>
          <w:color w:val="000000"/>
          <w:kern w:val="2"/>
        </w:rPr>
      </w:pPr>
    </w:p>
    <w:p w:rsidR="00000000" w:rsidRDefault="00000000">
      <w:pPr>
        <w:rPr>
          <w:kern w:val="2"/>
        </w:rPr>
      </w:pPr>
      <w:r>
        <w:rPr>
          <w:color w:val="000000"/>
          <w:kern w:val="2"/>
        </w:rPr>
        <w:tab/>
        <w:t>(g)</w:t>
      </w:r>
      <w:r>
        <w:rPr>
          <w:color w:val="000000"/>
          <w:kern w:val="2"/>
        </w:rPr>
        <w:tab/>
      </w:r>
      <w:r>
        <w:rPr>
          <w:kern w:val="2"/>
        </w:rPr>
        <w:t>Occupational Safety and Health Convention, 1981 (No. 155).  Brazil ratified this convention on 18 May 1992.  The most recent detailed report on observance of the convention was submitted to the ILO in 1999.  The Committee of Experts made an observation regarding a denunciation received by the Trade Union of Workers in the Marble, Granite and Limestone Industry of Espírito Santo (SINDIMARMORE).  The Brazilian Government stated that a Sectoral Chamber on Marble and Granite had been created for the following purposes:  (a) to adapt the inspection system to the specific characteristics of the economic activity in question; (b) to encourage negotiation among representatives of management and labour for the purpose of advancing discussions regarding the need to insert clauses on working conditions in future collective agreements and accords; (c) to promote integration of all the bodies involved in the marble and granite sectors so that, by working together, they can find solutions to problems involving the modernization of working methods, keeping the workplace environment healthy, the need to determine criteria to be used in exploiting this economic activity, as well as the need to handle information on the workplace; (d) to work intensely to observe labour standards, particularly with regard to worker health and safety.</w:t>
      </w:r>
    </w:p>
    <w:p w:rsidR="00000000" w:rsidRDefault="00000000">
      <w:pPr>
        <w:rPr>
          <w:kern w:val="2"/>
        </w:rPr>
      </w:pPr>
    </w:p>
    <w:p w:rsidR="00000000" w:rsidRDefault="00000000">
      <w:pPr>
        <w:pStyle w:val="ParaNo"/>
        <w:tabs>
          <w:tab w:val="clear" w:pos="360"/>
          <w:tab w:val="clear" w:pos="737"/>
        </w:tabs>
        <w:rPr>
          <w:kern w:val="2"/>
          <w:lang w:val="en-GB"/>
        </w:rPr>
      </w:pPr>
      <w:r>
        <w:rPr>
          <w:kern w:val="2"/>
          <w:lang w:val="en-GB"/>
        </w:rPr>
        <w:t xml:space="preserve">Before commenting on the methods employed in fixing wages, as suggested in the guidelines issued by the Committee on Economic, Social and Cultural Rights, the Brazilian Government wishes to refer to the principle of equal opportunity for promotion in the workplace.  Brazilian legislation does address the issue in article 461, opening paragraph and subparagraph 1, of the Consolidated Labour Laws.  Nevertheless, if the company has organized its staff by using a career plan that is covered in the regulations of that particular company, promotions must obey the criteria of seniority, length of service in the company, and merit (in other words, diligence and productivity) (ibid., subpara. 2).  This does not mean that strict adherence to these criteria violates the principle of equal opportunity for promotion in the workplace; on the contrary, company regulations should contain objective criteria for promotion (by seniority and merit) to ensure that the employer will respect these concepts when promoting an employee. </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kern w:val="2"/>
          <w:lang w:val="en-GB"/>
        </w:rPr>
        <w:t>Basically, workers who are deprived of equal opportunities in terms of promotions in the workplace are those who are active in the informal market (with no signed working agreement), which means that inspectors find these situations very hard to control.  In such cases, any control over promotions is the result of a subjective decision by the employer.  When such unequal treatment is in fact verified, usually after the employee has presented a complaint, or when a representative of the trade union for that group has done so, an inspection is carried out in the company.  Inspection services have preferred to begin by establishing a dialogue with the employer in order to legalize the situation.  If such attempts do not succeed, the proper legal notice is prepared.  Nevertheless, simply preparing a legal notice and doing nothing else has not produced positive results.  In this case, the legal notice has not proven an efficient instrument in doing away with this discriminatory practice, above all because discrimination is a cultural issue that requires changes in the mentality of a society.  In fact, the procedure that has brought about the best results has been a dialogue involving the company, the employee and the inspection service.  In general, the company corrects the situation and puts the principle of equal opportunities into effect.</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kern w:val="2"/>
          <w:lang w:val="en-GB"/>
        </w:rPr>
        <w:t>With regard to the minimum monthly wage and how its value is set, some brief background information on this institution in Brazil is worth mentioning.  The minimum monthly wage was first created in Brazil on 1 May 1940 as one of the developments emanating from Law 185 of January 1936 (which created the minimum monthly wage) as well as Decree</w:t>
      </w:r>
      <w:r>
        <w:rPr>
          <w:kern w:val="2"/>
          <w:lang w:val="en-GB"/>
        </w:rPr>
        <w:noBreakHyphen/>
        <w:t>Law 399 of April 1938 (which regulated the law) and Decree</w:t>
      </w:r>
      <w:r>
        <w:rPr>
          <w:kern w:val="2"/>
          <w:lang w:val="en-GB"/>
        </w:rPr>
        <w:noBreakHyphen/>
        <w:t>Law 2162 of 1 May 1940 (which set values and the date for entry into force).  Once the minimum monthly wage had been put into effect, Brazil was divided into 50 regions, for the purpose of fixing different values for the minimum monthly wage.</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kern w:val="2"/>
          <w:lang w:val="en-GB"/>
        </w:rPr>
        <w:br w:type="page"/>
        <w:t>With regard to how this value is set, it is worth mentioning that from the 1940s to the 1980s the minimum monthly wage policy suffered very few changes up until the enactment of the 1988 Constitution.  The new Federal Constitution states in article 7, paragraph IV, that the minimum monthly wage should be set in legislation which should be unified nationally.  The law states that the wage to be chosen must meet the basic living needs of workers and their families with regard to housing, food, education, health, leisure, clothing, hygiene, transportation and social security; it also requires that the minimum monthly wage be readjusted periodically.  This wage may not be contingent upon any other requirement for any other purpose.</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color w:val="000000"/>
          <w:kern w:val="2"/>
          <w:lang w:val="en-GB"/>
        </w:rPr>
        <w:t xml:space="preserve">As required by the Constitution, Law </w:t>
      </w:r>
      <w:r>
        <w:rPr>
          <w:kern w:val="2"/>
          <w:lang w:val="en-GB"/>
        </w:rPr>
        <w:t xml:space="preserve">9971 was enacted on 18 May 2000.  This law includes provisions covering the minimum monthly wage beginning 1 May 1995, and creates a unified minimum monthly wage value to be enforced throughout Brazil.  Currently, that number is Cr$ 151.00 </w:t>
      </w:r>
      <w:r>
        <w:rPr>
          <w:kern w:val="2"/>
          <w:lang w:val="en-GB"/>
        </w:rPr>
        <w:noBreakHyphen/>
        <w:t xml:space="preserve"> valid for all employees, whether urban or rural, and for all sectors of the economy.</w:t>
      </w:r>
    </w:p>
    <w:p w:rsidR="00000000" w:rsidRDefault="00000000">
      <w:pPr>
        <w:rPr>
          <w:kern w:val="2"/>
          <w:u w:val="words"/>
        </w:rPr>
      </w:pPr>
    </w:p>
    <w:p w:rsidR="00000000" w:rsidRDefault="00000000">
      <w:pPr>
        <w:pStyle w:val="ParaNo"/>
        <w:tabs>
          <w:tab w:val="clear" w:pos="360"/>
          <w:tab w:val="clear" w:pos="737"/>
        </w:tabs>
        <w:ind w:left="0" w:firstLine="0"/>
        <w:rPr>
          <w:kern w:val="2"/>
          <w:lang w:val="en-GB"/>
        </w:rPr>
      </w:pPr>
      <w:r>
        <w:rPr>
          <w:kern w:val="2"/>
          <w:lang w:val="en-GB"/>
        </w:rPr>
        <w:t xml:space="preserve">Readjustments have been on an annual basis, although neither the Constitution nor national legislation determines precise deadlines or periods within which the Government must set new values for the minimum monthly wage.  Annual readjustments have sought to ensure that, at the very least, the minimum wage will retain its purchasing power and that adjustments are made on the basis of inflation.  Inflation, in turn, should be measured by traditional consumer price indexes, such as the National Consumer Price Index (INPC), produced by the IBGE, or the </w:t>
      </w:r>
    </w:p>
    <w:p w:rsidR="00000000" w:rsidRDefault="00000000">
      <w:pPr>
        <w:rPr>
          <w:kern w:val="2"/>
        </w:rPr>
      </w:pPr>
      <w:r>
        <w:rPr>
          <w:kern w:val="2"/>
        </w:rPr>
        <w:t>Consumer Price Index (IPC), produced by the Institute and Foundation for Economic Research (FIPE).  Furthermore, attempts have been made to add real gains in earning power to the minimum wage on a gradual basis in order to help reduce poverty and continue to improve income distribution without, on the other hand, affecting public accounts or increasing the shift to jobs in the informal market.</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kern w:val="2"/>
          <w:lang w:val="en-GB"/>
        </w:rPr>
        <w:t>It is worth mentioning that the Brazilian Labour Market and the basic basket of goods are quite different from one region to another; this has also limited attempts to increase the national monthly minimum wage to a greater degree.  The individual states and the Federal District are autonomous, pursuant to Complementary Law 103, dated 14 July 2000, with regard to decisions to establish a wage floor in their jurisdictions at levels above the national minimum monthly wage, once again pursuant to paragraph V of article 7 of the Federal Constitution.</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kern w:val="2"/>
          <w:lang w:val="en-GB"/>
        </w:rPr>
        <w:t xml:space="preserve">In Brazil, all employees and their employers must sign an individual labour contract in accordance with the parameters determined by the Consolidated Labour Laws (CLT).  This must be registered in the individual’s working papers and social security papers.  Nevertheless, in accordance with the National Residential Sample Survey (PNAD) of 1998, carried out by Brazilian Institute for Geography and Statistics (IBGE), 38.4 per cent of employees </w:t>
      </w:r>
      <w:r>
        <w:rPr>
          <w:kern w:val="2"/>
          <w:lang w:val="en-GB"/>
        </w:rPr>
        <w:noBreakHyphen/>
        <w:t xml:space="preserve"> about </w:t>
      </w:r>
      <w:r>
        <w:rPr>
          <w:snapToGrid w:val="0"/>
          <w:color w:val="000000"/>
          <w:kern w:val="2"/>
          <w:lang w:val="en-GB"/>
        </w:rPr>
        <w:t xml:space="preserve">15,841,464 workers </w:t>
      </w:r>
      <w:r>
        <w:rPr>
          <w:snapToGrid w:val="0"/>
          <w:color w:val="000000"/>
          <w:kern w:val="2"/>
          <w:lang w:val="en-GB"/>
        </w:rPr>
        <w:noBreakHyphen/>
        <w:t xml:space="preserve"> do not have properly signed working papers, which means that they are included in the category of workers with an informal working relationship</w:t>
      </w:r>
      <w:r>
        <w:rPr>
          <w:kern w:val="2"/>
          <w:lang w:val="en-GB"/>
        </w:rPr>
        <w:t>.</w:t>
      </w:r>
    </w:p>
    <w:p w:rsidR="00000000" w:rsidRDefault="00000000">
      <w:pPr>
        <w:rPr>
          <w:snapToGrid w:val="0"/>
          <w:color w:val="000000"/>
          <w:kern w:val="2"/>
        </w:rPr>
      </w:pPr>
    </w:p>
    <w:p w:rsidR="00000000" w:rsidRDefault="00000000">
      <w:pPr>
        <w:pStyle w:val="ParaNo"/>
        <w:tabs>
          <w:tab w:val="clear" w:pos="360"/>
          <w:tab w:val="clear" w:pos="737"/>
        </w:tabs>
        <w:ind w:left="0" w:firstLine="0"/>
        <w:rPr>
          <w:kern w:val="2"/>
          <w:lang w:val="en-GB"/>
        </w:rPr>
      </w:pPr>
      <w:r>
        <w:rPr>
          <w:kern w:val="2"/>
          <w:lang w:val="en-GB"/>
        </w:rPr>
        <w:t xml:space="preserve">As explained above, the Federal Constitution instituted the minimum monthly wage and the Consolidated Labour Laws (CLT) cover its enforcement.  This also holds true for adjustments to the minimum monthly wage with a view to guaranteeing continued buying power parity, as required by Federal Law 9971 of 18 May 2000 on readjustments to the minimum wage </w:t>
      </w:r>
    </w:p>
    <w:p w:rsidR="00000000" w:rsidRDefault="00000000">
      <w:pPr>
        <w:rPr>
          <w:kern w:val="2"/>
        </w:rPr>
      </w:pPr>
      <w:r>
        <w:rPr>
          <w:kern w:val="2"/>
        </w:rPr>
        <w:br w:type="page"/>
        <w:t>since 1 May 1996.  In recent years, adjustments have sought not only to recover purchasing power parity by replacements calculated on the basis of inflation, which in turn, is calculated on the basis of consumer price indexes at the national level, but have also tried to add real earning power to the minimum wage.  Although the Federal Constitution has set forth criteria to be followed in setting the minimum wage in such a way as to satisfy workers’ basic needs, Law 9971, of 18 May 2000, which covers readjustments and determines values and the criteria therefor, does not in fact link the amount to be set to a basic basket of needs, including the items mentioned in the Federal Constitution such as housing and food.</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kern w:val="2"/>
          <w:lang w:val="en-GB"/>
        </w:rPr>
        <w:t>Adjustments are always the subject of an intense debate and do not always meet expectations.  The minimum monthly wage is also used as a reference when setting prices in the informal sector.  This means that because the informal sector in Brazil is so large, the prospects of pressuring prices in general, and personal and similar services in particular, is always very great after readjustments.  This aspect then affects the entire economy, and cannot be ignored when setting the minimum monthly wage.</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kern w:val="2"/>
          <w:lang w:val="en-GB"/>
        </w:rPr>
        <w:t xml:space="preserve">On these occasions the Government tries to keep two additional functions in mind as well.  The first is the possibility of using the minimum wage to improve functional income distribution by increasing the total share set aside for workers.  The second is to use the minimum wage as a tool to reduce wage inequalities, since the wage becomes the </w:t>
      </w:r>
      <w:r>
        <w:rPr>
          <w:iCs/>
          <w:kern w:val="2"/>
          <w:lang w:val="en-GB"/>
        </w:rPr>
        <w:t xml:space="preserve">de facto </w:t>
      </w:r>
      <w:r>
        <w:rPr>
          <w:kern w:val="2"/>
          <w:lang w:val="en-GB"/>
        </w:rPr>
        <w:t xml:space="preserve">wage floor.  With regard to this second point, the Government is extremely cautious when following up on the impact of the minimum monthly wage, given the fact that the principal objective, which is reducing wage inequalities, can be distorted as a result of the vulnerability of less qualified workers.  This is especially true in informal sectors, which in Brazil represent a large part of the economy, and where wages tend to be pressured in a direct relationship with the amount determined by law. </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kern w:val="2"/>
          <w:lang w:val="en-GB"/>
        </w:rPr>
        <w:t xml:space="preserve">The debates surrounding the monthly minimum wage are a constant whenever an attempt is made to respond to the expectations of a participatory society that is increasingly aware of its rights, as is the case in Brazil.  These debates will probably be based on more accurate information in the near future, when the Brazilian Government will have access to a more complete method of analysis, currently under development.  The new method will permit evaluations that will be a closer approximation to reality with regard to the ideal or approximately ideal worth of the minimum monthly wage.  The Brazilian Institute for Geography and Statistics (IBGE) has been placed in charge of this study.  The idea is that by the end of the year calculations will be made on a monthly basis to determine the exact cost of the full basic basket of living needs included in the Federal Constitution.  Currently, data of this type are only available from DIEESE, a research institute tied to the labour movement and not, therefore, an official agency. </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kern w:val="2"/>
          <w:lang w:val="en-GB"/>
        </w:rPr>
        <w:t xml:space="preserve">It is worth mentioning that oversight regarding labour law enforcement, including the payment of remuneration that must not be lower than the nationally unified minimum monthly wage, is the responsibility of the Labour Inspection Secretariat of the Ministry of Labour and Employment (SIT/MTE).  The MTE has 2,444 inspectors who are active throughout the country and are based in 117 agencies spread throughout Brazil’s 27 states.  In 1999 inspections were carried out in 347,380 establishments, covering 17,842,511 workers.  As a result of these </w:t>
      </w:r>
    </w:p>
    <w:p w:rsidR="00000000" w:rsidRDefault="00000000">
      <w:pPr>
        <w:rPr>
          <w:kern w:val="2"/>
        </w:rPr>
      </w:pPr>
      <w:r>
        <w:rPr>
          <w:kern w:val="2"/>
        </w:rPr>
        <w:br w:type="page"/>
        <w:t>inspections, labour contracts were legalized to encompass 249,795 workers who had previously been part of the informal economy.  In the year 2000, the target is to bring 600,000 workers into the fold of legal working relationships by guaranteeing, among other rights, that they will receive the minimum monthly wage.</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kern w:val="2"/>
          <w:lang w:val="en-GB"/>
        </w:rPr>
        <w:t>The issue of wage differences between men and women has attracted the particular attention of the Brazilian Government.  In addition to the comments made with regard to ILO Convention No. 100 and the legislative progress in this regard (please see the explanation in note 4), a comment is worth stating for the record.  According to a recent IBGE/PNAD survey (the National Household Sample Survey) female Brazilian workers increased their earnings at almost double the national rate between 1993 (which is the last year for which there was data before the Real Plan was put into effect) and last year.  During that period, the average earnings of the population with jobs increased 24.3 per cent and 43.3 per cent of this went to women and 19.4 per cent to men.  There are still inequalities in terms of remuneration, but the differences have dropped considerably:  in 1993, women earned only 49.4 per cent as much as men; in 1999, the percentage increased to 60.7 per cent.  Men’s salaries increased over the same period, between 1993 and 1999, from Cr$ 447.00 to Cr$ 534.00; and women’s salaries increased from Cr$ 226.00 to Cr$ 324.00.</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kern w:val="2"/>
          <w:lang w:val="en-GB"/>
        </w:rPr>
        <w:t>Still, according to the PNAD, the percentage of women with at least a full secondary school education was 30.4 per cent last year, in comparison with 21.2 per cent for men.  Women also do better when illiteracy rates are examined (among people between the ages of 10 and 14), in other words, only 4 per cent of women and 7 per cent of men are illiterate.  The women’s disadvantage in terms of breakdown by gender in the labour market has been attenuated.  In 1993, for every 100 people with a job, 61.2 per cent were men and 38.8 per cent were women; in 1999, 59.7 per cent were men and 40.3 per cent were women.</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kern w:val="2"/>
          <w:lang w:val="en-GB"/>
        </w:rPr>
        <w:t>The data from recent studies also reveal that there has been an increase in the number of women who are responsible for their own families.  In the last year of the past decade, 20.1 per cent of households were headed by women, an amount that increased to 22.9 per cent in 1995, and to 26 per cent, in 1999.</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kern w:val="2"/>
          <w:lang w:val="en-GB"/>
        </w:rPr>
        <w:t>The information produced by the PNAD portrays the situation in Brazil once a year and reveals the evolution of socio</w:t>
      </w:r>
      <w:r>
        <w:rPr>
          <w:kern w:val="2"/>
          <w:lang w:val="en-GB"/>
        </w:rPr>
        <w:noBreakHyphen/>
        <w:t>economic conditions from the national level to the metropolitan level, and also reveals aspects that distinguish the geographic areas that make up the country.  The 1999 results are the last results of the PNAD for the decade of the 1990s.  During that time a number of economic factors created significant modifications in the demographic, social, and economic profile of the population in Brazil.  These factors were both external and internal, and included public policies, technological progress, modernization in management and production methods, and the increasingly broader access to information and processes implemented in earlier decades.  According to the PNAD, the drastic measures contained in the Collor Plan affected all income groups indiscriminately and, in fact, hit hardest at the highest income groups.  Their remuneration for 1990 was lower than it had been for the four previous years, thus improving income distribution.  The recession that followed the economic plan made the earnings curves continue to drop until 1992.  The wage policy implemented in 1991, which in one way or another protected the lowest income groups, contributed to a continuing improvement in terms of income distribution until 1992.  In 1993, when the economic recovery first began, despite the fact that the inflationary spiral also reappeared, a more favourable wage policy led to increasing remuneration.  This positive thrust was felt with a greater intensity in the higher income groups, inverting the upward trend of the income distribution curve.</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kern w:val="2"/>
          <w:lang w:val="en-GB"/>
        </w:rPr>
        <w:t>The Real Plan, created in July 1994, led to an immediate and sharp drop in inflation and was conducive to accelerated economic growth and higher earnings.  Indexation was maintained in Brazil and was only partially eliminated in June 1995, which means that in one way or another it was able to protect the lowest income categories.  The gains that resulted from this favourable period of stability did reach the base of the earnings pyramid in 1995, and improvements in income distribution were felt once again.  In 1996, after the end of the first phase of the Real Plan, real gains in earnings dropped to lower levels in light of the new reality, in other words, a stable economy.  In general, earnings grew in a way that was inversely proportional to the amount of the earnings, once again improving income distribution.</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kern w:val="2"/>
          <w:lang w:val="en-GB"/>
        </w:rPr>
        <w:t>The two crises resulting from disturbances in the international economic order that occurred in the two following years led to adjustments in Brazil’s economic policy.  The first crisis occurred after the period that was portrayed in the 1997 survey.  The second crisis happened shortly before the 1998 survey, and the damage that it caused was not completely reflected in the survey, given the gap between the actual impact of the crisis on the economy and its consequences on the labour market and on its earnings.  Remuneration did suffer some slight drops in 1997 and in 1998.  Income distribution, which had stabilized in 1997, increased in 1998, as a result of gains in the lower half of the earnings pyramid and slight losses in the upper half, especially with regard to remuneration for work.  These were already the first signs of the recessive impact.  The earnings linked to the minimum wage, which did enjoy a real gain, constituted one of the factors that helped to sustain the increase in the lower half of the remuneration distribution pyramid.</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kern w:val="2"/>
          <w:lang w:val="en-GB"/>
        </w:rPr>
        <w:t xml:space="preserve">In 1999, the first signs of a recovering economy began to be seen, but there was also an increase in inflation (which had actually been dropping since the Real Plan was first implemented).  This inflation caused a slight loss in the real value of the minimum monthly wage.  Furthermore, the consequences of the recessive period led to real losses in earnings.  In 1999, earnings suffered a substantial reduction, which affected the highest income levels slightly more than other income groups.  The share in total remuneration withdrawn from the upper part of the pyramid was distributed throughout the rest of the pyramid, once again improving income distribution. </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kern w:val="2"/>
          <w:lang w:val="en-GB"/>
        </w:rPr>
        <w:t>In 1998 and up until 1999, the 10 per cent who earned the least for their labour suffered real losses of approximately 6.8 per cent; and at the other extreme, the 10 per cent who earned the most suffered real losses of 8.6 per cent.  Total monies spent on remunerating labour were distributed as follows:  the 10 per cent of wage earners who earned the most earned 51.5 per cent of total earnings in 1989 and 45.7 per cent in 1999.  An examination of the period between 1989 and 1999 reveals that the Gini index (which measures the distribution of earnings from wages) reached a maximum (0.630) in 1989, and a minimum (0.567) in 1999.  A geographic comparison shows that income distribution continued to be poorest in the north</w:t>
      </w:r>
      <w:r>
        <w:rPr>
          <w:kern w:val="2"/>
          <w:lang w:val="en-GB"/>
        </w:rPr>
        <w:noBreakHyphen/>
        <w:t>eastern and central</w:t>
      </w:r>
      <w:r>
        <w:rPr>
          <w:kern w:val="2"/>
          <w:lang w:val="en-GB"/>
        </w:rPr>
        <w:noBreakHyphen/>
        <w:t>western regions of the country.</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kern w:val="2"/>
          <w:lang w:val="en-GB"/>
        </w:rPr>
        <w:t>In 1999, average remuneration for wage earners presented a reduction (7.1 per cent) vis</w:t>
      </w:r>
      <w:r>
        <w:rPr>
          <w:kern w:val="2"/>
          <w:lang w:val="en-GB"/>
        </w:rPr>
        <w:noBreakHyphen/>
        <w:t>à</w:t>
      </w:r>
      <w:r>
        <w:rPr>
          <w:kern w:val="2"/>
          <w:lang w:val="en-GB"/>
        </w:rPr>
        <w:noBreakHyphen/>
        <w:t>vis the previous year, and remained below the levels attained in 1989 and since 1995.  The drop in earnings affected every category of worker and totalled 6.2 per cent for employees, 7.4 per cent for self</w:t>
      </w:r>
      <w:r>
        <w:rPr>
          <w:kern w:val="2"/>
          <w:lang w:val="en-GB"/>
        </w:rPr>
        <w:noBreakHyphen/>
        <w:t>employed workers and 9.5 per cent for employers.  Among domestic workers the loss was smaller (2.2 per cent).</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kern w:val="2"/>
          <w:lang w:val="en-GB"/>
        </w:rPr>
        <w:t>In regional terms, the north</w:t>
      </w:r>
      <w:r>
        <w:rPr>
          <w:kern w:val="2"/>
          <w:lang w:val="en-GB"/>
        </w:rPr>
        <w:noBreakHyphen/>
        <w:t>east continued to be characterized by average remuneration levels that were strikingly lower than those of other regions.</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kern w:val="2"/>
          <w:lang w:val="en-GB"/>
        </w:rPr>
        <w:t>Another aspect that must be taken into account with regard to remuneration for labour is a matter to which the Brazilian Government has paid great attention.  This is non</w:t>
      </w:r>
      <w:r>
        <w:rPr>
          <w:kern w:val="2"/>
          <w:lang w:val="en-GB"/>
        </w:rPr>
        <w:noBreakHyphen/>
        <w:t>gender</w:t>
      </w:r>
      <w:r>
        <w:rPr>
          <w:kern w:val="2"/>
          <w:lang w:val="en-GB"/>
        </w:rPr>
        <w:noBreakHyphen/>
        <w:t>based discrimination.  A programme called “Programme for Brazil, Gender and Race” designed to prepare and enforce actions to combat discrimination has been created.  Within the framework of this programme, “Units for the Promotion of Equal Opportunities and to Fight Discrimination on the Job and in Professions” have been created within regional labour offices.  These Units are responsible for implementing anti</w:t>
      </w:r>
      <w:r>
        <w:rPr>
          <w:kern w:val="2"/>
          <w:lang w:val="en-GB"/>
        </w:rPr>
        <w:noBreakHyphen/>
        <w:t xml:space="preserve">discrimination policies in each of the states in Brazil.  The primary purpose of these Units is to develop activities to eliminate inequalities and to fight practices of a discriminatory nature in workplace relations.  All complaints that have reached the Unit have been properly investigated and if no solution or settlement is available at the regional office level, then the cases are referred to the Public Ministry for Labour Issues. </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kern w:val="2"/>
          <w:lang w:val="en-GB"/>
        </w:rPr>
        <w:t>The Units are such a key factor in the fight against discrimination in the workplace that the Brazilian Government would like to describe them in detail.  The Units were created by Directive 604, dated 1 June 2000, within the Ministry of Labour and Employment, in line with recommendations presented in ILO Conventions Nos. 100, 111 and 159.  The Units are responsible for:  (i) creating educational programmes to guarantee the enforcement of policies to promote equal opportunities in terms of jobs and professions; (ii) proposing strategies and activities with a view to eliminating discrimination and degrading treatment in order to protect the dignity of the individual during labour relationships; (iii) acting as clearinghouses for a number of public and private organizations that fight discrimination, in an attempt to unite efforts to increase the social efficiency and effectiveness of their activities; (iv) establishing partnerships with organizations representing the business community, trade unions and non</w:t>
      </w:r>
      <w:r>
        <w:rPr>
          <w:kern w:val="2"/>
          <w:lang w:val="en-GB"/>
        </w:rPr>
        <w:noBreakHyphen/>
        <w:t>governmental groups in order to systematize the flow of information regarding job openings or job placements for groups that are most vulnerable to discrimination; (v) keeping registries in the form of databases on the supply and demand of jobs for people with disabilities, with a view to filling the legal quotas for companies; and (vi) receiving complaints and denunciations of discriminatory practices in the workplace with a view to resolving these situations in accordance with the law and, when necessary, to refer these cases to the labour arm of the Public Ministry.  Sixteen such Units are currently operational in the States of Piaui, Mato Grosso do Sul, Rio Grande do Norte, Rio Grande do Sul, Rio de Janeiro, Pernambuco, Ceará, Bahia, Alagoas, Amazonas, Espírito Santo, Goiás, Distrito Federal, Maranhão, Mato Grosso and Minas Gerais.  Pursuant to Directive 604, annex 1, issued by the Ministry of Labour and Employment, additional Units will be set up in the States of Mato Grosso, Pará, Paraná and Rondônia (one additional Unit) in the second half of this year.</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kern w:val="2"/>
          <w:lang w:val="en-GB"/>
        </w:rPr>
        <w:br w:type="page"/>
        <w:t>Unit activities include the promotion of events, debates, campaigns and speeches with a view to motivating, sensitizing, informing and raising consciousness with regard to discrimination.  This is done by establishing partnerships with a number of players throughout society and by engaging them in the process of commitment to non</w:t>
      </w:r>
      <w:r>
        <w:rPr>
          <w:kern w:val="2"/>
          <w:lang w:val="en-GB"/>
        </w:rPr>
        <w:noBreakHyphen/>
        <w:t>discrimination.</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kern w:val="2"/>
          <w:lang w:val="en-GB"/>
        </w:rPr>
        <w:t>From January to March 2000, five Units (Rio Grande do Norte, Pernambuco, Mato Grosso, Piauí and Ceará) recorded a total of 80 complaints, of which 63 per cent had been referred to the Units by female workers.  The “Brazilian Programme on Gender and Race” and the addresses of the Units are available on the Ministry of Labour and Employment’s electronic portal site (www.mte.gov.br).</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kern w:val="2"/>
          <w:lang w:val="en-GB"/>
        </w:rPr>
        <w:t>The Brazilian Government has taken an additional step that it feels is important in fighting discrimination in the workplace.  The Ministry of Labour and Employment and the Ministry of Justice signed a Technical Cooperation Protocol on 13 May 1998 to broaden policies designed to further racial and ethnic equality in the labour market and to enhance professional training and income and job generation.  The Voluntary Civil Service was also created for the same purpose, but focuses more specifically on campaigns for young people designed to promote and defend human rights and citizenship.  The young people are trained and then given an opportunity to promote civic values among the communities in which they live.  Available positions are split equally between young men and women.  Special care is taken to ensure that the number of black people who participate will be at least equivalent to the percentage of black people in the local population.  In 1998, 1,300 young people were trained in the Federal District and 3,100 in Rio de Janeiro.  In 1999, this Service was set up in the States of Rondônia, Pará, Maranhão, Ceará, Pernambuco, Bahia, Paraná, Rio Grande do Sul, Santa Catarina, Minas Gerais, Rio de Janeiro, São Paulo, Mato Grosso, Mato Grosso do Sul, Goiás and Distrito Federal, involving a total of 6,500 young people.  The project will continue to be implemented by the Secretariat of State for Human Rights in forthcoming budget years, under a programme called “Human Rights, Everyone’s Rights” which is part of the PAA (Multi</w:t>
      </w:r>
      <w:r>
        <w:rPr>
          <w:kern w:val="2"/>
          <w:lang w:val="en-GB"/>
        </w:rPr>
        <w:noBreakHyphen/>
        <w:t>Year Plan) for 2000</w:t>
      </w:r>
      <w:r>
        <w:rPr>
          <w:kern w:val="2"/>
          <w:lang w:val="en-GB"/>
        </w:rPr>
        <w:noBreakHyphen/>
        <w:t>2003.  The goal for the period between 1999 and 2002 is to train a total of 200,000 people (an average of 50,000 a year).</w:t>
      </w:r>
    </w:p>
    <w:p w:rsidR="00000000" w:rsidRDefault="00000000">
      <w:pPr>
        <w:rPr>
          <w:kern w:val="2"/>
        </w:rPr>
      </w:pPr>
    </w:p>
    <w:p w:rsidR="00000000" w:rsidRDefault="00000000">
      <w:pPr>
        <w:pStyle w:val="ParaNo"/>
        <w:tabs>
          <w:tab w:val="clear" w:pos="360"/>
          <w:tab w:val="clear" w:pos="737"/>
        </w:tabs>
        <w:ind w:left="0" w:firstLine="0"/>
        <w:rPr>
          <w:lang w:val="en-GB"/>
        </w:rPr>
      </w:pPr>
      <w:r>
        <w:rPr>
          <w:kern w:val="2"/>
          <w:lang w:val="en-GB"/>
        </w:rPr>
        <w:t>Tables of statistics for the labour market in Brazil can be found in the pages that follow.</w:t>
      </w:r>
    </w:p>
    <w:p w:rsidR="00000000" w:rsidRDefault="00000000">
      <w:pPr>
        <w:rPr>
          <w:u w:val="single"/>
        </w:rPr>
      </w:pPr>
    </w:p>
    <w:p w:rsidR="00000000" w:rsidRDefault="00000000">
      <w:pPr>
        <w:pStyle w:val="Heading1"/>
        <w:keepNext w:val="0"/>
        <w:rPr>
          <w:kern w:val="2"/>
        </w:rPr>
      </w:pPr>
      <w:r>
        <w:rPr>
          <w:kern w:val="2"/>
        </w:rPr>
        <w:br w:type="page"/>
        <w:t>Table 20</w:t>
      </w:r>
    </w:p>
    <w:p w:rsidR="00000000" w:rsidRDefault="00000000">
      <w:pPr>
        <w:pStyle w:val="Heading1"/>
        <w:keepNext w:val="0"/>
        <w:rPr>
          <w:kern w:val="2"/>
        </w:rPr>
      </w:pPr>
    </w:p>
    <w:p w:rsidR="00000000" w:rsidRDefault="00000000">
      <w:pPr>
        <w:pStyle w:val="Heading1"/>
        <w:keepNext w:val="0"/>
        <w:rPr>
          <w:kern w:val="2"/>
        </w:rPr>
      </w:pPr>
      <w:r>
        <w:rPr>
          <w:kern w:val="2"/>
        </w:rPr>
        <w:t>Economically active population (EAP) by gender</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2758"/>
        <w:gridCol w:w="2551"/>
        <w:gridCol w:w="2189"/>
      </w:tblGrid>
      <w:tr w:rsidR="00000000">
        <w:trPr>
          <w:trHeight w:val="267"/>
          <w:tblHeader/>
          <w:jc w:val="center"/>
        </w:trPr>
        <w:tc>
          <w:tcPr>
            <w:tcW w:w="2758" w:type="dxa"/>
            <w:tcBorders>
              <w:top w:val="single" w:sz="4" w:space="0" w:color="auto"/>
              <w:bottom w:val="single" w:sz="4" w:space="0" w:color="auto"/>
            </w:tcBorders>
          </w:tcPr>
          <w:p w:rsidR="00000000" w:rsidRDefault="00000000">
            <w:pPr>
              <w:jc w:val="center"/>
            </w:pPr>
            <w:r>
              <w:t>Average</w:t>
            </w:r>
          </w:p>
        </w:tc>
        <w:tc>
          <w:tcPr>
            <w:tcW w:w="2551" w:type="dxa"/>
            <w:tcBorders>
              <w:top w:val="single" w:sz="4" w:space="0" w:color="auto"/>
              <w:bottom w:val="single" w:sz="4" w:space="0" w:color="auto"/>
            </w:tcBorders>
          </w:tcPr>
          <w:p w:rsidR="00000000" w:rsidRDefault="00000000">
            <w:pPr>
              <w:jc w:val="center"/>
            </w:pPr>
            <w:r>
              <w:t>Men</w:t>
            </w:r>
          </w:p>
        </w:tc>
        <w:tc>
          <w:tcPr>
            <w:tcW w:w="2189" w:type="dxa"/>
            <w:tcBorders>
              <w:top w:val="single" w:sz="4" w:space="0" w:color="auto"/>
              <w:bottom w:val="single" w:sz="4" w:space="0" w:color="auto"/>
            </w:tcBorders>
          </w:tcPr>
          <w:p w:rsidR="00000000" w:rsidRDefault="00000000">
            <w:pPr>
              <w:jc w:val="center"/>
            </w:pPr>
            <w:r>
              <w:t>Women</w:t>
            </w:r>
          </w:p>
        </w:tc>
      </w:tr>
      <w:tr w:rsidR="00000000">
        <w:trPr>
          <w:trHeight w:val="268"/>
          <w:jc w:val="center"/>
        </w:trPr>
        <w:tc>
          <w:tcPr>
            <w:tcW w:w="2758" w:type="dxa"/>
            <w:tcBorders>
              <w:top w:val="single" w:sz="4" w:space="0" w:color="auto"/>
            </w:tcBorders>
          </w:tcPr>
          <w:p w:rsidR="00000000" w:rsidRDefault="00000000">
            <w:r>
              <w:t>1991</w:t>
            </w:r>
          </w:p>
        </w:tc>
        <w:tc>
          <w:tcPr>
            <w:tcW w:w="2551" w:type="dxa"/>
            <w:tcBorders>
              <w:top w:val="single" w:sz="4" w:space="0" w:color="auto"/>
            </w:tcBorders>
          </w:tcPr>
          <w:p w:rsidR="00000000" w:rsidRDefault="00000000">
            <w:pPr>
              <w:jc w:val="center"/>
            </w:pPr>
            <w:r>
              <w:t xml:space="preserve"> 9 744 102</w:t>
            </w:r>
          </w:p>
        </w:tc>
        <w:tc>
          <w:tcPr>
            <w:tcW w:w="2189" w:type="dxa"/>
            <w:tcBorders>
              <w:top w:val="single" w:sz="4" w:space="0" w:color="auto"/>
            </w:tcBorders>
          </w:tcPr>
          <w:p w:rsidR="00000000" w:rsidRDefault="00000000">
            <w:pPr>
              <w:jc w:val="center"/>
            </w:pPr>
            <w:r>
              <w:t>6 104 093</w:t>
            </w:r>
          </w:p>
        </w:tc>
      </w:tr>
      <w:tr w:rsidR="00000000">
        <w:trPr>
          <w:trHeight w:val="268"/>
          <w:jc w:val="center"/>
        </w:trPr>
        <w:tc>
          <w:tcPr>
            <w:tcW w:w="2758" w:type="dxa"/>
          </w:tcPr>
          <w:p w:rsidR="00000000" w:rsidRDefault="00000000">
            <w:r>
              <w:t>1992</w:t>
            </w:r>
          </w:p>
        </w:tc>
        <w:tc>
          <w:tcPr>
            <w:tcW w:w="2551" w:type="dxa"/>
          </w:tcPr>
          <w:p w:rsidR="00000000" w:rsidRDefault="00000000">
            <w:pPr>
              <w:jc w:val="center"/>
            </w:pPr>
            <w:r>
              <w:t xml:space="preserve"> 9 889 346</w:t>
            </w:r>
          </w:p>
        </w:tc>
        <w:tc>
          <w:tcPr>
            <w:tcW w:w="2189" w:type="dxa"/>
          </w:tcPr>
          <w:p w:rsidR="00000000" w:rsidRDefault="00000000">
            <w:pPr>
              <w:jc w:val="center"/>
            </w:pPr>
            <w:r>
              <w:t>6 042 552</w:t>
            </w:r>
          </w:p>
        </w:tc>
      </w:tr>
      <w:tr w:rsidR="00000000">
        <w:trPr>
          <w:trHeight w:val="268"/>
          <w:jc w:val="center"/>
        </w:trPr>
        <w:tc>
          <w:tcPr>
            <w:tcW w:w="2758" w:type="dxa"/>
          </w:tcPr>
          <w:p w:rsidR="00000000" w:rsidRDefault="00000000">
            <w:r>
              <w:t>1993</w:t>
            </w:r>
          </w:p>
        </w:tc>
        <w:tc>
          <w:tcPr>
            <w:tcW w:w="2551" w:type="dxa"/>
          </w:tcPr>
          <w:p w:rsidR="00000000" w:rsidRDefault="00000000">
            <w:pPr>
              <w:jc w:val="center"/>
            </w:pPr>
            <w:r>
              <w:t xml:space="preserve"> 9 882 113</w:t>
            </w:r>
          </w:p>
        </w:tc>
        <w:tc>
          <w:tcPr>
            <w:tcW w:w="2189" w:type="dxa"/>
          </w:tcPr>
          <w:p w:rsidR="00000000" w:rsidRDefault="00000000">
            <w:pPr>
              <w:jc w:val="center"/>
            </w:pPr>
            <w:r>
              <w:t>6 174 537</w:t>
            </w:r>
          </w:p>
        </w:tc>
      </w:tr>
      <w:tr w:rsidR="00000000">
        <w:trPr>
          <w:trHeight w:val="268"/>
          <w:jc w:val="center"/>
        </w:trPr>
        <w:tc>
          <w:tcPr>
            <w:tcW w:w="2758" w:type="dxa"/>
          </w:tcPr>
          <w:p w:rsidR="00000000" w:rsidRDefault="00000000">
            <w:r>
              <w:t>1994</w:t>
            </w:r>
          </w:p>
        </w:tc>
        <w:tc>
          <w:tcPr>
            <w:tcW w:w="2551" w:type="dxa"/>
          </w:tcPr>
          <w:p w:rsidR="00000000" w:rsidRDefault="00000000">
            <w:pPr>
              <w:jc w:val="center"/>
            </w:pPr>
            <w:r>
              <w:t>10 073 502</w:t>
            </w:r>
          </w:p>
        </w:tc>
        <w:tc>
          <w:tcPr>
            <w:tcW w:w="2189" w:type="dxa"/>
          </w:tcPr>
          <w:p w:rsidR="00000000" w:rsidRDefault="00000000">
            <w:pPr>
              <w:jc w:val="center"/>
            </w:pPr>
            <w:r>
              <w:t>6 358 241</w:t>
            </w:r>
          </w:p>
        </w:tc>
      </w:tr>
      <w:tr w:rsidR="00000000">
        <w:trPr>
          <w:trHeight w:val="268"/>
          <w:jc w:val="center"/>
        </w:trPr>
        <w:tc>
          <w:tcPr>
            <w:tcW w:w="2758" w:type="dxa"/>
          </w:tcPr>
          <w:p w:rsidR="00000000" w:rsidRDefault="00000000">
            <w:r>
              <w:t>1995</w:t>
            </w:r>
          </w:p>
        </w:tc>
        <w:tc>
          <w:tcPr>
            <w:tcW w:w="2551" w:type="dxa"/>
          </w:tcPr>
          <w:p w:rsidR="00000000" w:rsidRDefault="00000000">
            <w:pPr>
              <w:jc w:val="center"/>
            </w:pPr>
            <w:r>
              <w:t>10 153 021</w:t>
            </w:r>
          </w:p>
        </w:tc>
        <w:tc>
          <w:tcPr>
            <w:tcW w:w="2189" w:type="dxa"/>
          </w:tcPr>
          <w:p w:rsidR="00000000" w:rsidRDefault="00000000">
            <w:pPr>
              <w:jc w:val="center"/>
            </w:pPr>
            <w:r>
              <w:t>6 601 660</w:t>
            </w:r>
          </w:p>
        </w:tc>
      </w:tr>
      <w:tr w:rsidR="00000000">
        <w:trPr>
          <w:trHeight w:val="268"/>
          <w:jc w:val="center"/>
        </w:trPr>
        <w:tc>
          <w:tcPr>
            <w:tcW w:w="2758" w:type="dxa"/>
          </w:tcPr>
          <w:p w:rsidR="00000000" w:rsidRDefault="00000000">
            <w:r>
              <w:t>1996</w:t>
            </w:r>
          </w:p>
        </w:tc>
        <w:tc>
          <w:tcPr>
            <w:tcW w:w="2551" w:type="dxa"/>
          </w:tcPr>
          <w:p w:rsidR="00000000" w:rsidRDefault="00000000">
            <w:pPr>
              <w:jc w:val="center"/>
            </w:pPr>
            <w:r>
              <w:t>10 383 991</w:t>
            </w:r>
          </w:p>
        </w:tc>
        <w:tc>
          <w:tcPr>
            <w:tcW w:w="2189" w:type="dxa"/>
          </w:tcPr>
          <w:p w:rsidR="00000000" w:rsidRDefault="00000000">
            <w:pPr>
              <w:jc w:val="center"/>
            </w:pPr>
            <w:r>
              <w:t>6 889 617</w:t>
            </w:r>
          </w:p>
        </w:tc>
      </w:tr>
      <w:tr w:rsidR="00000000">
        <w:trPr>
          <w:trHeight w:val="268"/>
          <w:jc w:val="center"/>
        </w:trPr>
        <w:tc>
          <w:tcPr>
            <w:tcW w:w="2758" w:type="dxa"/>
          </w:tcPr>
          <w:p w:rsidR="00000000" w:rsidRDefault="00000000">
            <w:r>
              <w:t>1997</w:t>
            </w:r>
          </w:p>
        </w:tc>
        <w:tc>
          <w:tcPr>
            <w:tcW w:w="2551" w:type="dxa"/>
          </w:tcPr>
          <w:p w:rsidR="00000000" w:rsidRDefault="00000000">
            <w:pPr>
              <w:jc w:val="center"/>
            </w:pPr>
            <w:r>
              <w:t>10 375 947</w:t>
            </w:r>
          </w:p>
        </w:tc>
        <w:tc>
          <w:tcPr>
            <w:tcW w:w="2189" w:type="dxa"/>
          </w:tcPr>
          <w:p w:rsidR="00000000" w:rsidRDefault="00000000">
            <w:pPr>
              <w:jc w:val="center"/>
            </w:pPr>
            <w:r>
              <w:t>6 692 284</w:t>
            </w:r>
          </w:p>
        </w:tc>
      </w:tr>
      <w:tr w:rsidR="00000000">
        <w:trPr>
          <w:trHeight w:val="268"/>
          <w:jc w:val="center"/>
        </w:trPr>
        <w:tc>
          <w:tcPr>
            <w:tcW w:w="2758" w:type="dxa"/>
          </w:tcPr>
          <w:p w:rsidR="00000000" w:rsidRDefault="00000000">
            <w:r>
              <w:t>1998</w:t>
            </w:r>
          </w:p>
        </w:tc>
        <w:tc>
          <w:tcPr>
            <w:tcW w:w="2551" w:type="dxa"/>
          </w:tcPr>
          <w:p w:rsidR="00000000" w:rsidRDefault="00000000">
            <w:pPr>
              <w:jc w:val="center"/>
            </w:pPr>
            <w:r>
              <w:t>10 471 056</w:t>
            </w:r>
          </w:p>
        </w:tc>
        <w:tc>
          <w:tcPr>
            <w:tcW w:w="2189" w:type="dxa"/>
          </w:tcPr>
          <w:p w:rsidR="00000000" w:rsidRDefault="00000000">
            <w:pPr>
              <w:jc w:val="center"/>
            </w:pPr>
            <w:r>
              <w:t>7 214 254</w:t>
            </w:r>
          </w:p>
        </w:tc>
      </w:tr>
      <w:tr w:rsidR="00000000">
        <w:trPr>
          <w:trHeight w:val="268"/>
          <w:jc w:val="center"/>
        </w:trPr>
        <w:tc>
          <w:tcPr>
            <w:tcW w:w="2758" w:type="dxa"/>
          </w:tcPr>
          <w:p w:rsidR="00000000" w:rsidRDefault="00000000">
            <w:r>
              <w:t>1999</w:t>
            </w:r>
          </w:p>
        </w:tc>
        <w:tc>
          <w:tcPr>
            <w:tcW w:w="2551" w:type="dxa"/>
          </w:tcPr>
          <w:p w:rsidR="00000000" w:rsidRDefault="00000000">
            <w:pPr>
              <w:jc w:val="center"/>
            </w:pPr>
            <w:r>
              <w:t>10 421 763</w:t>
            </w:r>
          </w:p>
        </w:tc>
        <w:tc>
          <w:tcPr>
            <w:tcW w:w="2189" w:type="dxa"/>
          </w:tcPr>
          <w:p w:rsidR="00000000" w:rsidRDefault="00000000">
            <w:pPr>
              <w:jc w:val="center"/>
            </w:pPr>
            <w:r>
              <w:t>7 299 357</w:t>
            </w:r>
          </w:p>
        </w:tc>
      </w:tr>
      <w:tr w:rsidR="00000000">
        <w:trPr>
          <w:trHeight w:val="268"/>
          <w:jc w:val="center"/>
        </w:trPr>
        <w:tc>
          <w:tcPr>
            <w:tcW w:w="2758" w:type="dxa"/>
          </w:tcPr>
          <w:p w:rsidR="00000000" w:rsidRDefault="00000000">
            <w:r>
              <w:t>Jan.</w:t>
            </w:r>
            <w:r>
              <w:noBreakHyphen/>
              <w:t>Apr. 1999</w:t>
            </w:r>
          </w:p>
        </w:tc>
        <w:tc>
          <w:tcPr>
            <w:tcW w:w="2551" w:type="dxa"/>
          </w:tcPr>
          <w:p w:rsidR="00000000" w:rsidRDefault="00000000">
            <w:pPr>
              <w:jc w:val="center"/>
            </w:pPr>
            <w:r>
              <w:t>10 302 018</w:t>
            </w:r>
          </w:p>
        </w:tc>
        <w:tc>
          <w:tcPr>
            <w:tcW w:w="2189" w:type="dxa"/>
          </w:tcPr>
          <w:p w:rsidR="00000000" w:rsidRDefault="00000000">
            <w:pPr>
              <w:jc w:val="center"/>
            </w:pPr>
            <w:r>
              <w:t>7 204 415</w:t>
            </w:r>
          </w:p>
        </w:tc>
      </w:tr>
      <w:tr w:rsidR="00000000">
        <w:trPr>
          <w:trHeight w:val="268"/>
          <w:jc w:val="center"/>
        </w:trPr>
        <w:tc>
          <w:tcPr>
            <w:tcW w:w="2758" w:type="dxa"/>
          </w:tcPr>
          <w:p w:rsidR="00000000" w:rsidRDefault="00000000">
            <w:r>
              <w:t>April 1999</w:t>
            </w:r>
          </w:p>
        </w:tc>
        <w:tc>
          <w:tcPr>
            <w:tcW w:w="2551" w:type="dxa"/>
          </w:tcPr>
          <w:p w:rsidR="00000000" w:rsidRDefault="00000000">
            <w:pPr>
              <w:jc w:val="center"/>
            </w:pPr>
            <w:r>
              <w:t>10 310 499</w:t>
            </w:r>
          </w:p>
        </w:tc>
        <w:tc>
          <w:tcPr>
            <w:tcW w:w="2189" w:type="dxa"/>
          </w:tcPr>
          <w:p w:rsidR="00000000" w:rsidRDefault="00000000">
            <w:pPr>
              <w:jc w:val="center"/>
            </w:pPr>
            <w:r>
              <w:t>7 235 202</w:t>
            </w:r>
          </w:p>
        </w:tc>
      </w:tr>
      <w:tr w:rsidR="00000000">
        <w:trPr>
          <w:trHeight w:val="267"/>
          <w:jc w:val="center"/>
        </w:trPr>
        <w:tc>
          <w:tcPr>
            <w:tcW w:w="2758" w:type="dxa"/>
          </w:tcPr>
          <w:p w:rsidR="00000000" w:rsidRDefault="00000000">
            <w:r>
              <w:t>May 1999</w:t>
            </w:r>
          </w:p>
        </w:tc>
        <w:tc>
          <w:tcPr>
            <w:tcW w:w="2551" w:type="dxa"/>
          </w:tcPr>
          <w:p w:rsidR="00000000" w:rsidRDefault="00000000">
            <w:pPr>
              <w:jc w:val="center"/>
            </w:pPr>
            <w:r>
              <w:t>10 394 800</w:t>
            </w:r>
          </w:p>
        </w:tc>
        <w:tc>
          <w:tcPr>
            <w:tcW w:w="2189" w:type="dxa"/>
          </w:tcPr>
          <w:p w:rsidR="00000000" w:rsidRDefault="00000000">
            <w:pPr>
              <w:jc w:val="center"/>
            </w:pPr>
            <w:r>
              <w:t>7 275 138</w:t>
            </w:r>
          </w:p>
        </w:tc>
      </w:tr>
      <w:tr w:rsidR="00000000">
        <w:trPr>
          <w:trHeight w:val="268"/>
          <w:jc w:val="center"/>
        </w:trPr>
        <w:tc>
          <w:tcPr>
            <w:tcW w:w="2758" w:type="dxa"/>
          </w:tcPr>
          <w:p w:rsidR="00000000" w:rsidRDefault="00000000">
            <w:r>
              <w:t>June 1999</w:t>
            </w:r>
          </w:p>
        </w:tc>
        <w:tc>
          <w:tcPr>
            <w:tcW w:w="2551" w:type="dxa"/>
          </w:tcPr>
          <w:p w:rsidR="00000000" w:rsidRDefault="00000000">
            <w:pPr>
              <w:jc w:val="center"/>
            </w:pPr>
            <w:r>
              <w:t>10 571 700</w:t>
            </w:r>
          </w:p>
        </w:tc>
        <w:tc>
          <w:tcPr>
            <w:tcW w:w="2189" w:type="dxa"/>
          </w:tcPr>
          <w:p w:rsidR="00000000" w:rsidRDefault="00000000">
            <w:pPr>
              <w:jc w:val="center"/>
            </w:pPr>
            <w:r>
              <w:t>7 307 592</w:t>
            </w:r>
          </w:p>
        </w:tc>
      </w:tr>
      <w:tr w:rsidR="00000000">
        <w:trPr>
          <w:trHeight w:val="268"/>
          <w:jc w:val="center"/>
        </w:trPr>
        <w:tc>
          <w:tcPr>
            <w:tcW w:w="2758" w:type="dxa"/>
          </w:tcPr>
          <w:p w:rsidR="00000000" w:rsidRDefault="00000000">
            <w:r>
              <w:t>July 1999</w:t>
            </w:r>
          </w:p>
        </w:tc>
        <w:tc>
          <w:tcPr>
            <w:tcW w:w="2551" w:type="dxa"/>
          </w:tcPr>
          <w:p w:rsidR="00000000" w:rsidRDefault="00000000">
            <w:pPr>
              <w:jc w:val="center"/>
            </w:pPr>
            <w:r>
              <w:t>10 409 262</w:t>
            </w:r>
          </w:p>
        </w:tc>
        <w:tc>
          <w:tcPr>
            <w:tcW w:w="2189" w:type="dxa"/>
          </w:tcPr>
          <w:p w:rsidR="00000000" w:rsidRDefault="00000000">
            <w:pPr>
              <w:jc w:val="center"/>
            </w:pPr>
            <w:r>
              <w:t>7 258 545</w:t>
            </w:r>
          </w:p>
        </w:tc>
      </w:tr>
      <w:tr w:rsidR="00000000">
        <w:trPr>
          <w:trHeight w:val="268"/>
          <w:jc w:val="center"/>
        </w:trPr>
        <w:tc>
          <w:tcPr>
            <w:tcW w:w="2758" w:type="dxa"/>
          </w:tcPr>
          <w:p w:rsidR="00000000" w:rsidRDefault="00000000">
            <w:r>
              <w:t>Aug. 1999</w:t>
            </w:r>
          </w:p>
        </w:tc>
        <w:tc>
          <w:tcPr>
            <w:tcW w:w="2551" w:type="dxa"/>
          </w:tcPr>
          <w:p w:rsidR="00000000" w:rsidRDefault="00000000">
            <w:pPr>
              <w:jc w:val="center"/>
            </w:pPr>
            <w:r>
              <w:t>10 407 436</w:t>
            </w:r>
          </w:p>
        </w:tc>
        <w:tc>
          <w:tcPr>
            <w:tcW w:w="2189" w:type="dxa"/>
          </w:tcPr>
          <w:p w:rsidR="00000000" w:rsidRDefault="00000000">
            <w:pPr>
              <w:jc w:val="center"/>
            </w:pPr>
            <w:r>
              <w:t>7 295 210</w:t>
            </w:r>
          </w:p>
        </w:tc>
      </w:tr>
      <w:tr w:rsidR="00000000">
        <w:trPr>
          <w:trHeight w:val="268"/>
          <w:jc w:val="center"/>
        </w:trPr>
        <w:tc>
          <w:tcPr>
            <w:tcW w:w="2758" w:type="dxa"/>
          </w:tcPr>
          <w:p w:rsidR="00000000" w:rsidRDefault="00000000">
            <w:r>
              <w:t>Sept. 1999</w:t>
            </w:r>
          </w:p>
        </w:tc>
        <w:tc>
          <w:tcPr>
            <w:tcW w:w="2551" w:type="dxa"/>
          </w:tcPr>
          <w:p w:rsidR="00000000" w:rsidRDefault="00000000">
            <w:pPr>
              <w:jc w:val="center"/>
            </w:pPr>
            <w:r>
              <w:t>10 452 981</w:t>
            </w:r>
          </w:p>
        </w:tc>
        <w:tc>
          <w:tcPr>
            <w:tcW w:w="2189" w:type="dxa"/>
          </w:tcPr>
          <w:p w:rsidR="00000000" w:rsidRDefault="00000000">
            <w:pPr>
              <w:jc w:val="center"/>
            </w:pPr>
            <w:r>
              <w:t>7 374 816</w:t>
            </w:r>
          </w:p>
        </w:tc>
      </w:tr>
      <w:tr w:rsidR="00000000">
        <w:trPr>
          <w:trHeight w:val="268"/>
          <w:jc w:val="center"/>
        </w:trPr>
        <w:tc>
          <w:tcPr>
            <w:tcW w:w="2758" w:type="dxa"/>
          </w:tcPr>
          <w:p w:rsidR="00000000" w:rsidRDefault="00000000">
            <w:r>
              <w:t>Oct. 1999</w:t>
            </w:r>
          </w:p>
        </w:tc>
        <w:tc>
          <w:tcPr>
            <w:tcW w:w="2551" w:type="dxa"/>
          </w:tcPr>
          <w:p w:rsidR="00000000" w:rsidRDefault="00000000">
            <w:pPr>
              <w:jc w:val="center"/>
            </w:pPr>
            <w:r>
              <w:t>10 521 028</w:t>
            </w:r>
          </w:p>
        </w:tc>
        <w:tc>
          <w:tcPr>
            <w:tcW w:w="2189" w:type="dxa"/>
          </w:tcPr>
          <w:p w:rsidR="00000000" w:rsidRDefault="00000000">
            <w:pPr>
              <w:jc w:val="center"/>
            </w:pPr>
            <w:r>
              <w:t>7 411 248</w:t>
            </w:r>
          </w:p>
        </w:tc>
      </w:tr>
      <w:tr w:rsidR="00000000">
        <w:trPr>
          <w:trHeight w:val="268"/>
          <w:jc w:val="center"/>
        </w:trPr>
        <w:tc>
          <w:tcPr>
            <w:tcW w:w="2758" w:type="dxa"/>
          </w:tcPr>
          <w:p w:rsidR="00000000" w:rsidRDefault="00000000">
            <w:r>
              <w:t>Nov. 1999</w:t>
            </w:r>
          </w:p>
        </w:tc>
        <w:tc>
          <w:tcPr>
            <w:tcW w:w="2551" w:type="dxa"/>
          </w:tcPr>
          <w:p w:rsidR="00000000" w:rsidRDefault="00000000">
            <w:pPr>
              <w:jc w:val="center"/>
            </w:pPr>
            <w:r>
              <w:t>10 572 971</w:t>
            </w:r>
          </w:p>
        </w:tc>
        <w:tc>
          <w:tcPr>
            <w:tcW w:w="2189" w:type="dxa"/>
          </w:tcPr>
          <w:p w:rsidR="00000000" w:rsidRDefault="00000000">
            <w:pPr>
              <w:jc w:val="center"/>
            </w:pPr>
            <w:r>
              <w:t>7 427 359</w:t>
            </w:r>
          </w:p>
        </w:tc>
      </w:tr>
      <w:tr w:rsidR="00000000">
        <w:trPr>
          <w:trHeight w:val="268"/>
          <w:jc w:val="center"/>
        </w:trPr>
        <w:tc>
          <w:tcPr>
            <w:tcW w:w="2758" w:type="dxa"/>
          </w:tcPr>
          <w:p w:rsidR="00000000" w:rsidRDefault="00000000">
            <w:r>
              <w:t>Dec. 1999</w:t>
            </w:r>
          </w:p>
        </w:tc>
        <w:tc>
          <w:tcPr>
            <w:tcW w:w="2551" w:type="dxa"/>
          </w:tcPr>
          <w:p w:rsidR="00000000" w:rsidRDefault="00000000">
            <w:pPr>
              <w:jc w:val="center"/>
            </w:pPr>
            <w:r>
              <w:t>10 522 905</w:t>
            </w:r>
          </w:p>
        </w:tc>
        <w:tc>
          <w:tcPr>
            <w:tcW w:w="2189" w:type="dxa"/>
          </w:tcPr>
          <w:p w:rsidR="00000000" w:rsidRDefault="00000000">
            <w:pPr>
              <w:jc w:val="center"/>
            </w:pPr>
            <w:r>
              <w:t>7 424 716</w:t>
            </w:r>
          </w:p>
        </w:tc>
      </w:tr>
      <w:tr w:rsidR="00000000">
        <w:trPr>
          <w:trHeight w:val="268"/>
          <w:jc w:val="center"/>
        </w:trPr>
        <w:tc>
          <w:tcPr>
            <w:tcW w:w="2758" w:type="dxa"/>
          </w:tcPr>
          <w:p w:rsidR="00000000" w:rsidRDefault="00000000">
            <w:r>
              <w:t>Jan. 2000</w:t>
            </w:r>
          </w:p>
        </w:tc>
        <w:tc>
          <w:tcPr>
            <w:tcW w:w="2551" w:type="dxa"/>
          </w:tcPr>
          <w:p w:rsidR="00000000" w:rsidRDefault="00000000">
            <w:pPr>
              <w:jc w:val="center"/>
            </w:pPr>
            <w:r>
              <w:t>10 518 213</w:t>
            </w:r>
          </w:p>
        </w:tc>
        <w:tc>
          <w:tcPr>
            <w:tcW w:w="2189" w:type="dxa"/>
          </w:tcPr>
          <w:p w:rsidR="00000000" w:rsidRDefault="00000000">
            <w:pPr>
              <w:jc w:val="center"/>
            </w:pPr>
            <w:r>
              <w:t>7 396 863</w:t>
            </w:r>
          </w:p>
        </w:tc>
      </w:tr>
      <w:tr w:rsidR="00000000">
        <w:trPr>
          <w:trHeight w:val="268"/>
          <w:jc w:val="center"/>
        </w:trPr>
        <w:tc>
          <w:tcPr>
            <w:tcW w:w="2758" w:type="dxa"/>
          </w:tcPr>
          <w:p w:rsidR="00000000" w:rsidRDefault="00000000">
            <w:r>
              <w:t>Feb. 2000</w:t>
            </w:r>
          </w:p>
        </w:tc>
        <w:tc>
          <w:tcPr>
            <w:tcW w:w="2551" w:type="dxa"/>
          </w:tcPr>
          <w:p w:rsidR="00000000" w:rsidRDefault="00000000">
            <w:pPr>
              <w:jc w:val="center"/>
            </w:pPr>
            <w:r>
              <w:t>10 629 911</w:t>
            </w:r>
          </w:p>
        </w:tc>
        <w:tc>
          <w:tcPr>
            <w:tcW w:w="2189" w:type="dxa"/>
          </w:tcPr>
          <w:p w:rsidR="00000000" w:rsidRDefault="00000000">
            <w:pPr>
              <w:jc w:val="center"/>
            </w:pPr>
            <w:r>
              <w:t>7 472 434</w:t>
            </w:r>
          </w:p>
        </w:tc>
      </w:tr>
      <w:tr w:rsidR="00000000">
        <w:trPr>
          <w:trHeight w:val="268"/>
          <w:jc w:val="center"/>
        </w:trPr>
        <w:tc>
          <w:tcPr>
            <w:tcW w:w="2758" w:type="dxa"/>
          </w:tcPr>
          <w:p w:rsidR="00000000" w:rsidRDefault="00000000">
            <w:r>
              <w:t>March 2000</w:t>
            </w:r>
          </w:p>
        </w:tc>
        <w:tc>
          <w:tcPr>
            <w:tcW w:w="2551" w:type="dxa"/>
          </w:tcPr>
          <w:p w:rsidR="00000000" w:rsidRDefault="00000000">
            <w:pPr>
              <w:jc w:val="center"/>
            </w:pPr>
            <w:r>
              <w:t>10 743 151</w:t>
            </w:r>
          </w:p>
        </w:tc>
        <w:tc>
          <w:tcPr>
            <w:tcW w:w="2189" w:type="dxa"/>
          </w:tcPr>
          <w:p w:rsidR="00000000" w:rsidRDefault="00000000">
            <w:pPr>
              <w:jc w:val="center"/>
            </w:pPr>
            <w:r>
              <w:t>7 500 401</w:t>
            </w:r>
          </w:p>
        </w:tc>
      </w:tr>
      <w:tr w:rsidR="00000000">
        <w:trPr>
          <w:trHeight w:val="268"/>
          <w:jc w:val="center"/>
        </w:trPr>
        <w:tc>
          <w:tcPr>
            <w:tcW w:w="2758" w:type="dxa"/>
          </w:tcPr>
          <w:p w:rsidR="00000000" w:rsidRDefault="00000000">
            <w:r>
              <w:t>April 2000</w:t>
            </w:r>
          </w:p>
        </w:tc>
        <w:tc>
          <w:tcPr>
            <w:tcW w:w="2551" w:type="dxa"/>
          </w:tcPr>
          <w:p w:rsidR="00000000" w:rsidRDefault="00000000">
            <w:pPr>
              <w:jc w:val="center"/>
            </w:pPr>
            <w:r>
              <w:t>10 807 757</w:t>
            </w:r>
          </w:p>
        </w:tc>
        <w:tc>
          <w:tcPr>
            <w:tcW w:w="2189" w:type="dxa"/>
          </w:tcPr>
          <w:p w:rsidR="00000000" w:rsidRDefault="00000000">
            <w:pPr>
              <w:jc w:val="center"/>
            </w:pPr>
            <w:r>
              <w:t>7 641 348</w:t>
            </w:r>
          </w:p>
        </w:tc>
      </w:tr>
      <w:tr w:rsidR="00000000">
        <w:trPr>
          <w:trHeight w:val="268"/>
          <w:jc w:val="center"/>
        </w:trPr>
        <w:tc>
          <w:tcPr>
            <w:tcW w:w="2758" w:type="dxa"/>
          </w:tcPr>
          <w:p w:rsidR="00000000" w:rsidRDefault="00000000">
            <w:r>
              <w:t>Jan.</w:t>
            </w:r>
            <w:r>
              <w:noBreakHyphen/>
              <w:t>Apr. 2000</w:t>
            </w:r>
          </w:p>
        </w:tc>
        <w:tc>
          <w:tcPr>
            <w:tcW w:w="2551" w:type="dxa"/>
          </w:tcPr>
          <w:p w:rsidR="00000000" w:rsidRDefault="00000000">
            <w:pPr>
              <w:jc w:val="center"/>
            </w:pPr>
            <w:r>
              <w:t>10 674 758</w:t>
            </w:r>
          </w:p>
        </w:tc>
        <w:tc>
          <w:tcPr>
            <w:tcW w:w="2189" w:type="dxa"/>
          </w:tcPr>
          <w:p w:rsidR="00000000" w:rsidRDefault="00000000">
            <w:pPr>
              <w:jc w:val="center"/>
            </w:pPr>
            <w:r>
              <w:t>7 502 761</w:t>
            </w:r>
          </w:p>
        </w:tc>
      </w:tr>
    </w:tbl>
    <w:p w:rsidR="00000000" w:rsidRDefault="00000000"/>
    <w:p w:rsidR="00000000" w:rsidRDefault="00000000">
      <w:pPr>
        <w:rPr>
          <w:kern w:val="2"/>
        </w:rPr>
      </w:pPr>
      <w:r>
        <w:rPr>
          <w:kern w:val="2"/>
        </w:rPr>
        <w:tab/>
      </w:r>
      <w:r>
        <w:rPr>
          <w:kern w:val="2"/>
        </w:rPr>
        <w:tab/>
      </w:r>
      <w:r>
        <w:rPr>
          <w:kern w:val="2"/>
          <w:u w:val="single"/>
        </w:rPr>
        <w:t>Source</w:t>
      </w:r>
      <w:r>
        <w:rPr>
          <w:kern w:val="2"/>
        </w:rPr>
        <w:t xml:space="preserve">:  Ministry of Labour and Employment </w:t>
      </w:r>
      <w:r>
        <w:rPr>
          <w:kern w:val="2"/>
        </w:rPr>
        <w:noBreakHyphen/>
        <w:t xml:space="preserve"> data from SME/IBGE.  </w:t>
      </w:r>
    </w:p>
    <w:p w:rsidR="00000000" w:rsidRDefault="00000000">
      <w:pPr>
        <w:rPr>
          <w:kern w:val="2"/>
        </w:rPr>
      </w:pPr>
    </w:p>
    <w:p w:rsidR="00000000" w:rsidRDefault="00000000">
      <w:pPr>
        <w:rPr>
          <w:kern w:val="2"/>
        </w:rPr>
      </w:pPr>
      <w:r>
        <w:rPr>
          <w:kern w:val="2"/>
        </w:rPr>
        <w:tab/>
      </w:r>
      <w:r>
        <w:rPr>
          <w:kern w:val="2"/>
        </w:rPr>
        <w:tab/>
        <w:t xml:space="preserve">Journal </w:t>
      </w:r>
      <w:r>
        <w:rPr>
          <w:kern w:val="2"/>
          <w:u w:val="single"/>
        </w:rPr>
        <w:t xml:space="preserve">Mercado de Trabalho </w:t>
      </w:r>
      <w:r>
        <w:rPr>
          <w:kern w:val="2"/>
          <w:u w:val="single"/>
        </w:rPr>
        <w:noBreakHyphen/>
        <w:t xml:space="preserve"> Conjuntura e Análise</w:t>
      </w:r>
      <w:r>
        <w:rPr>
          <w:kern w:val="2"/>
        </w:rPr>
        <w:t xml:space="preserve">, Year 5, June 2000. </w:t>
      </w:r>
    </w:p>
    <w:p w:rsidR="00000000" w:rsidRDefault="00000000">
      <w:pPr>
        <w:pStyle w:val="Heading1"/>
        <w:rPr>
          <w:kern w:val="2"/>
        </w:rPr>
      </w:pPr>
    </w:p>
    <w:p w:rsidR="00000000" w:rsidRDefault="00000000">
      <w:pPr>
        <w:pStyle w:val="Heading1"/>
        <w:rPr>
          <w:kern w:val="2"/>
        </w:rPr>
      </w:pPr>
      <w:r>
        <w:rPr>
          <w:kern w:val="2"/>
        </w:rPr>
        <w:br w:type="page"/>
        <w:t>Table 21</w:t>
      </w:r>
    </w:p>
    <w:p w:rsidR="00000000" w:rsidRDefault="00000000">
      <w:pPr>
        <w:pStyle w:val="Heading1"/>
        <w:rPr>
          <w:kern w:val="2"/>
        </w:rPr>
      </w:pPr>
    </w:p>
    <w:p w:rsidR="00000000" w:rsidRDefault="00000000">
      <w:pPr>
        <w:pStyle w:val="Heading1"/>
        <w:rPr>
          <w:kern w:val="2"/>
        </w:rPr>
      </w:pPr>
      <w:r>
        <w:rPr>
          <w:kern w:val="2"/>
        </w:rPr>
        <w:t>EAP by position in the family</w:t>
      </w:r>
    </w:p>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1985"/>
        <w:gridCol w:w="1390"/>
        <w:gridCol w:w="1418"/>
        <w:gridCol w:w="1559"/>
        <w:gridCol w:w="1418"/>
        <w:gridCol w:w="1586"/>
      </w:tblGrid>
      <w:tr w:rsidR="00000000">
        <w:tc>
          <w:tcPr>
            <w:tcW w:w="1985" w:type="dxa"/>
            <w:tcBorders>
              <w:top w:val="single" w:sz="4" w:space="0" w:color="auto"/>
              <w:bottom w:val="single" w:sz="4" w:space="0" w:color="auto"/>
            </w:tcBorders>
          </w:tcPr>
          <w:p w:rsidR="00000000" w:rsidRDefault="00000000">
            <w:pPr>
              <w:jc w:val="center"/>
            </w:pPr>
            <w:r>
              <w:t>Average</w:t>
            </w:r>
          </w:p>
        </w:tc>
        <w:tc>
          <w:tcPr>
            <w:tcW w:w="1390" w:type="dxa"/>
            <w:tcBorders>
              <w:top w:val="single" w:sz="4" w:space="0" w:color="auto"/>
              <w:bottom w:val="single" w:sz="4" w:space="0" w:color="auto"/>
            </w:tcBorders>
          </w:tcPr>
          <w:p w:rsidR="00000000" w:rsidRDefault="00000000">
            <w:pPr>
              <w:jc w:val="center"/>
            </w:pPr>
            <w:r>
              <w:t>Head</w:t>
            </w:r>
          </w:p>
        </w:tc>
        <w:tc>
          <w:tcPr>
            <w:tcW w:w="1418" w:type="dxa"/>
            <w:tcBorders>
              <w:top w:val="single" w:sz="4" w:space="0" w:color="auto"/>
              <w:bottom w:val="single" w:sz="4" w:space="0" w:color="auto"/>
            </w:tcBorders>
          </w:tcPr>
          <w:p w:rsidR="00000000" w:rsidRDefault="00000000">
            <w:pPr>
              <w:jc w:val="center"/>
            </w:pPr>
            <w:r>
              <w:t>Spouse</w:t>
            </w:r>
          </w:p>
        </w:tc>
        <w:tc>
          <w:tcPr>
            <w:tcW w:w="1559" w:type="dxa"/>
            <w:tcBorders>
              <w:top w:val="single" w:sz="4" w:space="0" w:color="auto"/>
              <w:bottom w:val="single" w:sz="4" w:space="0" w:color="auto"/>
            </w:tcBorders>
          </w:tcPr>
          <w:p w:rsidR="00000000" w:rsidRDefault="00000000">
            <w:pPr>
              <w:jc w:val="center"/>
            </w:pPr>
            <w:r>
              <w:t>Offspring</w:t>
            </w:r>
          </w:p>
        </w:tc>
        <w:tc>
          <w:tcPr>
            <w:tcW w:w="1418" w:type="dxa"/>
            <w:tcBorders>
              <w:top w:val="single" w:sz="4" w:space="0" w:color="auto"/>
              <w:bottom w:val="single" w:sz="4" w:space="0" w:color="auto"/>
            </w:tcBorders>
          </w:tcPr>
          <w:p w:rsidR="00000000" w:rsidRDefault="00000000">
            <w:pPr>
              <w:jc w:val="center"/>
            </w:pPr>
            <w:r>
              <w:t>Others</w:t>
            </w:r>
          </w:p>
        </w:tc>
        <w:tc>
          <w:tcPr>
            <w:tcW w:w="1586" w:type="dxa"/>
            <w:tcBorders>
              <w:top w:val="single" w:sz="4" w:space="0" w:color="auto"/>
              <w:bottom w:val="single" w:sz="4" w:space="0" w:color="auto"/>
            </w:tcBorders>
          </w:tcPr>
          <w:p w:rsidR="00000000" w:rsidRDefault="00000000">
            <w:pPr>
              <w:jc w:val="center"/>
            </w:pPr>
            <w:r>
              <w:t>Totals</w:t>
            </w:r>
          </w:p>
        </w:tc>
      </w:tr>
      <w:tr w:rsidR="00000000">
        <w:tc>
          <w:tcPr>
            <w:tcW w:w="1985" w:type="dxa"/>
            <w:tcBorders>
              <w:top w:val="single" w:sz="4" w:space="0" w:color="auto"/>
            </w:tcBorders>
          </w:tcPr>
          <w:p w:rsidR="00000000" w:rsidRDefault="00000000">
            <w:r>
              <w:t>1991</w:t>
            </w:r>
          </w:p>
        </w:tc>
        <w:tc>
          <w:tcPr>
            <w:tcW w:w="1390" w:type="dxa"/>
            <w:tcBorders>
              <w:top w:val="single" w:sz="4" w:space="0" w:color="auto"/>
            </w:tcBorders>
          </w:tcPr>
          <w:p w:rsidR="00000000" w:rsidRDefault="00000000">
            <w:pPr>
              <w:jc w:val="center"/>
            </w:pPr>
            <w:r>
              <w:t>7 982 033</w:t>
            </w:r>
          </w:p>
        </w:tc>
        <w:tc>
          <w:tcPr>
            <w:tcW w:w="1418" w:type="dxa"/>
            <w:tcBorders>
              <w:top w:val="single" w:sz="4" w:space="0" w:color="auto"/>
            </w:tcBorders>
          </w:tcPr>
          <w:p w:rsidR="00000000" w:rsidRDefault="00000000">
            <w:pPr>
              <w:jc w:val="center"/>
            </w:pPr>
            <w:r>
              <w:t>2 671 412</w:t>
            </w:r>
          </w:p>
        </w:tc>
        <w:tc>
          <w:tcPr>
            <w:tcW w:w="1559" w:type="dxa"/>
            <w:tcBorders>
              <w:top w:val="single" w:sz="4" w:space="0" w:color="auto"/>
            </w:tcBorders>
          </w:tcPr>
          <w:p w:rsidR="00000000" w:rsidRDefault="00000000">
            <w:pPr>
              <w:jc w:val="center"/>
            </w:pPr>
            <w:r>
              <w:t>4 101 100</w:t>
            </w:r>
          </w:p>
        </w:tc>
        <w:tc>
          <w:tcPr>
            <w:tcW w:w="1418" w:type="dxa"/>
            <w:tcBorders>
              <w:top w:val="single" w:sz="4" w:space="0" w:color="auto"/>
            </w:tcBorders>
          </w:tcPr>
          <w:p w:rsidR="00000000" w:rsidRDefault="00000000">
            <w:pPr>
              <w:jc w:val="center"/>
            </w:pPr>
            <w:r>
              <w:t>1 093 650</w:t>
            </w:r>
          </w:p>
        </w:tc>
        <w:tc>
          <w:tcPr>
            <w:tcW w:w="1586" w:type="dxa"/>
            <w:tcBorders>
              <w:top w:val="single" w:sz="4" w:space="0" w:color="auto"/>
            </w:tcBorders>
          </w:tcPr>
          <w:p w:rsidR="00000000" w:rsidRDefault="00000000">
            <w:pPr>
              <w:jc w:val="center"/>
            </w:pPr>
            <w:r>
              <w:t>15 848 195</w:t>
            </w:r>
          </w:p>
        </w:tc>
      </w:tr>
      <w:tr w:rsidR="00000000">
        <w:tc>
          <w:tcPr>
            <w:tcW w:w="1985" w:type="dxa"/>
          </w:tcPr>
          <w:p w:rsidR="00000000" w:rsidRDefault="00000000">
            <w:r>
              <w:t>1992</w:t>
            </w:r>
          </w:p>
        </w:tc>
        <w:tc>
          <w:tcPr>
            <w:tcW w:w="1390" w:type="dxa"/>
          </w:tcPr>
          <w:p w:rsidR="00000000" w:rsidRDefault="00000000">
            <w:pPr>
              <w:jc w:val="center"/>
            </w:pPr>
            <w:r>
              <w:t>8 028 371</w:t>
            </w:r>
          </w:p>
        </w:tc>
        <w:tc>
          <w:tcPr>
            <w:tcW w:w="1418" w:type="dxa"/>
          </w:tcPr>
          <w:p w:rsidR="00000000" w:rsidRDefault="00000000">
            <w:pPr>
              <w:jc w:val="center"/>
            </w:pPr>
            <w:r>
              <w:t>2 650 555</w:t>
            </w:r>
          </w:p>
        </w:tc>
        <w:tc>
          <w:tcPr>
            <w:tcW w:w="1559" w:type="dxa"/>
          </w:tcPr>
          <w:p w:rsidR="00000000" w:rsidRDefault="00000000">
            <w:pPr>
              <w:jc w:val="center"/>
            </w:pPr>
            <w:r>
              <w:t>4 191 551</w:t>
            </w:r>
          </w:p>
        </w:tc>
        <w:tc>
          <w:tcPr>
            <w:tcW w:w="1418" w:type="dxa"/>
          </w:tcPr>
          <w:p w:rsidR="00000000" w:rsidRDefault="00000000">
            <w:pPr>
              <w:jc w:val="center"/>
            </w:pPr>
            <w:r>
              <w:t>1 061 421</w:t>
            </w:r>
          </w:p>
        </w:tc>
        <w:tc>
          <w:tcPr>
            <w:tcW w:w="1586" w:type="dxa"/>
          </w:tcPr>
          <w:p w:rsidR="00000000" w:rsidRDefault="00000000">
            <w:pPr>
              <w:jc w:val="center"/>
            </w:pPr>
            <w:r>
              <w:t>15 931 898</w:t>
            </w:r>
          </w:p>
        </w:tc>
      </w:tr>
      <w:tr w:rsidR="00000000">
        <w:tc>
          <w:tcPr>
            <w:tcW w:w="1985" w:type="dxa"/>
          </w:tcPr>
          <w:p w:rsidR="00000000" w:rsidRDefault="00000000">
            <w:r>
              <w:t>1993</w:t>
            </w:r>
          </w:p>
        </w:tc>
        <w:tc>
          <w:tcPr>
            <w:tcW w:w="1390" w:type="dxa"/>
          </w:tcPr>
          <w:p w:rsidR="00000000" w:rsidRDefault="00000000">
            <w:pPr>
              <w:jc w:val="center"/>
            </w:pPr>
            <w:r>
              <w:t>8 100 633</w:t>
            </w:r>
          </w:p>
        </w:tc>
        <w:tc>
          <w:tcPr>
            <w:tcW w:w="1418" w:type="dxa"/>
          </w:tcPr>
          <w:p w:rsidR="00000000" w:rsidRDefault="00000000">
            <w:pPr>
              <w:jc w:val="center"/>
            </w:pPr>
            <w:r>
              <w:t>2 695 080</w:t>
            </w:r>
          </w:p>
        </w:tc>
        <w:tc>
          <w:tcPr>
            <w:tcW w:w="1559" w:type="dxa"/>
          </w:tcPr>
          <w:p w:rsidR="00000000" w:rsidRDefault="00000000">
            <w:pPr>
              <w:jc w:val="center"/>
            </w:pPr>
            <w:r>
              <w:t>4 252 416</w:t>
            </w:r>
          </w:p>
        </w:tc>
        <w:tc>
          <w:tcPr>
            <w:tcW w:w="1418" w:type="dxa"/>
          </w:tcPr>
          <w:p w:rsidR="00000000" w:rsidRDefault="00000000">
            <w:pPr>
              <w:jc w:val="center"/>
            </w:pPr>
            <w:r>
              <w:t>1 008 521</w:t>
            </w:r>
          </w:p>
        </w:tc>
        <w:tc>
          <w:tcPr>
            <w:tcW w:w="1586" w:type="dxa"/>
          </w:tcPr>
          <w:p w:rsidR="00000000" w:rsidRDefault="00000000">
            <w:pPr>
              <w:jc w:val="center"/>
            </w:pPr>
            <w:r>
              <w:t>16 056 650</w:t>
            </w:r>
          </w:p>
        </w:tc>
      </w:tr>
      <w:tr w:rsidR="00000000">
        <w:tc>
          <w:tcPr>
            <w:tcW w:w="1985" w:type="dxa"/>
          </w:tcPr>
          <w:p w:rsidR="00000000" w:rsidRDefault="00000000">
            <w:r>
              <w:t>1994</w:t>
            </w:r>
          </w:p>
        </w:tc>
        <w:tc>
          <w:tcPr>
            <w:tcW w:w="1390" w:type="dxa"/>
          </w:tcPr>
          <w:p w:rsidR="00000000" w:rsidRDefault="00000000">
            <w:pPr>
              <w:jc w:val="center"/>
            </w:pPr>
            <w:r>
              <w:t>8 342 412</w:t>
            </w:r>
          </w:p>
        </w:tc>
        <w:tc>
          <w:tcPr>
            <w:tcW w:w="1418" w:type="dxa"/>
          </w:tcPr>
          <w:p w:rsidR="00000000" w:rsidRDefault="00000000">
            <w:pPr>
              <w:jc w:val="center"/>
            </w:pPr>
            <w:r>
              <w:t>2 909 325</w:t>
            </w:r>
          </w:p>
        </w:tc>
        <w:tc>
          <w:tcPr>
            <w:tcW w:w="1559" w:type="dxa"/>
          </w:tcPr>
          <w:p w:rsidR="00000000" w:rsidRDefault="00000000">
            <w:pPr>
              <w:jc w:val="center"/>
            </w:pPr>
            <w:r>
              <w:t>4 187 035</w:t>
            </w:r>
          </w:p>
        </w:tc>
        <w:tc>
          <w:tcPr>
            <w:tcW w:w="1418" w:type="dxa"/>
          </w:tcPr>
          <w:p w:rsidR="00000000" w:rsidRDefault="00000000">
            <w:pPr>
              <w:jc w:val="center"/>
            </w:pPr>
            <w:r>
              <w:t xml:space="preserve">   992 971</w:t>
            </w:r>
          </w:p>
        </w:tc>
        <w:tc>
          <w:tcPr>
            <w:tcW w:w="1586" w:type="dxa"/>
          </w:tcPr>
          <w:p w:rsidR="00000000" w:rsidRDefault="00000000">
            <w:pPr>
              <w:jc w:val="center"/>
            </w:pPr>
            <w:r>
              <w:t>16 431 743</w:t>
            </w:r>
          </w:p>
        </w:tc>
      </w:tr>
      <w:tr w:rsidR="00000000">
        <w:tc>
          <w:tcPr>
            <w:tcW w:w="1985" w:type="dxa"/>
          </w:tcPr>
          <w:p w:rsidR="00000000" w:rsidRDefault="00000000">
            <w:r>
              <w:t>1995</w:t>
            </w:r>
          </w:p>
        </w:tc>
        <w:tc>
          <w:tcPr>
            <w:tcW w:w="1390" w:type="dxa"/>
          </w:tcPr>
          <w:p w:rsidR="00000000" w:rsidRDefault="00000000">
            <w:pPr>
              <w:jc w:val="center"/>
            </w:pPr>
            <w:r>
              <w:t>8 429 028</w:t>
            </w:r>
          </w:p>
        </w:tc>
        <w:tc>
          <w:tcPr>
            <w:tcW w:w="1418" w:type="dxa"/>
          </w:tcPr>
          <w:p w:rsidR="00000000" w:rsidRDefault="00000000">
            <w:pPr>
              <w:jc w:val="center"/>
            </w:pPr>
            <w:r>
              <w:t>3 007 101</w:t>
            </w:r>
          </w:p>
        </w:tc>
        <w:tc>
          <w:tcPr>
            <w:tcW w:w="1559" w:type="dxa"/>
          </w:tcPr>
          <w:p w:rsidR="00000000" w:rsidRDefault="00000000">
            <w:pPr>
              <w:jc w:val="center"/>
            </w:pPr>
            <w:r>
              <w:t>4 333 965</w:t>
            </w:r>
          </w:p>
        </w:tc>
        <w:tc>
          <w:tcPr>
            <w:tcW w:w="1418" w:type="dxa"/>
          </w:tcPr>
          <w:p w:rsidR="00000000" w:rsidRDefault="00000000">
            <w:pPr>
              <w:jc w:val="center"/>
            </w:pPr>
            <w:r>
              <w:t xml:space="preserve">   984 588</w:t>
            </w:r>
          </w:p>
        </w:tc>
        <w:tc>
          <w:tcPr>
            <w:tcW w:w="1586" w:type="dxa"/>
          </w:tcPr>
          <w:p w:rsidR="00000000" w:rsidRDefault="00000000">
            <w:pPr>
              <w:jc w:val="center"/>
            </w:pPr>
            <w:r>
              <w:t>16 754 681</w:t>
            </w:r>
          </w:p>
        </w:tc>
      </w:tr>
      <w:tr w:rsidR="00000000">
        <w:tc>
          <w:tcPr>
            <w:tcW w:w="1985" w:type="dxa"/>
          </w:tcPr>
          <w:p w:rsidR="00000000" w:rsidRDefault="00000000">
            <w:r>
              <w:t>1996</w:t>
            </w:r>
          </w:p>
        </w:tc>
        <w:tc>
          <w:tcPr>
            <w:tcW w:w="1390" w:type="dxa"/>
          </w:tcPr>
          <w:p w:rsidR="00000000" w:rsidRDefault="00000000">
            <w:pPr>
              <w:jc w:val="center"/>
            </w:pPr>
            <w:r>
              <w:t>8 577 345</w:t>
            </w:r>
          </w:p>
        </w:tc>
        <w:tc>
          <w:tcPr>
            <w:tcW w:w="1418" w:type="dxa"/>
          </w:tcPr>
          <w:p w:rsidR="00000000" w:rsidRDefault="00000000">
            <w:pPr>
              <w:jc w:val="center"/>
            </w:pPr>
            <w:r>
              <w:t>3 156 468</w:t>
            </w:r>
          </w:p>
        </w:tc>
        <w:tc>
          <w:tcPr>
            <w:tcW w:w="1559" w:type="dxa"/>
          </w:tcPr>
          <w:p w:rsidR="00000000" w:rsidRDefault="00000000">
            <w:pPr>
              <w:jc w:val="center"/>
            </w:pPr>
            <w:r>
              <w:t>4 487 067</w:t>
            </w:r>
          </w:p>
        </w:tc>
        <w:tc>
          <w:tcPr>
            <w:tcW w:w="1418" w:type="dxa"/>
          </w:tcPr>
          <w:p w:rsidR="00000000" w:rsidRDefault="00000000">
            <w:pPr>
              <w:jc w:val="center"/>
            </w:pPr>
            <w:r>
              <w:t>1 052 728</w:t>
            </w:r>
          </w:p>
        </w:tc>
        <w:tc>
          <w:tcPr>
            <w:tcW w:w="1586" w:type="dxa"/>
          </w:tcPr>
          <w:p w:rsidR="00000000" w:rsidRDefault="00000000">
            <w:pPr>
              <w:jc w:val="center"/>
            </w:pPr>
            <w:r>
              <w:t>17 273 609</w:t>
            </w:r>
          </w:p>
        </w:tc>
      </w:tr>
      <w:tr w:rsidR="00000000">
        <w:tc>
          <w:tcPr>
            <w:tcW w:w="1985" w:type="dxa"/>
          </w:tcPr>
          <w:p w:rsidR="00000000" w:rsidRDefault="00000000">
            <w:r>
              <w:t>1997</w:t>
            </w:r>
          </w:p>
        </w:tc>
        <w:tc>
          <w:tcPr>
            <w:tcW w:w="1390" w:type="dxa"/>
          </w:tcPr>
          <w:p w:rsidR="00000000" w:rsidRDefault="00000000">
            <w:pPr>
              <w:jc w:val="center"/>
            </w:pPr>
            <w:r>
              <w:t>8 639 928</w:t>
            </w:r>
          </w:p>
        </w:tc>
        <w:tc>
          <w:tcPr>
            <w:tcW w:w="1418" w:type="dxa"/>
          </w:tcPr>
          <w:p w:rsidR="00000000" w:rsidRDefault="00000000">
            <w:pPr>
              <w:jc w:val="center"/>
            </w:pPr>
            <w:r>
              <w:t>3 183 918</w:t>
            </w:r>
          </w:p>
        </w:tc>
        <w:tc>
          <w:tcPr>
            <w:tcW w:w="1559" w:type="dxa"/>
          </w:tcPr>
          <w:p w:rsidR="00000000" w:rsidRDefault="00000000">
            <w:pPr>
              <w:jc w:val="center"/>
            </w:pPr>
            <w:r>
              <w:t>4 530 240</w:t>
            </w:r>
          </w:p>
        </w:tc>
        <w:tc>
          <w:tcPr>
            <w:tcW w:w="1418" w:type="dxa"/>
          </w:tcPr>
          <w:p w:rsidR="00000000" w:rsidRDefault="00000000">
            <w:pPr>
              <w:jc w:val="center"/>
            </w:pPr>
            <w:r>
              <w:t>1 014 144</w:t>
            </w:r>
          </w:p>
        </w:tc>
        <w:tc>
          <w:tcPr>
            <w:tcW w:w="1586" w:type="dxa"/>
          </w:tcPr>
          <w:p w:rsidR="00000000" w:rsidRDefault="00000000">
            <w:pPr>
              <w:jc w:val="center"/>
            </w:pPr>
            <w:r>
              <w:t>17 368 230</w:t>
            </w:r>
          </w:p>
        </w:tc>
      </w:tr>
      <w:tr w:rsidR="00000000">
        <w:tc>
          <w:tcPr>
            <w:tcW w:w="1985" w:type="dxa"/>
          </w:tcPr>
          <w:p w:rsidR="00000000" w:rsidRDefault="00000000">
            <w:r>
              <w:t>1998</w:t>
            </w:r>
          </w:p>
        </w:tc>
        <w:tc>
          <w:tcPr>
            <w:tcW w:w="1390" w:type="dxa"/>
          </w:tcPr>
          <w:p w:rsidR="00000000" w:rsidRDefault="00000000">
            <w:pPr>
              <w:jc w:val="center"/>
            </w:pPr>
            <w:r>
              <w:t>8 654 771</w:t>
            </w:r>
          </w:p>
        </w:tc>
        <w:tc>
          <w:tcPr>
            <w:tcW w:w="1418" w:type="dxa"/>
          </w:tcPr>
          <w:p w:rsidR="00000000" w:rsidRDefault="00000000">
            <w:pPr>
              <w:jc w:val="center"/>
            </w:pPr>
            <w:r>
              <w:t>3 260 708</w:t>
            </w:r>
          </w:p>
        </w:tc>
        <w:tc>
          <w:tcPr>
            <w:tcW w:w="1559" w:type="dxa"/>
          </w:tcPr>
          <w:p w:rsidR="00000000" w:rsidRDefault="00000000">
            <w:pPr>
              <w:jc w:val="center"/>
            </w:pPr>
            <w:r>
              <w:t>4 678 905</w:t>
            </w:r>
          </w:p>
        </w:tc>
        <w:tc>
          <w:tcPr>
            <w:tcW w:w="1418" w:type="dxa"/>
          </w:tcPr>
          <w:p w:rsidR="00000000" w:rsidRDefault="00000000">
            <w:pPr>
              <w:jc w:val="center"/>
            </w:pPr>
            <w:r>
              <w:t>1 090 925</w:t>
            </w:r>
          </w:p>
        </w:tc>
        <w:tc>
          <w:tcPr>
            <w:tcW w:w="1586" w:type="dxa"/>
          </w:tcPr>
          <w:p w:rsidR="00000000" w:rsidRDefault="00000000">
            <w:pPr>
              <w:jc w:val="center"/>
            </w:pPr>
            <w:r>
              <w:t>17 685 310</w:t>
            </w:r>
          </w:p>
        </w:tc>
      </w:tr>
      <w:tr w:rsidR="00000000">
        <w:tc>
          <w:tcPr>
            <w:tcW w:w="1985" w:type="dxa"/>
          </w:tcPr>
          <w:p w:rsidR="00000000" w:rsidRDefault="00000000">
            <w:r>
              <w:t>1999</w:t>
            </w:r>
          </w:p>
        </w:tc>
        <w:tc>
          <w:tcPr>
            <w:tcW w:w="1390" w:type="dxa"/>
          </w:tcPr>
          <w:p w:rsidR="00000000" w:rsidRDefault="00000000">
            <w:pPr>
              <w:jc w:val="center"/>
            </w:pPr>
            <w:r>
              <w:t>8 720 040</w:t>
            </w:r>
          </w:p>
        </w:tc>
        <w:tc>
          <w:tcPr>
            <w:tcW w:w="1418" w:type="dxa"/>
          </w:tcPr>
          <w:p w:rsidR="00000000" w:rsidRDefault="00000000">
            <w:pPr>
              <w:jc w:val="center"/>
            </w:pPr>
            <w:r>
              <w:t>3 267 549</w:t>
            </w:r>
          </w:p>
        </w:tc>
        <w:tc>
          <w:tcPr>
            <w:tcW w:w="1559" w:type="dxa"/>
          </w:tcPr>
          <w:p w:rsidR="00000000" w:rsidRDefault="00000000">
            <w:pPr>
              <w:jc w:val="center"/>
            </w:pPr>
            <w:r>
              <w:t>4 696 605</w:t>
            </w:r>
          </w:p>
        </w:tc>
        <w:tc>
          <w:tcPr>
            <w:tcW w:w="1418" w:type="dxa"/>
          </w:tcPr>
          <w:p w:rsidR="00000000" w:rsidRDefault="00000000">
            <w:pPr>
              <w:jc w:val="center"/>
            </w:pPr>
            <w:r>
              <w:t>1 036 926</w:t>
            </w:r>
          </w:p>
        </w:tc>
        <w:tc>
          <w:tcPr>
            <w:tcW w:w="1586" w:type="dxa"/>
          </w:tcPr>
          <w:p w:rsidR="00000000" w:rsidRDefault="00000000">
            <w:pPr>
              <w:jc w:val="center"/>
            </w:pPr>
            <w:r>
              <w:t>17 721 120</w:t>
            </w:r>
          </w:p>
        </w:tc>
      </w:tr>
      <w:tr w:rsidR="00000000">
        <w:tc>
          <w:tcPr>
            <w:tcW w:w="1985" w:type="dxa"/>
          </w:tcPr>
          <w:p w:rsidR="00000000" w:rsidRDefault="00000000">
            <w:r>
              <w:t>Jan.</w:t>
            </w:r>
            <w:r>
              <w:noBreakHyphen/>
              <w:t>Apr. 1999</w:t>
            </w:r>
          </w:p>
        </w:tc>
        <w:tc>
          <w:tcPr>
            <w:tcW w:w="1390" w:type="dxa"/>
          </w:tcPr>
          <w:p w:rsidR="00000000" w:rsidRDefault="00000000">
            <w:pPr>
              <w:jc w:val="center"/>
            </w:pPr>
            <w:r>
              <w:t>8 609 247</w:t>
            </w:r>
          </w:p>
        </w:tc>
        <w:tc>
          <w:tcPr>
            <w:tcW w:w="1418" w:type="dxa"/>
          </w:tcPr>
          <w:p w:rsidR="00000000" w:rsidRDefault="00000000">
            <w:pPr>
              <w:jc w:val="center"/>
            </w:pPr>
            <w:r>
              <w:t>3 202 754</w:t>
            </w:r>
          </w:p>
        </w:tc>
        <w:tc>
          <w:tcPr>
            <w:tcW w:w="1559" w:type="dxa"/>
          </w:tcPr>
          <w:p w:rsidR="00000000" w:rsidRDefault="00000000">
            <w:pPr>
              <w:jc w:val="center"/>
            </w:pPr>
            <w:r>
              <w:t>4 663 116</w:t>
            </w:r>
          </w:p>
        </w:tc>
        <w:tc>
          <w:tcPr>
            <w:tcW w:w="1418" w:type="dxa"/>
          </w:tcPr>
          <w:p w:rsidR="00000000" w:rsidRDefault="00000000">
            <w:pPr>
              <w:jc w:val="center"/>
            </w:pPr>
            <w:r>
              <w:t>1 031 316</w:t>
            </w:r>
          </w:p>
        </w:tc>
        <w:tc>
          <w:tcPr>
            <w:tcW w:w="1586" w:type="dxa"/>
          </w:tcPr>
          <w:p w:rsidR="00000000" w:rsidRDefault="00000000">
            <w:pPr>
              <w:jc w:val="center"/>
            </w:pPr>
            <w:r>
              <w:t>17 506 433</w:t>
            </w:r>
          </w:p>
        </w:tc>
      </w:tr>
      <w:tr w:rsidR="00000000">
        <w:tc>
          <w:tcPr>
            <w:tcW w:w="1985" w:type="dxa"/>
          </w:tcPr>
          <w:p w:rsidR="00000000" w:rsidRDefault="00000000">
            <w:r>
              <w:t>April 1999</w:t>
            </w:r>
          </w:p>
        </w:tc>
        <w:tc>
          <w:tcPr>
            <w:tcW w:w="1390" w:type="dxa"/>
          </w:tcPr>
          <w:p w:rsidR="00000000" w:rsidRDefault="00000000">
            <w:pPr>
              <w:jc w:val="center"/>
            </w:pPr>
            <w:r>
              <w:t>8 650 736</w:t>
            </w:r>
          </w:p>
        </w:tc>
        <w:tc>
          <w:tcPr>
            <w:tcW w:w="1418" w:type="dxa"/>
          </w:tcPr>
          <w:p w:rsidR="00000000" w:rsidRDefault="00000000">
            <w:pPr>
              <w:jc w:val="center"/>
            </w:pPr>
            <w:r>
              <w:t>3 200 112</w:t>
            </w:r>
          </w:p>
        </w:tc>
        <w:tc>
          <w:tcPr>
            <w:tcW w:w="1559" w:type="dxa"/>
          </w:tcPr>
          <w:p w:rsidR="00000000" w:rsidRDefault="00000000">
            <w:pPr>
              <w:jc w:val="center"/>
            </w:pPr>
            <w:r>
              <w:t>4 685 860</w:t>
            </w:r>
          </w:p>
        </w:tc>
        <w:tc>
          <w:tcPr>
            <w:tcW w:w="1418" w:type="dxa"/>
          </w:tcPr>
          <w:p w:rsidR="00000000" w:rsidRDefault="00000000">
            <w:pPr>
              <w:jc w:val="center"/>
            </w:pPr>
            <w:r>
              <w:t>1 008 994</w:t>
            </w:r>
          </w:p>
        </w:tc>
        <w:tc>
          <w:tcPr>
            <w:tcW w:w="1586" w:type="dxa"/>
          </w:tcPr>
          <w:p w:rsidR="00000000" w:rsidRDefault="00000000">
            <w:pPr>
              <w:jc w:val="center"/>
            </w:pPr>
            <w:r>
              <w:t>17 506 433</w:t>
            </w:r>
          </w:p>
        </w:tc>
      </w:tr>
      <w:tr w:rsidR="00000000">
        <w:tc>
          <w:tcPr>
            <w:tcW w:w="1985" w:type="dxa"/>
          </w:tcPr>
          <w:p w:rsidR="00000000" w:rsidRDefault="00000000">
            <w:r>
              <w:t>May 1999</w:t>
            </w:r>
          </w:p>
        </w:tc>
        <w:tc>
          <w:tcPr>
            <w:tcW w:w="1390" w:type="dxa"/>
          </w:tcPr>
          <w:p w:rsidR="00000000" w:rsidRDefault="00000000">
            <w:pPr>
              <w:jc w:val="center"/>
            </w:pPr>
            <w:r>
              <w:t>8 705 196</w:t>
            </w:r>
          </w:p>
        </w:tc>
        <w:tc>
          <w:tcPr>
            <w:tcW w:w="1418" w:type="dxa"/>
          </w:tcPr>
          <w:p w:rsidR="00000000" w:rsidRDefault="00000000">
            <w:pPr>
              <w:jc w:val="center"/>
            </w:pPr>
            <w:r>
              <w:t>3 231 913</w:t>
            </w:r>
          </w:p>
        </w:tc>
        <w:tc>
          <w:tcPr>
            <w:tcW w:w="1559" w:type="dxa"/>
          </w:tcPr>
          <w:p w:rsidR="00000000" w:rsidRDefault="00000000">
            <w:pPr>
              <w:jc w:val="center"/>
            </w:pPr>
            <w:r>
              <w:t>4 705 893</w:t>
            </w:r>
          </w:p>
        </w:tc>
        <w:tc>
          <w:tcPr>
            <w:tcW w:w="1418" w:type="dxa"/>
          </w:tcPr>
          <w:p w:rsidR="00000000" w:rsidRDefault="00000000">
            <w:pPr>
              <w:jc w:val="center"/>
            </w:pPr>
            <w:r>
              <w:t>1 026 935</w:t>
            </w:r>
          </w:p>
        </w:tc>
        <w:tc>
          <w:tcPr>
            <w:tcW w:w="1586" w:type="dxa"/>
          </w:tcPr>
          <w:p w:rsidR="00000000" w:rsidRDefault="00000000">
            <w:pPr>
              <w:jc w:val="center"/>
            </w:pPr>
            <w:r>
              <w:t>17 669 938</w:t>
            </w:r>
          </w:p>
        </w:tc>
      </w:tr>
      <w:tr w:rsidR="00000000">
        <w:tc>
          <w:tcPr>
            <w:tcW w:w="1985" w:type="dxa"/>
          </w:tcPr>
          <w:p w:rsidR="00000000" w:rsidRDefault="00000000">
            <w:r>
              <w:t>June 1999</w:t>
            </w:r>
          </w:p>
        </w:tc>
        <w:tc>
          <w:tcPr>
            <w:tcW w:w="1390" w:type="dxa"/>
          </w:tcPr>
          <w:p w:rsidR="00000000" w:rsidRDefault="00000000">
            <w:pPr>
              <w:jc w:val="center"/>
            </w:pPr>
            <w:r>
              <w:t>8 787 119</w:t>
            </w:r>
          </w:p>
        </w:tc>
        <w:tc>
          <w:tcPr>
            <w:tcW w:w="1418" w:type="dxa"/>
          </w:tcPr>
          <w:p w:rsidR="00000000" w:rsidRDefault="00000000">
            <w:pPr>
              <w:jc w:val="center"/>
            </w:pPr>
            <w:r>
              <w:t>3 256 538</w:t>
            </w:r>
          </w:p>
        </w:tc>
        <w:tc>
          <w:tcPr>
            <w:tcW w:w="1559" w:type="dxa"/>
          </w:tcPr>
          <w:p w:rsidR="00000000" w:rsidRDefault="00000000">
            <w:pPr>
              <w:jc w:val="center"/>
            </w:pPr>
            <w:r>
              <w:t>4 786 988</w:t>
            </w:r>
          </w:p>
        </w:tc>
        <w:tc>
          <w:tcPr>
            <w:tcW w:w="1418" w:type="dxa"/>
          </w:tcPr>
          <w:p w:rsidR="00000000" w:rsidRDefault="00000000">
            <w:pPr>
              <w:jc w:val="center"/>
            </w:pPr>
            <w:r>
              <w:t>1 048 646</w:t>
            </w:r>
          </w:p>
        </w:tc>
        <w:tc>
          <w:tcPr>
            <w:tcW w:w="1586" w:type="dxa"/>
          </w:tcPr>
          <w:p w:rsidR="00000000" w:rsidRDefault="00000000">
            <w:pPr>
              <w:jc w:val="center"/>
            </w:pPr>
            <w:r>
              <w:t>17 879 292</w:t>
            </w:r>
          </w:p>
        </w:tc>
      </w:tr>
      <w:tr w:rsidR="00000000">
        <w:tc>
          <w:tcPr>
            <w:tcW w:w="1985" w:type="dxa"/>
          </w:tcPr>
          <w:p w:rsidR="00000000" w:rsidRDefault="00000000">
            <w:r>
              <w:t>July 1999</w:t>
            </w:r>
          </w:p>
        </w:tc>
        <w:tc>
          <w:tcPr>
            <w:tcW w:w="1390" w:type="dxa"/>
          </w:tcPr>
          <w:p w:rsidR="00000000" w:rsidRDefault="00000000">
            <w:pPr>
              <w:jc w:val="center"/>
            </w:pPr>
            <w:r>
              <w:t>8 690 431</w:t>
            </w:r>
          </w:p>
        </w:tc>
        <w:tc>
          <w:tcPr>
            <w:tcW w:w="1418" w:type="dxa"/>
          </w:tcPr>
          <w:p w:rsidR="00000000" w:rsidRDefault="00000000">
            <w:pPr>
              <w:jc w:val="center"/>
            </w:pPr>
            <w:r>
              <w:t>3 212 158</w:t>
            </w:r>
          </w:p>
        </w:tc>
        <w:tc>
          <w:tcPr>
            <w:tcW w:w="1559" w:type="dxa"/>
          </w:tcPr>
          <w:p w:rsidR="00000000" w:rsidRDefault="00000000">
            <w:pPr>
              <w:jc w:val="center"/>
            </w:pPr>
            <w:r>
              <w:t>4 753 085</w:t>
            </w:r>
          </w:p>
        </w:tc>
        <w:tc>
          <w:tcPr>
            <w:tcW w:w="1418" w:type="dxa"/>
          </w:tcPr>
          <w:p w:rsidR="00000000" w:rsidRDefault="00000000">
            <w:pPr>
              <w:jc w:val="center"/>
            </w:pPr>
            <w:r>
              <w:t>1 012 134</w:t>
            </w:r>
          </w:p>
        </w:tc>
        <w:tc>
          <w:tcPr>
            <w:tcW w:w="1586" w:type="dxa"/>
          </w:tcPr>
          <w:p w:rsidR="00000000" w:rsidRDefault="00000000">
            <w:pPr>
              <w:jc w:val="center"/>
            </w:pPr>
            <w:r>
              <w:t>17 667 807</w:t>
            </w:r>
          </w:p>
        </w:tc>
      </w:tr>
      <w:tr w:rsidR="00000000">
        <w:tc>
          <w:tcPr>
            <w:tcW w:w="1985" w:type="dxa"/>
          </w:tcPr>
          <w:p w:rsidR="00000000" w:rsidRDefault="00000000">
            <w:r>
              <w:t>Aug. 1999</w:t>
            </w:r>
          </w:p>
        </w:tc>
        <w:tc>
          <w:tcPr>
            <w:tcW w:w="1390" w:type="dxa"/>
          </w:tcPr>
          <w:p w:rsidR="00000000" w:rsidRDefault="00000000">
            <w:pPr>
              <w:jc w:val="center"/>
            </w:pPr>
            <w:r>
              <w:t>8 730 537</w:t>
            </w:r>
          </w:p>
        </w:tc>
        <w:tc>
          <w:tcPr>
            <w:tcW w:w="1418" w:type="dxa"/>
          </w:tcPr>
          <w:p w:rsidR="00000000" w:rsidRDefault="00000000">
            <w:pPr>
              <w:jc w:val="center"/>
            </w:pPr>
            <w:r>
              <w:t>3 259 038</w:t>
            </w:r>
          </w:p>
        </w:tc>
        <w:tc>
          <w:tcPr>
            <w:tcW w:w="1559" w:type="dxa"/>
          </w:tcPr>
          <w:p w:rsidR="00000000" w:rsidRDefault="00000000">
            <w:pPr>
              <w:jc w:val="center"/>
            </w:pPr>
            <w:r>
              <w:t>4 656 684</w:t>
            </w:r>
          </w:p>
        </w:tc>
        <w:tc>
          <w:tcPr>
            <w:tcW w:w="1418" w:type="dxa"/>
          </w:tcPr>
          <w:p w:rsidR="00000000" w:rsidRDefault="00000000">
            <w:pPr>
              <w:jc w:val="center"/>
            </w:pPr>
            <w:r>
              <w:t>1 056 387</w:t>
            </w:r>
          </w:p>
        </w:tc>
        <w:tc>
          <w:tcPr>
            <w:tcW w:w="1586" w:type="dxa"/>
          </w:tcPr>
          <w:p w:rsidR="00000000" w:rsidRDefault="00000000">
            <w:pPr>
              <w:jc w:val="center"/>
            </w:pPr>
            <w:r>
              <w:t>17 702 646</w:t>
            </w:r>
          </w:p>
        </w:tc>
      </w:tr>
      <w:tr w:rsidR="00000000">
        <w:tc>
          <w:tcPr>
            <w:tcW w:w="1985" w:type="dxa"/>
          </w:tcPr>
          <w:p w:rsidR="00000000" w:rsidRDefault="00000000">
            <w:r>
              <w:t>Sept. 1999</w:t>
            </w:r>
          </w:p>
        </w:tc>
        <w:tc>
          <w:tcPr>
            <w:tcW w:w="1390" w:type="dxa"/>
          </w:tcPr>
          <w:p w:rsidR="00000000" w:rsidRDefault="00000000">
            <w:pPr>
              <w:jc w:val="center"/>
            </w:pPr>
            <w:r>
              <w:t>8 743 557</w:t>
            </w:r>
          </w:p>
        </w:tc>
        <w:tc>
          <w:tcPr>
            <w:tcW w:w="1418" w:type="dxa"/>
          </w:tcPr>
          <w:p w:rsidR="00000000" w:rsidRDefault="00000000">
            <w:pPr>
              <w:jc w:val="center"/>
            </w:pPr>
            <w:r>
              <w:t>3 305 367</w:t>
            </w:r>
          </w:p>
        </w:tc>
        <w:tc>
          <w:tcPr>
            <w:tcW w:w="1559" w:type="dxa"/>
          </w:tcPr>
          <w:p w:rsidR="00000000" w:rsidRDefault="00000000">
            <w:pPr>
              <w:jc w:val="center"/>
            </w:pPr>
            <w:r>
              <w:t>4 720 893</w:t>
            </w:r>
          </w:p>
        </w:tc>
        <w:tc>
          <w:tcPr>
            <w:tcW w:w="1418" w:type="dxa"/>
          </w:tcPr>
          <w:p w:rsidR="00000000" w:rsidRDefault="00000000">
            <w:pPr>
              <w:jc w:val="center"/>
            </w:pPr>
            <w:r>
              <w:t>1 057 980</w:t>
            </w:r>
          </w:p>
        </w:tc>
        <w:tc>
          <w:tcPr>
            <w:tcW w:w="1586" w:type="dxa"/>
          </w:tcPr>
          <w:p w:rsidR="00000000" w:rsidRDefault="00000000">
            <w:pPr>
              <w:jc w:val="center"/>
            </w:pPr>
            <w:r>
              <w:t>17 827 797</w:t>
            </w:r>
          </w:p>
        </w:tc>
      </w:tr>
      <w:tr w:rsidR="00000000">
        <w:tc>
          <w:tcPr>
            <w:tcW w:w="1985" w:type="dxa"/>
          </w:tcPr>
          <w:p w:rsidR="00000000" w:rsidRDefault="00000000">
            <w:r>
              <w:t>Oct. 1999</w:t>
            </w:r>
          </w:p>
        </w:tc>
        <w:tc>
          <w:tcPr>
            <w:tcW w:w="1390" w:type="dxa"/>
          </w:tcPr>
          <w:p w:rsidR="00000000" w:rsidRDefault="00000000">
            <w:pPr>
              <w:jc w:val="center"/>
            </w:pPr>
            <w:r>
              <w:t>8 822 892</w:t>
            </w:r>
          </w:p>
        </w:tc>
        <w:tc>
          <w:tcPr>
            <w:tcW w:w="1418" w:type="dxa"/>
          </w:tcPr>
          <w:p w:rsidR="00000000" w:rsidRDefault="00000000">
            <w:pPr>
              <w:jc w:val="center"/>
            </w:pPr>
            <w:r>
              <w:t>3 343 272</w:t>
            </w:r>
          </w:p>
        </w:tc>
        <w:tc>
          <w:tcPr>
            <w:tcW w:w="1559" w:type="dxa"/>
          </w:tcPr>
          <w:p w:rsidR="00000000" w:rsidRDefault="00000000">
            <w:pPr>
              <w:jc w:val="center"/>
            </w:pPr>
            <w:r>
              <w:t>4 697 257</w:t>
            </w:r>
          </w:p>
        </w:tc>
        <w:tc>
          <w:tcPr>
            <w:tcW w:w="1418" w:type="dxa"/>
          </w:tcPr>
          <w:p w:rsidR="00000000" w:rsidRDefault="00000000">
            <w:pPr>
              <w:jc w:val="center"/>
            </w:pPr>
            <w:r>
              <w:t>1 068 855</w:t>
            </w:r>
          </w:p>
        </w:tc>
        <w:tc>
          <w:tcPr>
            <w:tcW w:w="1586" w:type="dxa"/>
          </w:tcPr>
          <w:p w:rsidR="00000000" w:rsidRDefault="00000000">
            <w:pPr>
              <w:jc w:val="center"/>
            </w:pPr>
            <w:r>
              <w:t>17 932 276</w:t>
            </w:r>
          </w:p>
        </w:tc>
      </w:tr>
      <w:tr w:rsidR="00000000">
        <w:tc>
          <w:tcPr>
            <w:tcW w:w="1985" w:type="dxa"/>
          </w:tcPr>
          <w:p w:rsidR="00000000" w:rsidRDefault="00000000">
            <w:r>
              <w:t>Nov. 1999</w:t>
            </w:r>
          </w:p>
        </w:tc>
        <w:tc>
          <w:tcPr>
            <w:tcW w:w="1390" w:type="dxa"/>
          </w:tcPr>
          <w:p w:rsidR="00000000" w:rsidRDefault="00000000">
            <w:pPr>
              <w:jc w:val="center"/>
            </w:pPr>
            <w:r>
              <w:t>8 878 532</w:t>
            </w:r>
          </w:p>
        </w:tc>
        <w:tc>
          <w:tcPr>
            <w:tcW w:w="1418" w:type="dxa"/>
          </w:tcPr>
          <w:p w:rsidR="00000000" w:rsidRDefault="00000000">
            <w:pPr>
              <w:jc w:val="center"/>
            </w:pPr>
            <w:r>
              <w:t>3 387 035</w:t>
            </w:r>
          </w:p>
        </w:tc>
        <w:tc>
          <w:tcPr>
            <w:tcW w:w="1559" w:type="dxa"/>
          </w:tcPr>
          <w:p w:rsidR="00000000" w:rsidRDefault="00000000">
            <w:pPr>
              <w:jc w:val="center"/>
            </w:pPr>
            <w:r>
              <w:t>4 686 668</w:t>
            </w:r>
          </w:p>
        </w:tc>
        <w:tc>
          <w:tcPr>
            <w:tcW w:w="1418" w:type="dxa"/>
          </w:tcPr>
          <w:p w:rsidR="00000000" w:rsidRDefault="00000000">
            <w:pPr>
              <w:jc w:val="center"/>
            </w:pPr>
            <w:r>
              <w:t>1 048 096</w:t>
            </w:r>
          </w:p>
        </w:tc>
        <w:tc>
          <w:tcPr>
            <w:tcW w:w="1586" w:type="dxa"/>
          </w:tcPr>
          <w:p w:rsidR="00000000" w:rsidRDefault="00000000">
            <w:pPr>
              <w:jc w:val="center"/>
            </w:pPr>
            <w:r>
              <w:t>18 000 330</w:t>
            </w:r>
          </w:p>
        </w:tc>
      </w:tr>
      <w:tr w:rsidR="00000000">
        <w:tc>
          <w:tcPr>
            <w:tcW w:w="1985" w:type="dxa"/>
          </w:tcPr>
          <w:p w:rsidR="00000000" w:rsidRDefault="00000000">
            <w:r>
              <w:t>Dec. 1999</w:t>
            </w:r>
          </w:p>
        </w:tc>
        <w:tc>
          <w:tcPr>
            <w:tcW w:w="1390" w:type="dxa"/>
          </w:tcPr>
          <w:p w:rsidR="00000000" w:rsidRDefault="00000000">
            <w:pPr>
              <w:jc w:val="center"/>
            </w:pPr>
            <w:r>
              <w:t>8 845 231</w:t>
            </w:r>
          </w:p>
        </w:tc>
        <w:tc>
          <w:tcPr>
            <w:tcW w:w="1418" w:type="dxa"/>
          </w:tcPr>
          <w:p w:rsidR="00000000" w:rsidRDefault="00000000">
            <w:pPr>
              <w:jc w:val="center"/>
            </w:pPr>
            <w:r>
              <w:t>3 404 244</w:t>
            </w:r>
          </w:p>
        </w:tc>
        <w:tc>
          <w:tcPr>
            <w:tcW w:w="1559" w:type="dxa"/>
          </w:tcPr>
          <w:p w:rsidR="00000000" w:rsidRDefault="00000000">
            <w:pPr>
              <w:jc w:val="center"/>
            </w:pPr>
            <w:r>
              <w:t>4 699 328</w:t>
            </w:r>
          </w:p>
        </w:tc>
        <w:tc>
          <w:tcPr>
            <w:tcW w:w="1418" w:type="dxa"/>
          </w:tcPr>
          <w:p w:rsidR="00000000" w:rsidRDefault="00000000">
            <w:pPr>
              <w:jc w:val="center"/>
            </w:pPr>
            <w:r>
              <w:t xml:space="preserve">   998 818</w:t>
            </w:r>
          </w:p>
        </w:tc>
        <w:tc>
          <w:tcPr>
            <w:tcW w:w="1586" w:type="dxa"/>
          </w:tcPr>
          <w:p w:rsidR="00000000" w:rsidRDefault="00000000">
            <w:pPr>
              <w:jc w:val="center"/>
            </w:pPr>
            <w:r>
              <w:t>17 947 621</w:t>
            </w:r>
          </w:p>
        </w:tc>
      </w:tr>
      <w:tr w:rsidR="00000000">
        <w:tc>
          <w:tcPr>
            <w:tcW w:w="1985" w:type="dxa"/>
          </w:tcPr>
          <w:p w:rsidR="00000000" w:rsidRDefault="00000000">
            <w:r>
              <w:t>Jan. 2000</w:t>
            </w:r>
          </w:p>
        </w:tc>
        <w:tc>
          <w:tcPr>
            <w:tcW w:w="1390" w:type="dxa"/>
          </w:tcPr>
          <w:p w:rsidR="00000000" w:rsidRDefault="00000000">
            <w:pPr>
              <w:jc w:val="center"/>
            </w:pPr>
            <w:r>
              <w:t>8 847 760</w:t>
            </w:r>
          </w:p>
        </w:tc>
        <w:tc>
          <w:tcPr>
            <w:tcW w:w="1418" w:type="dxa"/>
          </w:tcPr>
          <w:p w:rsidR="00000000" w:rsidRDefault="00000000">
            <w:pPr>
              <w:jc w:val="center"/>
            </w:pPr>
            <w:r>
              <w:t>3 388 098</w:t>
            </w:r>
          </w:p>
        </w:tc>
        <w:tc>
          <w:tcPr>
            <w:tcW w:w="1559" w:type="dxa"/>
          </w:tcPr>
          <w:p w:rsidR="00000000" w:rsidRDefault="00000000">
            <w:pPr>
              <w:jc w:val="center"/>
            </w:pPr>
            <w:r>
              <w:t>4 736 716</w:t>
            </w:r>
          </w:p>
        </w:tc>
        <w:tc>
          <w:tcPr>
            <w:tcW w:w="1418" w:type="dxa"/>
          </w:tcPr>
          <w:p w:rsidR="00000000" w:rsidRDefault="00000000">
            <w:pPr>
              <w:jc w:val="center"/>
            </w:pPr>
            <w:r>
              <w:t xml:space="preserve">   942 501</w:t>
            </w:r>
          </w:p>
        </w:tc>
        <w:tc>
          <w:tcPr>
            <w:tcW w:w="1586" w:type="dxa"/>
          </w:tcPr>
          <w:p w:rsidR="00000000" w:rsidRDefault="00000000">
            <w:pPr>
              <w:jc w:val="center"/>
            </w:pPr>
            <w:r>
              <w:t>17 915 076</w:t>
            </w:r>
          </w:p>
        </w:tc>
      </w:tr>
      <w:tr w:rsidR="00000000">
        <w:tc>
          <w:tcPr>
            <w:tcW w:w="1985" w:type="dxa"/>
          </w:tcPr>
          <w:p w:rsidR="00000000" w:rsidRDefault="00000000">
            <w:r>
              <w:t>Feb. 2000</w:t>
            </w:r>
          </w:p>
        </w:tc>
        <w:tc>
          <w:tcPr>
            <w:tcW w:w="1390" w:type="dxa"/>
          </w:tcPr>
          <w:p w:rsidR="00000000" w:rsidRDefault="00000000">
            <w:pPr>
              <w:jc w:val="center"/>
            </w:pPr>
            <w:r>
              <w:t>8 940 706</w:t>
            </w:r>
          </w:p>
        </w:tc>
        <w:tc>
          <w:tcPr>
            <w:tcW w:w="1418" w:type="dxa"/>
          </w:tcPr>
          <w:p w:rsidR="00000000" w:rsidRDefault="00000000">
            <w:pPr>
              <w:jc w:val="center"/>
            </w:pPr>
            <w:r>
              <w:t>3 446 918</w:t>
            </w:r>
          </w:p>
        </w:tc>
        <w:tc>
          <w:tcPr>
            <w:tcW w:w="1559" w:type="dxa"/>
          </w:tcPr>
          <w:p w:rsidR="00000000" w:rsidRDefault="00000000">
            <w:pPr>
              <w:jc w:val="center"/>
            </w:pPr>
            <w:r>
              <w:t>4 748 151</w:t>
            </w:r>
          </w:p>
        </w:tc>
        <w:tc>
          <w:tcPr>
            <w:tcW w:w="1418" w:type="dxa"/>
          </w:tcPr>
          <w:p w:rsidR="00000000" w:rsidRDefault="00000000">
            <w:pPr>
              <w:jc w:val="center"/>
            </w:pPr>
            <w:r>
              <w:t xml:space="preserve">   966 570</w:t>
            </w:r>
          </w:p>
        </w:tc>
        <w:tc>
          <w:tcPr>
            <w:tcW w:w="1586" w:type="dxa"/>
          </w:tcPr>
          <w:p w:rsidR="00000000" w:rsidRDefault="00000000">
            <w:pPr>
              <w:jc w:val="center"/>
            </w:pPr>
            <w:r>
              <w:t>18 102 345</w:t>
            </w:r>
          </w:p>
        </w:tc>
      </w:tr>
      <w:tr w:rsidR="00000000">
        <w:tc>
          <w:tcPr>
            <w:tcW w:w="1985" w:type="dxa"/>
          </w:tcPr>
          <w:p w:rsidR="00000000" w:rsidRDefault="00000000">
            <w:r>
              <w:t>March 2000</w:t>
            </w:r>
          </w:p>
        </w:tc>
        <w:tc>
          <w:tcPr>
            <w:tcW w:w="1390" w:type="dxa"/>
          </w:tcPr>
          <w:p w:rsidR="00000000" w:rsidRDefault="00000000">
            <w:pPr>
              <w:jc w:val="center"/>
            </w:pPr>
            <w:r>
              <w:t>8 933 288</w:t>
            </w:r>
          </w:p>
        </w:tc>
        <w:tc>
          <w:tcPr>
            <w:tcW w:w="1418" w:type="dxa"/>
          </w:tcPr>
          <w:p w:rsidR="00000000" w:rsidRDefault="00000000">
            <w:pPr>
              <w:jc w:val="center"/>
            </w:pPr>
            <w:r>
              <w:t>3 473 944</w:t>
            </w:r>
          </w:p>
        </w:tc>
        <w:tc>
          <w:tcPr>
            <w:tcW w:w="1559" w:type="dxa"/>
          </w:tcPr>
          <w:p w:rsidR="00000000" w:rsidRDefault="00000000">
            <w:pPr>
              <w:jc w:val="center"/>
            </w:pPr>
            <w:r>
              <w:t>4 810 767</w:t>
            </w:r>
          </w:p>
        </w:tc>
        <w:tc>
          <w:tcPr>
            <w:tcW w:w="1418" w:type="dxa"/>
          </w:tcPr>
          <w:p w:rsidR="00000000" w:rsidRDefault="00000000">
            <w:pPr>
              <w:jc w:val="center"/>
            </w:pPr>
            <w:r>
              <w:t>1 025 553</w:t>
            </w:r>
          </w:p>
        </w:tc>
        <w:tc>
          <w:tcPr>
            <w:tcW w:w="1586" w:type="dxa"/>
          </w:tcPr>
          <w:p w:rsidR="00000000" w:rsidRDefault="00000000">
            <w:pPr>
              <w:jc w:val="center"/>
            </w:pPr>
            <w:r>
              <w:t>18 243 552</w:t>
            </w:r>
          </w:p>
        </w:tc>
      </w:tr>
      <w:tr w:rsidR="00000000">
        <w:tc>
          <w:tcPr>
            <w:tcW w:w="1985" w:type="dxa"/>
          </w:tcPr>
          <w:p w:rsidR="00000000" w:rsidRDefault="00000000">
            <w:r>
              <w:t>April 2000</w:t>
            </w:r>
          </w:p>
        </w:tc>
        <w:tc>
          <w:tcPr>
            <w:tcW w:w="1390" w:type="dxa"/>
          </w:tcPr>
          <w:p w:rsidR="00000000" w:rsidRDefault="00000000">
            <w:pPr>
              <w:jc w:val="center"/>
            </w:pPr>
            <w:r>
              <w:t>9 072 385</w:t>
            </w:r>
          </w:p>
        </w:tc>
        <w:tc>
          <w:tcPr>
            <w:tcW w:w="1418" w:type="dxa"/>
          </w:tcPr>
          <w:p w:rsidR="00000000" w:rsidRDefault="00000000">
            <w:pPr>
              <w:jc w:val="center"/>
            </w:pPr>
            <w:r>
              <w:t>3 489 906</w:t>
            </w:r>
          </w:p>
        </w:tc>
        <w:tc>
          <w:tcPr>
            <w:tcW w:w="1559" w:type="dxa"/>
          </w:tcPr>
          <w:p w:rsidR="00000000" w:rsidRDefault="00000000">
            <w:pPr>
              <w:jc w:val="center"/>
            </w:pPr>
            <w:r>
              <w:t>4 856 186</w:t>
            </w:r>
          </w:p>
        </w:tc>
        <w:tc>
          <w:tcPr>
            <w:tcW w:w="1418" w:type="dxa"/>
          </w:tcPr>
          <w:p w:rsidR="00000000" w:rsidRDefault="00000000">
            <w:pPr>
              <w:jc w:val="center"/>
            </w:pPr>
            <w:r>
              <w:t>1 030 628</w:t>
            </w:r>
          </w:p>
        </w:tc>
        <w:tc>
          <w:tcPr>
            <w:tcW w:w="1586" w:type="dxa"/>
          </w:tcPr>
          <w:p w:rsidR="00000000" w:rsidRDefault="00000000">
            <w:pPr>
              <w:jc w:val="center"/>
            </w:pPr>
            <w:r>
              <w:t>18 449 105</w:t>
            </w:r>
          </w:p>
        </w:tc>
      </w:tr>
      <w:tr w:rsidR="00000000">
        <w:tc>
          <w:tcPr>
            <w:tcW w:w="1985" w:type="dxa"/>
          </w:tcPr>
          <w:p w:rsidR="00000000" w:rsidRDefault="00000000">
            <w:r>
              <w:t>Jan.</w:t>
            </w:r>
            <w:r>
              <w:noBreakHyphen/>
              <w:t>Apr. 2000</w:t>
            </w:r>
          </w:p>
        </w:tc>
        <w:tc>
          <w:tcPr>
            <w:tcW w:w="1390" w:type="dxa"/>
          </w:tcPr>
          <w:p w:rsidR="00000000" w:rsidRDefault="00000000">
            <w:pPr>
              <w:jc w:val="center"/>
            </w:pPr>
            <w:r>
              <w:t>8 948 535</w:t>
            </w:r>
          </w:p>
        </w:tc>
        <w:tc>
          <w:tcPr>
            <w:tcW w:w="1418" w:type="dxa"/>
          </w:tcPr>
          <w:p w:rsidR="00000000" w:rsidRDefault="00000000">
            <w:pPr>
              <w:jc w:val="center"/>
            </w:pPr>
            <w:r>
              <w:t>3 449 717</w:t>
            </w:r>
          </w:p>
        </w:tc>
        <w:tc>
          <w:tcPr>
            <w:tcW w:w="1559" w:type="dxa"/>
          </w:tcPr>
          <w:p w:rsidR="00000000" w:rsidRDefault="00000000">
            <w:pPr>
              <w:jc w:val="center"/>
            </w:pPr>
            <w:r>
              <w:t>4 787 955</w:t>
            </w:r>
          </w:p>
        </w:tc>
        <w:tc>
          <w:tcPr>
            <w:tcW w:w="1418" w:type="dxa"/>
          </w:tcPr>
          <w:p w:rsidR="00000000" w:rsidRDefault="00000000">
            <w:pPr>
              <w:jc w:val="center"/>
            </w:pPr>
            <w:r>
              <w:t xml:space="preserve">  991 313</w:t>
            </w:r>
          </w:p>
        </w:tc>
        <w:tc>
          <w:tcPr>
            <w:tcW w:w="1586" w:type="dxa"/>
          </w:tcPr>
          <w:p w:rsidR="00000000" w:rsidRDefault="00000000">
            <w:pPr>
              <w:jc w:val="center"/>
            </w:pPr>
            <w:r>
              <w:t>18 177 520</w:t>
            </w:r>
          </w:p>
        </w:tc>
      </w:tr>
    </w:tbl>
    <w:p w:rsidR="00000000" w:rsidRDefault="00000000">
      <w:pPr>
        <w:rPr>
          <w:kern w:val="2"/>
        </w:rPr>
      </w:pPr>
    </w:p>
    <w:p w:rsidR="00000000" w:rsidRDefault="00000000">
      <w:pPr>
        <w:rPr>
          <w:kern w:val="2"/>
        </w:rPr>
      </w:pPr>
      <w:r>
        <w:rPr>
          <w:kern w:val="2"/>
        </w:rPr>
        <w:tab/>
      </w:r>
      <w:r>
        <w:rPr>
          <w:kern w:val="2"/>
          <w:u w:val="single"/>
        </w:rPr>
        <w:t>Source</w:t>
      </w:r>
      <w:r>
        <w:rPr>
          <w:kern w:val="2"/>
        </w:rPr>
        <w:t xml:space="preserve">:  Ministry of Work and Employment </w:t>
      </w:r>
      <w:r>
        <w:rPr>
          <w:kern w:val="2"/>
        </w:rPr>
        <w:noBreakHyphen/>
        <w:t xml:space="preserve"> data from SME/IBGE.</w:t>
      </w:r>
    </w:p>
    <w:p w:rsidR="00000000" w:rsidRDefault="00000000">
      <w:pPr>
        <w:rPr>
          <w:kern w:val="2"/>
        </w:rPr>
      </w:pPr>
      <w:r>
        <w:rPr>
          <w:kern w:val="2"/>
        </w:rPr>
        <w:tab/>
      </w:r>
    </w:p>
    <w:p w:rsidR="00000000" w:rsidRDefault="00000000">
      <w:pPr>
        <w:rPr>
          <w:kern w:val="2"/>
        </w:rPr>
      </w:pPr>
      <w:r>
        <w:rPr>
          <w:kern w:val="2"/>
        </w:rPr>
        <w:tab/>
        <w:t xml:space="preserve">Journal </w:t>
      </w:r>
      <w:r>
        <w:rPr>
          <w:kern w:val="2"/>
          <w:u w:val="single"/>
        </w:rPr>
        <w:t xml:space="preserve">Mercado de Trabalho </w:t>
      </w:r>
      <w:r>
        <w:rPr>
          <w:kern w:val="2"/>
          <w:u w:val="single"/>
        </w:rPr>
        <w:noBreakHyphen/>
        <w:t xml:space="preserve"> Conjuntura e Análise</w:t>
      </w:r>
      <w:r>
        <w:rPr>
          <w:kern w:val="2"/>
        </w:rPr>
        <w:t xml:space="preserve">, Year 5, June 2000. </w:t>
      </w:r>
    </w:p>
    <w:p w:rsidR="00000000" w:rsidRDefault="00000000">
      <w:pPr>
        <w:rPr>
          <w:kern w:val="2"/>
        </w:rPr>
      </w:pPr>
    </w:p>
    <w:p w:rsidR="00000000" w:rsidRDefault="00000000">
      <w:pPr>
        <w:pStyle w:val="Heading1"/>
        <w:rPr>
          <w:kern w:val="2"/>
        </w:rPr>
      </w:pPr>
      <w:r>
        <w:rPr>
          <w:kern w:val="2"/>
        </w:rPr>
        <w:br w:type="page"/>
        <w:t>Table 22</w:t>
      </w:r>
    </w:p>
    <w:p w:rsidR="00000000" w:rsidRDefault="00000000">
      <w:pPr>
        <w:pStyle w:val="Heading1"/>
        <w:rPr>
          <w:kern w:val="2"/>
        </w:rPr>
      </w:pPr>
    </w:p>
    <w:p w:rsidR="00000000" w:rsidRDefault="00000000">
      <w:pPr>
        <w:pStyle w:val="Heading1"/>
        <w:rPr>
          <w:kern w:val="2"/>
        </w:rPr>
      </w:pPr>
      <w:r>
        <w:rPr>
          <w:kern w:val="2"/>
        </w:rPr>
        <w:t>Labour force participation rate, by gender</w:t>
      </w:r>
    </w:p>
    <w:p w:rsidR="00000000" w:rsidRDefault="00000000">
      <w:pPr>
        <w:rPr>
          <w:kern w:val="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3100"/>
        <w:gridCol w:w="2118"/>
        <w:gridCol w:w="1830"/>
      </w:tblGrid>
      <w:tr w:rsidR="00000000">
        <w:trPr>
          <w:jc w:val="center"/>
        </w:trPr>
        <w:tc>
          <w:tcPr>
            <w:tcW w:w="3100" w:type="dxa"/>
            <w:tcBorders>
              <w:bottom w:val="single" w:sz="4" w:space="0" w:color="auto"/>
              <w:right w:val="single" w:sz="4" w:space="0" w:color="auto"/>
            </w:tcBorders>
          </w:tcPr>
          <w:p w:rsidR="00000000" w:rsidRDefault="00000000">
            <w:pPr>
              <w:jc w:val="center"/>
            </w:pPr>
            <w:r>
              <w:t>Average</w:t>
            </w:r>
          </w:p>
        </w:tc>
        <w:tc>
          <w:tcPr>
            <w:tcW w:w="2118" w:type="dxa"/>
            <w:tcBorders>
              <w:left w:val="single" w:sz="4" w:space="0" w:color="auto"/>
              <w:bottom w:val="single" w:sz="4" w:space="0" w:color="auto"/>
              <w:right w:val="single" w:sz="4" w:space="0" w:color="auto"/>
            </w:tcBorders>
          </w:tcPr>
          <w:p w:rsidR="00000000" w:rsidRDefault="00000000">
            <w:pPr>
              <w:jc w:val="center"/>
            </w:pPr>
            <w:r>
              <w:t>Men</w:t>
            </w:r>
          </w:p>
        </w:tc>
        <w:tc>
          <w:tcPr>
            <w:tcW w:w="1830" w:type="dxa"/>
            <w:tcBorders>
              <w:left w:val="single" w:sz="4" w:space="0" w:color="auto"/>
              <w:bottom w:val="single" w:sz="4" w:space="0" w:color="auto"/>
            </w:tcBorders>
          </w:tcPr>
          <w:p w:rsidR="00000000" w:rsidRDefault="00000000">
            <w:pPr>
              <w:jc w:val="center"/>
            </w:pPr>
            <w:r>
              <w:t>Women</w:t>
            </w:r>
          </w:p>
        </w:tc>
      </w:tr>
      <w:tr w:rsidR="00000000">
        <w:trPr>
          <w:jc w:val="center"/>
        </w:trPr>
        <w:tc>
          <w:tcPr>
            <w:tcW w:w="3100" w:type="dxa"/>
            <w:tcBorders>
              <w:top w:val="single" w:sz="4" w:space="0" w:color="auto"/>
              <w:bottom w:val="nil"/>
              <w:right w:val="single" w:sz="4" w:space="0" w:color="auto"/>
            </w:tcBorders>
          </w:tcPr>
          <w:p w:rsidR="00000000" w:rsidRDefault="00000000">
            <w:r>
              <w:t>1991</w:t>
            </w:r>
          </w:p>
        </w:tc>
        <w:tc>
          <w:tcPr>
            <w:tcW w:w="2118" w:type="dxa"/>
            <w:tcBorders>
              <w:top w:val="single" w:sz="4" w:space="0" w:color="auto"/>
              <w:left w:val="single" w:sz="4" w:space="0" w:color="auto"/>
              <w:bottom w:val="nil"/>
              <w:right w:val="single" w:sz="4" w:space="0" w:color="auto"/>
            </w:tcBorders>
          </w:tcPr>
          <w:p w:rsidR="00000000" w:rsidRDefault="00000000">
            <w:pPr>
              <w:jc w:val="center"/>
            </w:pPr>
            <w:r>
              <w:t>79.98</w:t>
            </w:r>
          </w:p>
        </w:tc>
        <w:tc>
          <w:tcPr>
            <w:tcW w:w="1830" w:type="dxa"/>
            <w:tcBorders>
              <w:top w:val="single" w:sz="4" w:space="0" w:color="auto"/>
              <w:left w:val="single" w:sz="4" w:space="0" w:color="auto"/>
              <w:bottom w:val="nil"/>
            </w:tcBorders>
          </w:tcPr>
          <w:p w:rsidR="00000000" w:rsidRDefault="00000000">
            <w:pPr>
              <w:jc w:val="center"/>
            </w:pPr>
            <w:r>
              <w:t>44.28</w:t>
            </w:r>
          </w:p>
        </w:tc>
      </w:tr>
      <w:tr w:rsidR="00000000">
        <w:trPr>
          <w:jc w:val="center"/>
        </w:trPr>
        <w:tc>
          <w:tcPr>
            <w:tcW w:w="3100" w:type="dxa"/>
            <w:tcBorders>
              <w:top w:val="nil"/>
              <w:bottom w:val="nil"/>
              <w:right w:val="single" w:sz="4" w:space="0" w:color="auto"/>
            </w:tcBorders>
          </w:tcPr>
          <w:p w:rsidR="00000000" w:rsidRDefault="00000000">
            <w:r>
              <w:t>1992</w:t>
            </w:r>
          </w:p>
        </w:tc>
        <w:tc>
          <w:tcPr>
            <w:tcW w:w="2118" w:type="dxa"/>
            <w:tcBorders>
              <w:top w:val="nil"/>
              <w:left w:val="single" w:sz="4" w:space="0" w:color="auto"/>
              <w:bottom w:val="nil"/>
              <w:right w:val="single" w:sz="4" w:space="0" w:color="auto"/>
            </w:tcBorders>
          </w:tcPr>
          <w:p w:rsidR="00000000" w:rsidRDefault="00000000">
            <w:pPr>
              <w:jc w:val="center"/>
            </w:pPr>
            <w:r>
              <w:t>78.35</w:t>
            </w:r>
          </w:p>
        </w:tc>
        <w:tc>
          <w:tcPr>
            <w:tcW w:w="1830" w:type="dxa"/>
            <w:tcBorders>
              <w:top w:val="nil"/>
              <w:left w:val="single" w:sz="4" w:space="0" w:color="auto"/>
              <w:bottom w:val="nil"/>
            </w:tcBorders>
          </w:tcPr>
          <w:p w:rsidR="00000000" w:rsidRDefault="00000000">
            <w:pPr>
              <w:jc w:val="center"/>
            </w:pPr>
            <w:r>
              <w:t>42.69</w:t>
            </w:r>
          </w:p>
        </w:tc>
      </w:tr>
      <w:tr w:rsidR="00000000">
        <w:trPr>
          <w:jc w:val="center"/>
        </w:trPr>
        <w:tc>
          <w:tcPr>
            <w:tcW w:w="3100" w:type="dxa"/>
            <w:tcBorders>
              <w:top w:val="nil"/>
              <w:bottom w:val="nil"/>
              <w:right w:val="single" w:sz="4" w:space="0" w:color="auto"/>
            </w:tcBorders>
          </w:tcPr>
          <w:p w:rsidR="00000000" w:rsidRDefault="00000000">
            <w:r>
              <w:t>1993</w:t>
            </w:r>
          </w:p>
        </w:tc>
        <w:tc>
          <w:tcPr>
            <w:tcW w:w="2118" w:type="dxa"/>
            <w:tcBorders>
              <w:top w:val="nil"/>
              <w:left w:val="single" w:sz="4" w:space="0" w:color="auto"/>
              <w:bottom w:val="nil"/>
              <w:right w:val="single" w:sz="4" w:space="0" w:color="auto"/>
            </w:tcBorders>
          </w:tcPr>
          <w:p w:rsidR="00000000" w:rsidRDefault="00000000">
            <w:pPr>
              <w:jc w:val="center"/>
            </w:pPr>
            <w:r>
              <w:t>77.16</w:t>
            </w:r>
          </w:p>
        </w:tc>
        <w:tc>
          <w:tcPr>
            <w:tcW w:w="1830" w:type="dxa"/>
            <w:tcBorders>
              <w:top w:val="nil"/>
              <w:left w:val="single" w:sz="4" w:space="0" w:color="auto"/>
              <w:bottom w:val="nil"/>
            </w:tcBorders>
          </w:tcPr>
          <w:p w:rsidR="00000000" w:rsidRDefault="00000000">
            <w:pPr>
              <w:jc w:val="center"/>
            </w:pPr>
            <w:r>
              <w:t>42.51</w:t>
            </w:r>
          </w:p>
        </w:tc>
      </w:tr>
      <w:tr w:rsidR="00000000">
        <w:trPr>
          <w:jc w:val="center"/>
        </w:trPr>
        <w:tc>
          <w:tcPr>
            <w:tcW w:w="3100" w:type="dxa"/>
            <w:tcBorders>
              <w:top w:val="nil"/>
              <w:bottom w:val="nil"/>
              <w:right w:val="single" w:sz="4" w:space="0" w:color="auto"/>
            </w:tcBorders>
          </w:tcPr>
          <w:p w:rsidR="00000000" w:rsidRDefault="00000000">
            <w:r>
              <w:t>1994</w:t>
            </w:r>
          </w:p>
        </w:tc>
        <w:tc>
          <w:tcPr>
            <w:tcW w:w="2118" w:type="dxa"/>
            <w:tcBorders>
              <w:top w:val="nil"/>
              <w:left w:val="single" w:sz="4" w:space="0" w:color="auto"/>
              <w:bottom w:val="nil"/>
              <w:right w:val="single" w:sz="4" w:space="0" w:color="auto"/>
            </w:tcBorders>
          </w:tcPr>
          <w:p w:rsidR="00000000" w:rsidRDefault="00000000">
            <w:pPr>
              <w:jc w:val="center"/>
            </w:pPr>
            <w:r>
              <w:t>77.20</w:t>
            </w:r>
          </w:p>
        </w:tc>
        <w:tc>
          <w:tcPr>
            <w:tcW w:w="1830" w:type="dxa"/>
            <w:tcBorders>
              <w:top w:val="nil"/>
              <w:left w:val="single" w:sz="4" w:space="0" w:color="auto"/>
              <w:bottom w:val="nil"/>
            </w:tcBorders>
          </w:tcPr>
          <w:p w:rsidR="00000000" w:rsidRDefault="00000000">
            <w:pPr>
              <w:jc w:val="center"/>
            </w:pPr>
            <w:r>
              <w:t>43.35</w:t>
            </w:r>
          </w:p>
        </w:tc>
      </w:tr>
      <w:tr w:rsidR="00000000">
        <w:trPr>
          <w:jc w:val="center"/>
        </w:trPr>
        <w:tc>
          <w:tcPr>
            <w:tcW w:w="3100" w:type="dxa"/>
            <w:tcBorders>
              <w:top w:val="nil"/>
              <w:bottom w:val="nil"/>
              <w:right w:val="single" w:sz="4" w:space="0" w:color="auto"/>
            </w:tcBorders>
          </w:tcPr>
          <w:p w:rsidR="00000000" w:rsidRDefault="00000000">
            <w:r>
              <w:t>1995</w:t>
            </w:r>
          </w:p>
        </w:tc>
        <w:tc>
          <w:tcPr>
            <w:tcW w:w="2118" w:type="dxa"/>
            <w:tcBorders>
              <w:top w:val="nil"/>
              <w:left w:val="single" w:sz="4" w:space="0" w:color="auto"/>
              <w:bottom w:val="nil"/>
              <w:right w:val="single" w:sz="4" w:space="0" w:color="auto"/>
            </w:tcBorders>
          </w:tcPr>
          <w:p w:rsidR="00000000" w:rsidRDefault="00000000">
            <w:pPr>
              <w:jc w:val="center"/>
            </w:pPr>
            <w:r>
              <w:t>76.67</w:t>
            </w:r>
          </w:p>
        </w:tc>
        <w:tc>
          <w:tcPr>
            <w:tcW w:w="1830" w:type="dxa"/>
            <w:tcBorders>
              <w:top w:val="nil"/>
              <w:left w:val="single" w:sz="4" w:space="0" w:color="auto"/>
              <w:bottom w:val="nil"/>
            </w:tcBorders>
          </w:tcPr>
          <w:p w:rsidR="00000000" w:rsidRDefault="00000000">
            <w:pPr>
              <w:jc w:val="center"/>
            </w:pPr>
            <w:r>
              <w:t>43.92</w:t>
            </w:r>
          </w:p>
        </w:tc>
      </w:tr>
      <w:tr w:rsidR="00000000">
        <w:trPr>
          <w:jc w:val="center"/>
        </w:trPr>
        <w:tc>
          <w:tcPr>
            <w:tcW w:w="3100" w:type="dxa"/>
            <w:tcBorders>
              <w:top w:val="nil"/>
              <w:bottom w:val="nil"/>
              <w:right w:val="single" w:sz="4" w:space="0" w:color="auto"/>
            </w:tcBorders>
          </w:tcPr>
          <w:p w:rsidR="00000000" w:rsidRDefault="00000000">
            <w:r>
              <w:t>1996</w:t>
            </w:r>
          </w:p>
        </w:tc>
        <w:tc>
          <w:tcPr>
            <w:tcW w:w="2118" w:type="dxa"/>
            <w:tcBorders>
              <w:top w:val="nil"/>
              <w:left w:val="single" w:sz="4" w:space="0" w:color="auto"/>
              <w:bottom w:val="nil"/>
              <w:right w:val="single" w:sz="4" w:space="0" w:color="auto"/>
            </w:tcBorders>
          </w:tcPr>
          <w:p w:rsidR="00000000" w:rsidRDefault="00000000">
            <w:pPr>
              <w:jc w:val="center"/>
            </w:pPr>
            <w:r>
              <w:t>76.26</w:t>
            </w:r>
          </w:p>
        </w:tc>
        <w:tc>
          <w:tcPr>
            <w:tcW w:w="1830" w:type="dxa"/>
            <w:tcBorders>
              <w:top w:val="nil"/>
              <w:left w:val="single" w:sz="4" w:space="0" w:color="auto"/>
              <w:bottom w:val="nil"/>
            </w:tcBorders>
          </w:tcPr>
          <w:p w:rsidR="00000000" w:rsidRDefault="00000000">
            <w:pPr>
              <w:jc w:val="center"/>
            </w:pPr>
            <w:r>
              <w:t>44.86</w:t>
            </w:r>
          </w:p>
        </w:tc>
      </w:tr>
      <w:tr w:rsidR="00000000">
        <w:trPr>
          <w:jc w:val="center"/>
        </w:trPr>
        <w:tc>
          <w:tcPr>
            <w:tcW w:w="3100" w:type="dxa"/>
            <w:tcBorders>
              <w:top w:val="nil"/>
              <w:bottom w:val="nil"/>
              <w:right w:val="single" w:sz="4" w:space="0" w:color="auto"/>
            </w:tcBorders>
          </w:tcPr>
          <w:p w:rsidR="00000000" w:rsidRDefault="00000000">
            <w:r>
              <w:t>1997</w:t>
            </w:r>
          </w:p>
        </w:tc>
        <w:tc>
          <w:tcPr>
            <w:tcW w:w="2118" w:type="dxa"/>
            <w:tcBorders>
              <w:top w:val="nil"/>
              <w:left w:val="single" w:sz="4" w:space="0" w:color="auto"/>
              <w:bottom w:val="nil"/>
              <w:right w:val="single" w:sz="4" w:space="0" w:color="auto"/>
            </w:tcBorders>
          </w:tcPr>
          <w:p w:rsidR="00000000" w:rsidRDefault="00000000">
            <w:pPr>
              <w:jc w:val="center"/>
            </w:pPr>
            <w:r>
              <w:t>74.66</w:t>
            </w:r>
          </w:p>
        </w:tc>
        <w:tc>
          <w:tcPr>
            <w:tcW w:w="1830" w:type="dxa"/>
            <w:tcBorders>
              <w:top w:val="nil"/>
              <w:left w:val="single" w:sz="4" w:space="0" w:color="auto"/>
              <w:bottom w:val="nil"/>
            </w:tcBorders>
          </w:tcPr>
          <w:p w:rsidR="00000000" w:rsidRDefault="00000000">
            <w:pPr>
              <w:jc w:val="center"/>
            </w:pPr>
            <w:r>
              <w:t>44.29</w:t>
            </w:r>
          </w:p>
        </w:tc>
      </w:tr>
      <w:tr w:rsidR="00000000">
        <w:trPr>
          <w:jc w:val="center"/>
        </w:trPr>
        <w:tc>
          <w:tcPr>
            <w:tcW w:w="3100" w:type="dxa"/>
            <w:tcBorders>
              <w:top w:val="nil"/>
              <w:bottom w:val="nil"/>
              <w:right w:val="single" w:sz="4" w:space="0" w:color="auto"/>
            </w:tcBorders>
          </w:tcPr>
          <w:p w:rsidR="00000000" w:rsidRDefault="00000000">
            <w:r>
              <w:t>1998</w:t>
            </w:r>
          </w:p>
        </w:tc>
        <w:tc>
          <w:tcPr>
            <w:tcW w:w="2118" w:type="dxa"/>
            <w:tcBorders>
              <w:top w:val="nil"/>
              <w:left w:val="single" w:sz="4" w:space="0" w:color="auto"/>
              <w:bottom w:val="nil"/>
              <w:right w:val="single" w:sz="4" w:space="0" w:color="auto"/>
            </w:tcBorders>
          </w:tcPr>
          <w:p w:rsidR="00000000" w:rsidRDefault="00000000">
            <w:pPr>
              <w:jc w:val="center"/>
            </w:pPr>
            <w:r>
              <w:t>73.70</w:t>
            </w:r>
          </w:p>
        </w:tc>
        <w:tc>
          <w:tcPr>
            <w:tcW w:w="1830" w:type="dxa"/>
            <w:tcBorders>
              <w:top w:val="nil"/>
              <w:left w:val="single" w:sz="4" w:space="0" w:color="auto"/>
              <w:bottom w:val="nil"/>
            </w:tcBorders>
          </w:tcPr>
          <w:p w:rsidR="00000000" w:rsidRDefault="00000000">
            <w:pPr>
              <w:jc w:val="center"/>
            </w:pPr>
            <w:r>
              <w:t>44.53</w:t>
            </w:r>
          </w:p>
        </w:tc>
      </w:tr>
      <w:tr w:rsidR="00000000">
        <w:trPr>
          <w:jc w:val="center"/>
        </w:trPr>
        <w:tc>
          <w:tcPr>
            <w:tcW w:w="3100" w:type="dxa"/>
            <w:tcBorders>
              <w:top w:val="nil"/>
              <w:bottom w:val="nil"/>
              <w:right w:val="single" w:sz="4" w:space="0" w:color="auto"/>
            </w:tcBorders>
          </w:tcPr>
          <w:p w:rsidR="00000000" w:rsidRDefault="00000000">
            <w:r>
              <w:t>1999</w:t>
            </w:r>
          </w:p>
        </w:tc>
        <w:tc>
          <w:tcPr>
            <w:tcW w:w="2118" w:type="dxa"/>
            <w:tcBorders>
              <w:top w:val="nil"/>
              <w:left w:val="single" w:sz="4" w:space="0" w:color="auto"/>
              <w:bottom w:val="nil"/>
              <w:right w:val="single" w:sz="4" w:space="0" w:color="auto"/>
            </w:tcBorders>
          </w:tcPr>
          <w:p w:rsidR="00000000" w:rsidRDefault="00000000">
            <w:pPr>
              <w:jc w:val="center"/>
            </w:pPr>
            <w:r>
              <w:t>72.18</w:t>
            </w:r>
          </w:p>
        </w:tc>
        <w:tc>
          <w:tcPr>
            <w:tcW w:w="1830" w:type="dxa"/>
            <w:tcBorders>
              <w:top w:val="nil"/>
              <w:left w:val="single" w:sz="4" w:space="0" w:color="auto"/>
              <w:bottom w:val="nil"/>
            </w:tcBorders>
          </w:tcPr>
          <w:p w:rsidR="00000000" w:rsidRDefault="00000000">
            <w:pPr>
              <w:jc w:val="center"/>
            </w:pPr>
            <w:r>
              <w:t>43.88</w:t>
            </w:r>
          </w:p>
        </w:tc>
      </w:tr>
      <w:tr w:rsidR="00000000">
        <w:trPr>
          <w:jc w:val="center"/>
        </w:trPr>
        <w:tc>
          <w:tcPr>
            <w:tcW w:w="3100" w:type="dxa"/>
            <w:tcBorders>
              <w:top w:val="nil"/>
              <w:bottom w:val="nil"/>
              <w:right w:val="single" w:sz="4" w:space="0" w:color="auto"/>
            </w:tcBorders>
          </w:tcPr>
          <w:p w:rsidR="00000000" w:rsidRDefault="00000000">
            <w:r>
              <w:t>Jan.</w:t>
            </w:r>
            <w:r>
              <w:noBreakHyphen/>
              <w:t>Apr. 1999</w:t>
            </w:r>
          </w:p>
        </w:tc>
        <w:tc>
          <w:tcPr>
            <w:tcW w:w="2118" w:type="dxa"/>
            <w:tcBorders>
              <w:top w:val="nil"/>
              <w:left w:val="single" w:sz="4" w:space="0" w:color="auto"/>
              <w:bottom w:val="nil"/>
              <w:right w:val="single" w:sz="4" w:space="0" w:color="auto"/>
            </w:tcBorders>
          </w:tcPr>
          <w:p w:rsidR="00000000" w:rsidRDefault="00000000">
            <w:pPr>
              <w:jc w:val="center"/>
            </w:pPr>
            <w:r>
              <w:t>71.97</w:t>
            </w:r>
          </w:p>
        </w:tc>
        <w:tc>
          <w:tcPr>
            <w:tcW w:w="1830" w:type="dxa"/>
            <w:tcBorders>
              <w:top w:val="nil"/>
              <w:left w:val="single" w:sz="4" w:space="0" w:color="auto"/>
              <w:bottom w:val="nil"/>
            </w:tcBorders>
          </w:tcPr>
          <w:p w:rsidR="00000000" w:rsidRDefault="00000000">
            <w:pPr>
              <w:jc w:val="center"/>
            </w:pPr>
            <w:r>
              <w:t>43.51</w:t>
            </w:r>
          </w:p>
        </w:tc>
      </w:tr>
      <w:tr w:rsidR="00000000">
        <w:trPr>
          <w:jc w:val="center"/>
        </w:trPr>
        <w:tc>
          <w:tcPr>
            <w:tcW w:w="3100" w:type="dxa"/>
            <w:tcBorders>
              <w:top w:val="nil"/>
              <w:bottom w:val="nil"/>
              <w:right w:val="single" w:sz="4" w:space="0" w:color="auto"/>
            </w:tcBorders>
          </w:tcPr>
          <w:p w:rsidR="00000000" w:rsidRDefault="00000000">
            <w:r>
              <w:t>Apr. 1999</w:t>
            </w:r>
          </w:p>
        </w:tc>
        <w:tc>
          <w:tcPr>
            <w:tcW w:w="2118" w:type="dxa"/>
            <w:tcBorders>
              <w:top w:val="nil"/>
              <w:left w:val="single" w:sz="4" w:space="0" w:color="auto"/>
              <w:bottom w:val="nil"/>
              <w:right w:val="single" w:sz="4" w:space="0" w:color="auto"/>
            </w:tcBorders>
          </w:tcPr>
          <w:p w:rsidR="00000000" w:rsidRDefault="00000000">
            <w:pPr>
              <w:jc w:val="center"/>
            </w:pPr>
            <w:r>
              <w:t>72.06</w:t>
            </w:r>
          </w:p>
        </w:tc>
        <w:tc>
          <w:tcPr>
            <w:tcW w:w="1830" w:type="dxa"/>
            <w:tcBorders>
              <w:top w:val="nil"/>
              <w:left w:val="single" w:sz="4" w:space="0" w:color="auto"/>
              <w:bottom w:val="nil"/>
            </w:tcBorders>
          </w:tcPr>
          <w:p w:rsidR="00000000" w:rsidRDefault="00000000">
            <w:pPr>
              <w:jc w:val="center"/>
            </w:pPr>
            <w:r>
              <w:t>43.56</w:t>
            </w:r>
          </w:p>
        </w:tc>
      </w:tr>
      <w:tr w:rsidR="00000000">
        <w:trPr>
          <w:jc w:val="center"/>
        </w:trPr>
        <w:tc>
          <w:tcPr>
            <w:tcW w:w="3100" w:type="dxa"/>
            <w:tcBorders>
              <w:top w:val="nil"/>
              <w:bottom w:val="nil"/>
              <w:right w:val="single" w:sz="4" w:space="0" w:color="auto"/>
            </w:tcBorders>
          </w:tcPr>
          <w:p w:rsidR="00000000" w:rsidRDefault="00000000">
            <w:r>
              <w:t>May 1999</w:t>
            </w:r>
          </w:p>
        </w:tc>
        <w:tc>
          <w:tcPr>
            <w:tcW w:w="2118" w:type="dxa"/>
            <w:tcBorders>
              <w:top w:val="nil"/>
              <w:left w:val="single" w:sz="4" w:space="0" w:color="auto"/>
              <w:bottom w:val="nil"/>
              <w:right w:val="single" w:sz="4" w:space="0" w:color="auto"/>
            </w:tcBorders>
          </w:tcPr>
          <w:p w:rsidR="00000000" w:rsidRDefault="00000000">
            <w:pPr>
              <w:jc w:val="center"/>
            </w:pPr>
            <w:r>
              <w:t>72.16</w:t>
            </w:r>
          </w:p>
        </w:tc>
        <w:tc>
          <w:tcPr>
            <w:tcW w:w="1830" w:type="dxa"/>
            <w:tcBorders>
              <w:top w:val="nil"/>
              <w:left w:val="single" w:sz="4" w:space="0" w:color="auto"/>
              <w:bottom w:val="nil"/>
            </w:tcBorders>
          </w:tcPr>
          <w:p w:rsidR="00000000" w:rsidRDefault="00000000">
            <w:pPr>
              <w:jc w:val="center"/>
            </w:pPr>
            <w:r>
              <w:t>43.73</w:t>
            </w:r>
          </w:p>
        </w:tc>
      </w:tr>
      <w:tr w:rsidR="00000000">
        <w:trPr>
          <w:jc w:val="center"/>
        </w:trPr>
        <w:tc>
          <w:tcPr>
            <w:tcW w:w="3100" w:type="dxa"/>
            <w:tcBorders>
              <w:top w:val="nil"/>
              <w:bottom w:val="nil"/>
              <w:right w:val="single" w:sz="4" w:space="0" w:color="auto"/>
            </w:tcBorders>
          </w:tcPr>
          <w:p w:rsidR="00000000" w:rsidRDefault="00000000">
            <w:r>
              <w:t>June 1999</w:t>
            </w:r>
          </w:p>
        </w:tc>
        <w:tc>
          <w:tcPr>
            <w:tcW w:w="2118" w:type="dxa"/>
            <w:tcBorders>
              <w:top w:val="nil"/>
              <w:left w:val="single" w:sz="4" w:space="0" w:color="auto"/>
              <w:bottom w:val="nil"/>
              <w:right w:val="single" w:sz="4" w:space="0" w:color="auto"/>
            </w:tcBorders>
          </w:tcPr>
          <w:p w:rsidR="00000000" w:rsidRDefault="00000000">
            <w:pPr>
              <w:jc w:val="center"/>
            </w:pPr>
            <w:r>
              <w:t>73.12</w:t>
            </w:r>
          </w:p>
        </w:tc>
        <w:tc>
          <w:tcPr>
            <w:tcW w:w="1830" w:type="dxa"/>
            <w:tcBorders>
              <w:top w:val="nil"/>
              <w:left w:val="single" w:sz="4" w:space="0" w:color="auto"/>
              <w:bottom w:val="nil"/>
            </w:tcBorders>
          </w:tcPr>
          <w:p w:rsidR="00000000" w:rsidRDefault="00000000">
            <w:pPr>
              <w:jc w:val="center"/>
            </w:pPr>
            <w:r>
              <w:t>43.94</w:t>
            </w:r>
          </w:p>
        </w:tc>
      </w:tr>
      <w:tr w:rsidR="00000000">
        <w:trPr>
          <w:jc w:val="center"/>
        </w:trPr>
        <w:tc>
          <w:tcPr>
            <w:tcW w:w="3100" w:type="dxa"/>
            <w:tcBorders>
              <w:top w:val="nil"/>
              <w:bottom w:val="nil"/>
              <w:right w:val="single" w:sz="4" w:space="0" w:color="auto"/>
            </w:tcBorders>
          </w:tcPr>
          <w:p w:rsidR="00000000" w:rsidRDefault="00000000">
            <w:r>
              <w:t>July 1999</w:t>
            </w:r>
          </w:p>
        </w:tc>
        <w:tc>
          <w:tcPr>
            <w:tcW w:w="2118" w:type="dxa"/>
            <w:tcBorders>
              <w:top w:val="nil"/>
              <w:left w:val="single" w:sz="4" w:space="0" w:color="auto"/>
              <w:bottom w:val="nil"/>
              <w:right w:val="single" w:sz="4" w:space="0" w:color="auto"/>
            </w:tcBorders>
          </w:tcPr>
          <w:p w:rsidR="00000000" w:rsidRDefault="00000000">
            <w:pPr>
              <w:jc w:val="center"/>
            </w:pPr>
            <w:r>
              <w:t>72.21</w:t>
            </w:r>
          </w:p>
        </w:tc>
        <w:tc>
          <w:tcPr>
            <w:tcW w:w="1830" w:type="dxa"/>
            <w:tcBorders>
              <w:top w:val="nil"/>
              <w:left w:val="single" w:sz="4" w:space="0" w:color="auto"/>
              <w:bottom w:val="nil"/>
            </w:tcBorders>
          </w:tcPr>
          <w:p w:rsidR="00000000" w:rsidRDefault="00000000">
            <w:pPr>
              <w:jc w:val="center"/>
            </w:pPr>
            <w:r>
              <w:t>43.76</w:t>
            </w:r>
          </w:p>
        </w:tc>
      </w:tr>
      <w:tr w:rsidR="00000000">
        <w:trPr>
          <w:jc w:val="center"/>
        </w:trPr>
        <w:tc>
          <w:tcPr>
            <w:tcW w:w="3100" w:type="dxa"/>
            <w:tcBorders>
              <w:top w:val="nil"/>
              <w:bottom w:val="nil"/>
              <w:right w:val="single" w:sz="4" w:space="0" w:color="auto"/>
            </w:tcBorders>
          </w:tcPr>
          <w:p w:rsidR="00000000" w:rsidRDefault="00000000">
            <w:r>
              <w:t>Aug. 99</w:t>
            </w:r>
          </w:p>
        </w:tc>
        <w:tc>
          <w:tcPr>
            <w:tcW w:w="2118" w:type="dxa"/>
            <w:tcBorders>
              <w:top w:val="nil"/>
              <w:left w:val="single" w:sz="4" w:space="0" w:color="auto"/>
              <w:bottom w:val="nil"/>
              <w:right w:val="single" w:sz="4" w:space="0" w:color="auto"/>
            </w:tcBorders>
          </w:tcPr>
          <w:p w:rsidR="00000000" w:rsidRDefault="00000000">
            <w:pPr>
              <w:jc w:val="center"/>
            </w:pPr>
            <w:r>
              <w:t>71.82</w:t>
            </w:r>
          </w:p>
        </w:tc>
        <w:tc>
          <w:tcPr>
            <w:tcW w:w="1830" w:type="dxa"/>
            <w:tcBorders>
              <w:top w:val="nil"/>
              <w:left w:val="single" w:sz="4" w:space="0" w:color="auto"/>
              <w:bottom w:val="nil"/>
            </w:tcBorders>
          </w:tcPr>
          <w:p w:rsidR="00000000" w:rsidRDefault="00000000">
            <w:pPr>
              <w:jc w:val="center"/>
            </w:pPr>
            <w:r>
              <w:t>43.76</w:t>
            </w:r>
          </w:p>
        </w:tc>
      </w:tr>
      <w:tr w:rsidR="00000000">
        <w:trPr>
          <w:jc w:val="center"/>
        </w:trPr>
        <w:tc>
          <w:tcPr>
            <w:tcW w:w="3100" w:type="dxa"/>
            <w:tcBorders>
              <w:top w:val="nil"/>
              <w:bottom w:val="nil"/>
              <w:right w:val="single" w:sz="4" w:space="0" w:color="auto"/>
            </w:tcBorders>
          </w:tcPr>
          <w:p w:rsidR="00000000" w:rsidRDefault="00000000">
            <w:r>
              <w:t>Sept. 1999</w:t>
            </w:r>
          </w:p>
        </w:tc>
        <w:tc>
          <w:tcPr>
            <w:tcW w:w="2118" w:type="dxa"/>
            <w:tcBorders>
              <w:top w:val="nil"/>
              <w:left w:val="single" w:sz="4" w:space="0" w:color="auto"/>
              <w:bottom w:val="nil"/>
              <w:right w:val="single" w:sz="4" w:space="0" w:color="auto"/>
            </w:tcBorders>
          </w:tcPr>
          <w:p w:rsidR="00000000" w:rsidRDefault="00000000">
            <w:pPr>
              <w:jc w:val="center"/>
            </w:pPr>
            <w:r>
              <w:t>72.09</w:t>
            </w:r>
          </w:p>
        </w:tc>
        <w:tc>
          <w:tcPr>
            <w:tcW w:w="1830" w:type="dxa"/>
            <w:tcBorders>
              <w:top w:val="nil"/>
              <w:left w:val="single" w:sz="4" w:space="0" w:color="auto"/>
              <w:bottom w:val="nil"/>
            </w:tcBorders>
          </w:tcPr>
          <w:p w:rsidR="00000000" w:rsidRDefault="00000000">
            <w:pPr>
              <w:jc w:val="center"/>
            </w:pPr>
            <w:r>
              <w:t>44.12</w:t>
            </w:r>
          </w:p>
        </w:tc>
      </w:tr>
      <w:tr w:rsidR="00000000">
        <w:trPr>
          <w:jc w:val="center"/>
        </w:trPr>
        <w:tc>
          <w:tcPr>
            <w:tcW w:w="3100" w:type="dxa"/>
            <w:tcBorders>
              <w:top w:val="nil"/>
              <w:bottom w:val="nil"/>
              <w:right w:val="single" w:sz="4" w:space="0" w:color="auto"/>
            </w:tcBorders>
          </w:tcPr>
          <w:p w:rsidR="00000000" w:rsidRDefault="00000000">
            <w:r>
              <w:t>Oct.1999</w:t>
            </w:r>
          </w:p>
        </w:tc>
        <w:tc>
          <w:tcPr>
            <w:tcW w:w="2118" w:type="dxa"/>
            <w:tcBorders>
              <w:top w:val="nil"/>
              <w:left w:val="single" w:sz="4" w:space="0" w:color="auto"/>
              <w:bottom w:val="nil"/>
              <w:right w:val="single" w:sz="4" w:space="0" w:color="auto"/>
            </w:tcBorders>
          </w:tcPr>
          <w:p w:rsidR="00000000" w:rsidRDefault="00000000">
            <w:pPr>
              <w:jc w:val="center"/>
            </w:pPr>
            <w:r>
              <w:t>72.34</w:t>
            </w:r>
          </w:p>
        </w:tc>
        <w:tc>
          <w:tcPr>
            <w:tcW w:w="1830" w:type="dxa"/>
            <w:tcBorders>
              <w:top w:val="nil"/>
              <w:left w:val="single" w:sz="4" w:space="0" w:color="auto"/>
              <w:bottom w:val="nil"/>
            </w:tcBorders>
          </w:tcPr>
          <w:p w:rsidR="00000000" w:rsidRDefault="00000000">
            <w:pPr>
              <w:jc w:val="center"/>
            </w:pPr>
            <w:r>
              <w:t>44.50</w:t>
            </w:r>
          </w:p>
        </w:tc>
      </w:tr>
      <w:tr w:rsidR="00000000">
        <w:trPr>
          <w:jc w:val="center"/>
        </w:trPr>
        <w:tc>
          <w:tcPr>
            <w:tcW w:w="3100" w:type="dxa"/>
            <w:tcBorders>
              <w:top w:val="nil"/>
              <w:bottom w:val="nil"/>
              <w:right w:val="single" w:sz="4" w:space="0" w:color="auto"/>
            </w:tcBorders>
          </w:tcPr>
          <w:p w:rsidR="00000000" w:rsidRDefault="00000000">
            <w:r>
              <w:t>Nov. 1999</w:t>
            </w:r>
          </w:p>
        </w:tc>
        <w:tc>
          <w:tcPr>
            <w:tcW w:w="2118" w:type="dxa"/>
            <w:tcBorders>
              <w:top w:val="nil"/>
              <w:left w:val="single" w:sz="4" w:space="0" w:color="auto"/>
              <w:bottom w:val="nil"/>
              <w:right w:val="single" w:sz="4" w:space="0" w:color="auto"/>
            </w:tcBorders>
          </w:tcPr>
          <w:p w:rsidR="00000000" w:rsidRDefault="00000000">
            <w:pPr>
              <w:jc w:val="center"/>
            </w:pPr>
            <w:r>
              <w:t>72.33</w:t>
            </w:r>
          </w:p>
        </w:tc>
        <w:tc>
          <w:tcPr>
            <w:tcW w:w="1830" w:type="dxa"/>
            <w:tcBorders>
              <w:top w:val="nil"/>
              <w:left w:val="single" w:sz="4" w:space="0" w:color="auto"/>
              <w:bottom w:val="nil"/>
            </w:tcBorders>
          </w:tcPr>
          <w:p w:rsidR="00000000" w:rsidRDefault="00000000">
            <w:pPr>
              <w:jc w:val="center"/>
            </w:pPr>
            <w:r>
              <w:t>44.52</w:t>
            </w:r>
          </w:p>
        </w:tc>
      </w:tr>
      <w:tr w:rsidR="00000000">
        <w:trPr>
          <w:jc w:val="center"/>
        </w:trPr>
        <w:tc>
          <w:tcPr>
            <w:tcW w:w="3100" w:type="dxa"/>
            <w:tcBorders>
              <w:top w:val="nil"/>
              <w:bottom w:val="nil"/>
              <w:right w:val="single" w:sz="4" w:space="0" w:color="auto"/>
            </w:tcBorders>
          </w:tcPr>
          <w:p w:rsidR="00000000" w:rsidRDefault="00000000">
            <w:r>
              <w:t>Dec. 1999</w:t>
            </w:r>
          </w:p>
        </w:tc>
        <w:tc>
          <w:tcPr>
            <w:tcW w:w="2118" w:type="dxa"/>
            <w:tcBorders>
              <w:top w:val="nil"/>
              <w:left w:val="single" w:sz="4" w:space="0" w:color="auto"/>
              <w:bottom w:val="nil"/>
              <w:right w:val="single" w:sz="4" w:space="0" w:color="auto"/>
            </w:tcBorders>
          </w:tcPr>
          <w:p w:rsidR="00000000" w:rsidRDefault="00000000">
            <w:pPr>
              <w:jc w:val="center"/>
            </w:pPr>
            <w:r>
              <w:t>72.19</w:t>
            </w:r>
          </w:p>
        </w:tc>
        <w:tc>
          <w:tcPr>
            <w:tcW w:w="1830" w:type="dxa"/>
            <w:tcBorders>
              <w:top w:val="nil"/>
              <w:left w:val="single" w:sz="4" w:space="0" w:color="auto"/>
              <w:bottom w:val="nil"/>
            </w:tcBorders>
          </w:tcPr>
          <w:p w:rsidR="00000000" w:rsidRDefault="00000000">
            <w:pPr>
              <w:jc w:val="center"/>
            </w:pPr>
            <w:r>
              <w:t>44.54</w:t>
            </w:r>
          </w:p>
        </w:tc>
      </w:tr>
      <w:tr w:rsidR="00000000">
        <w:trPr>
          <w:jc w:val="center"/>
        </w:trPr>
        <w:tc>
          <w:tcPr>
            <w:tcW w:w="3100" w:type="dxa"/>
            <w:tcBorders>
              <w:top w:val="nil"/>
              <w:bottom w:val="nil"/>
              <w:right w:val="single" w:sz="4" w:space="0" w:color="auto"/>
            </w:tcBorders>
          </w:tcPr>
          <w:p w:rsidR="00000000" w:rsidRDefault="00000000">
            <w:r>
              <w:t>Jan. 2000</w:t>
            </w:r>
          </w:p>
        </w:tc>
        <w:tc>
          <w:tcPr>
            <w:tcW w:w="2118" w:type="dxa"/>
            <w:tcBorders>
              <w:top w:val="nil"/>
              <w:left w:val="single" w:sz="4" w:space="0" w:color="auto"/>
              <w:bottom w:val="nil"/>
              <w:right w:val="single" w:sz="4" w:space="0" w:color="auto"/>
            </w:tcBorders>
          </w:tcPr>
          <w:p w:rsidR="00000000" w:rsidRDefault="00000000">
            <w:pPr>
              <w:jc w:val="center"/>
            </w:pPr>
            <w:r>
              <w:t>71.96</w:t>
            </w:r>
          </w:p>
        </w:tc>
        <w:tc>
          <w:tcPr>
            <w:tcW w:w="1830" w:type="dxa"/>
            <w:tcBorders>
              <w:top w:val="nil"/>
              <w:left w:val="single" w:sz="4" w:space="0" w:color="auto"/>
              <w:bottom w:val="nil"/>
            </w:tcBorders>
          </w:tcPr>
          <w:p w:rsidR="00000000" w:rsidRDefault="00000000">
            <w:pPr>
              <w:jc w:val="center"/>
            </w:pPr>
            <w:r>
              <w:t>44.29</w:t>
            </w:r>
          </w:p>
        </w:tc>
      </w:tr>
      <w:tr w:rsidR="00000000">
        <w:trPr>
          <w:jc w:val="center"/>
        </w:trPr>
        <w:tc>
          <w:tcPr>
            <w:tcW w:w="3100" w:type="dxa"/>
            <w:tcBorders>
              <w:top w:val="nil"/>
              <w:bottom w:val="nil"/>
              <w:right w:val="single" w:sz="4" w:space="0" w:color="auto"/>
            </w:tcBorders>
          </w:tcPr>
          <w:p w:rsidR="00000000" w:rsidRDefault="00000000">
            <w:r>
              <w:t>Feb. 2000</w:t>
            </w:r>
          </w:p>
        </w:tc>
        <w:tc>
          <w:tcPr>
            <w:tcW w:w="2118" w:type="dxa"/>
            <w:tcBorders>
              <w:top w:val="nil"/>
              <w:left w:val="single" w:sz="4" w:space="0" w:color="auto"/>
              <w:bottom w:val="nil"/>
              <w:right w:val="single" w:sz="4" w:space="0" w:color="auto"/>
            </w:tcBorders>
          </w:tcPr>
          <w:p w:rsidR="00000000" w:rsidRDefault="00000000">
            <w:pPr>
              <w:jc w:val="center"/>
            </w:pPr>
            <w:r>
              <w:t>72.52</w:t>
            </w:r>
          </w:p>
        </w:tc>
        <w:tc>
          <w:tcPr>
            <w:tcW w:w="1830" w:type="dxa"/>
            <w:tcBorders>
              <w:top w:val="nil"/>
              <w:left w:val="single" w:sz="4" w:space="0" w:color="auto"/>
              <w:bottom w:val="nil"/>
            </w:tcBorders>
          </w:tcPr>
          <w:p w:rsidR="00000000" w:rsidRDefault="00000000">
            <w:pPr>
              <w:jc w:val="center"/>
            </w:pPr>
            <w:r>
              <w:t>44.65</w:t>
            </w:r>
          </w:p>
        </w:tc>
      </w:tr>
      <w:tr w:rsidR="00000000">
        <w:trPr>
          <w:jc w:val="center"/>
        </w:trPr>
        <w:tc>
          <w:tcPr>
            <w:tcW w:w="3100" w:type="dxa"/>
            <w:tcBorders>
              <w:top w:val="nil"/>
              <w:bottom w:val="nil"/>
              <w:right w:val="single" w:sz="4" w:space="0" w:color="auto"/>
            </w:tcBorders>
          </w:tcPr>
          <w:p w:rsidR="00000000" w:rsidRDefault="00000000">
            <w:r>
              <w:t>March 2000</w:t>
            </w:r>
          </w:p>
        </w:tc>
        <w:tc>
          <w:tcPr>
            <w:tcW w:w="2118" w:type="dxa"/>
            <w:tcBorders>
              <w:top w:val="nil"/>
              <w:left w:val="single" w:sz="4" w:space="0" w:color="auto"/>
              <w:bottom w:val="nil"/>
              <w:right w:val="single" w:sz="4" w:space="0" w:color="auto"/>
            </w:tcBorders>
          </w:tcPr>
          <w:p w:rsidR="00000000" w:rsidRDefault="00000000">
            <w:pPr>
              <w:jc w:val="center"/>
            </w:pPr>
            <w:r>
              <w:t>72.78</w:t>
            </w:r>
          </w:p>
        </w:tc>
        <w:tc>
          <w:tcPr>
            <w:tcW w:w="1830" w:type="dxa"/>
            <w:tcBorders>
              <w:top w:val="nil"/>
              <w:left w:val="single" w:sz="4" w:space="0" w:color="auto"/>
              <w:bottom w:val="nil"/>
            </w:tcBorders>
          </w:tcPr>
          <w:p w:rsidR="00000000" w:rsidRDefault="00000000">
            <w:pPr>
              <w:jc w:val="center"/>
            </w:pPr>
            <w:r>
              <w:t>44.84</w:t>
            </w:r>
          </w:p>
        </w:tc>
      </w:tr>
      <w:tr w:rsidR="00000000">
        <w:trPr>
          <w:jc w:val="center"/>
        </w:trPr>
        <w:tc>
          <w:tcPr>
            <w:tcW w:w="3100" w:type="dxa"/>
            <w:tcBorders>
              <w:top w:val="nil"/>
              <w:bottom w:val="nil"/>
              <w:right w:val="single" w:sz="4" w:space="0" w:color="auto"/>
            </w:tcBorders>
          </w:tcPr>
          <w:p w:rsidR="00000000" w:rsidRDefault="00000000">
            <w:r>
              <w:t>Apr. 2000</w:t>
            </w:r>
          </w:p>
        </w:tc>
        <w:tc>
          <w:tcPr>
            <w:tcW w:w="2118" w:type="dxa"/>
            <w:tcBorders>
              <w:top w:val="nil"/>
              <w:left w:val="single" w:sz="4" w:space="0" w:color="auto"/>
              <w:bottom w:val="nil"/>
              <w:right w:val="single" w:sz="4" w:space="0" w:color="auto"/>
            </w:tcBorders>
          </w:tcPr>
          <w:p w:rsidR="00000000" w:rsidRDefault="00000000">
            <w:pPr>
              <w:jc w:val="center"/>
            </w:pPr>
            <w:r>
              <w:t>73.39</w:t>
            </w:r>
          </w:p>
        </w:tc>
        <w:tc>
          <w:tcPr>
            <w:tcW w:w="1830" w:type="dxa"/>
            <w:tcBorders>
              <w:top w:val="nil"/>
              <w:left w:val="single" w:sz="4" w:space="0" w:color="auto"/>
              <w:bottom w:val="nil"/>
            </w:tcBorders>
          </w:tcPr>
          <w:p w:rsidR="00000000" w:rsidRDefault="00000000">
            <w:pPr>
              <w:jc w:val="center"/>
            </w:pPr>
            <w:r>
              <w:t>45.43</w:t>
            </w:r>
          </w:p>
        </w:tc>
      </w:tr>
      <w:tr w:rsidR="00000000">
        <w:trPr>
          <w:jc w:val="center"/>
        </w:trPr>
        <w:tc>
          <w:tcPr>
            <w:tcW w:w="3100" w:type="dxa"/>
            <w:tcBorders>
              <w:top w:val="nil"/>
              <w:right w:val="single" w:sz="4" w:space="0" w:color="auto"/>
            </w:tcBorders>
          </w:tcPr>
          <w:p w:rsidR="00000000" w:rsidRDefault="00000000">
            <w:r>
              <w:t>Jan.</w:t>
            </w:r>
            <w:r>
              <w:noBreakHyphen/>
              <w:t>Apr. 2000</w:t>
            </w:r>
          </w:p>
        </w:tc>
        <w:tc>
          <w:tcPr>
            <w:tcW w:w="2118" w:type="dxa"/>
            <w:tcBorders>
              <w:top w:val="nil"/>
              <w:left w:val="single" w:sz="4" w:space="0" w:color="auto"/>
              <w:right w:val="single" w:sz="4" w:space="0" w:color="auto"/>
            </w:tcBorders>
          </w:tcPr>
          <w:p w:rsidR="00000000" w:rsidRDefault="00000000">
            <w:pPr>
              <w:jc w:val="center"/>
            </w:pPr>
            <w:r>
              <w:t>72.66</w:t>
            </w:r>
          </w:p>
        </w:tc>
        <w:tc>
          <w:tcPr>
            <w:tcW w:w="1830" w:type="dxa"/>
            <w:tcBorders>
              <w:top w:val="nil"/>
              <w:left w:val="single" w:sz="4" w:space="0" w:color="auto"/>
            </w:tcBorders>
          </w:tcPr>
          <w:p w:rsidR="00000000" w:rsidRDefault="00000000">
            <w:pPr>
              <w:jc w:val="center"/>
            </w:pPr>
            <w:r>
              <w:t>44.80</w:t>
            </w:r>
          </w:p>
        </w:tc>
      </w:tr>
    </w:tbl>
    <w:p w:rsidR="00000000" w:rsidRDefault="00000000">
      <w:pPr>
        <w:rPr>
          <w:kern w:val="2"/>
        </w:rPr>
      </w:pPr>
    </w:p>
    <w:p w:rsidR="00000000" w:rsidRDefault="00000000">
      <w:pPr>
        <w:spacing w:line="360" w:lineRule="auto"/>
        <w:rPr>
          <w:kern w:val="2"/>
        </w:rPr>
      </w:pPr>
      <w:r>
        <w:rPr>
          <w:kern w:val="2"/>
        </w:rPr>
        <w:tab/>
      </w:r>
      <w:r>
        <w:rPr>
          <w:kern w:val="2"/>
        </w:rPr>
        <w:tab/>
      </w:r>
      <w:r>
        <w:rPr>
          <w:kern w:val="2"/>
          <w:u w:val="single"/>
        </w:rPr>
        <w:t>Source</w:t>
      </w:r>
      <w:r>
        <w:rPr>
          <w:kern w:val="2"/>
        </w:rPr>
        <w:t xml:space="preserve">:  Ministry of Labour and Employment </w:t>
      </w:r>
      <w:r>
        <w:rPr>
          <w:kern w:val="2"/>
        </w:rPr>
        <w:noBreakHyphen/>
        <w:t xml:space="preserve"> data from SME/IBGE.</w:t>
      </w:r>
    </w:p>
    <w:p w:rsidR="00000000" w:rsidRDefault="00000000">
      <w:pPr>
        <w:rPr>
          <w:kern w:val="2"/>
        </w:rPr>
      </w:pPr>
      <w:r>
        <w:rPr>
          <w:kern w:val="2"/>
        </w:rPr>
        <w:tab/>
        <w:t xml:space="preserve"> </w:t>
      </w:r>
      <w:r>
        <w:rPr>
          <w:kern w:val="2"/>
        </w:rPr>
        <w:tab/>
        <w:t xml:space="preserve">Journal </w:t>
      </w:r>
      <w:r>
        <w:rPr>
          <w:kern w:val="2"/>
          <w:u w:val="single"/>
        </w:rPr>
        <w:t xml:space="preserve">Mercado de Trabalho </w:t>
      </w:r>
      <w:r>
        <w:rPr>
          <w:kern w:val="2"/>
          <w:u w:val="single"/>
        </w:rPr>
        <w:noBreakHyphen/>
        <w:t xml:space="preserve"> Conjuntura e Análise</w:t>
      </w:r>
      <w:r>
        <w:rPr>
          <w:kern w:val="2"/>
        </w:rPr>
        <w:t>, Year 5, June 2000.</w:t>
      </w:r>
    </w:p>
    <w:p w:rsidR="00000000" w:rsidRDefault="00000000">
      <w:pPr>
        <w:rPr>
          <w:kern w:val="2"/>
        </w:rPr>
      </w:pPr>
    </w:p>
    <w:p w:rsidR="00000000" w:rsidRDefault="00000000">
      <w:pPr>
        <w:pStyle w:val="Heading1"/>
        <w:rPr>
          <w:kern w:val="2"/>
        </w:rPr>
      </w:pPr>
      <w:r>
        <w:rPr>
          <w:kern w:val="2"/>
        </w:rPr>
        <w:br w:type="page"/>
        <w:t>Table 23</w:t>
      </w:r>
    </w:p>
    <w:p w:rsidR="00000000" w:rsidRDefault="00000000">
      <w:pPr>
        <w:pStyle w:val="Heading1"/>
        <w:rPr>
          <w:kern w:val="2"/>
        </w:rPr>
      </w:pPr>
    </w:p>
    <w:p w:rsidR="00000000" w:rsidRDefault="00000000">
      <w:pPr>
        <w:pStyle w:val="Heading1"/>
        <w:rPr>
          <w:kern w:val="2"/>
        </w:rPr>
      </w:pPr>
      <w:r>
        <w:rPr>
          <w:kern w:val="2"/>
        </w:rPr>
        <w:t>Employment level, by gender</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2410"/>
        <w:gridCol w:w="2268"/>
        <w:gridCol w:w="2367"/>
      </w:tblGrid>
      <w:tr w:rsidR="00000000">
        <w:trPr>
          <w:tblHeader/>
          <w:jc w:val="center"/>
        </w:trPr>
        <w:tc>
          <w:tcPr>
            <w:tcW w:w="2410" w:type="dxa"/>
            <w:tcBorders>
              <w:top w:val="single" w:sz="4" w:space="0" w:color="auto"/>
              <w:bottom w:val="single" w:sz="4" w:space="0" w:color="auto"/>
            </w:tcBorders>
            <w:vAlign w:val="center"/>
          </w:tcPr>
          <w:p w:rsidR="00000000" w:rsidRDefault="00000000">
            <w:pPr>
              <w:jc w:val="center"/>
            </w:pPr>
            <w:r>
              <w:t>Average</w:t>
            </w:r>
          </w:p>
        </w:tc>
        <w:tc>
          <w:tcPr>
            <w:tcW w:w="2268" w:type="dxa"/>
            <w:tcBorders>
              <w:top w:val="single" w:sz="4" w:space="0" w:color="auto"/>
              <w:bottom w:val="single" w:sz="4" w:space="0" w:color="auto"/>
            </w:tcBorders>
            <w:vAlign w:val="center"/>
          </w:tcPr>
          <w:p w:rsidR="00000000" w:rsidRDefault="00000000">
            <w:pPr>
              <w:jc w:val="center"/>
            </w:pPr>
            <w:r>
              <w:t>Men</w:t>
            </w:r>
          </w:p>
        </w:tc>
        <w:tc>
          <w:tcPr>
            <w:tcW w:w="2367" w:type="dxa"/>
            <w:tcBorders>
              <w:top w:val="single" w:sz="4" w:space="0" w:color="auto"/>
              <w:bottom w:val="single" w:sz="4" w:space="0" w:color="auto"/>
            </w:tcBorders>
            <w:vAlign w:val="center"/>
          </w:tcPr>
          <w:p w:rsidR="00000000" w:rsidRDefault="00000000">
            <w:pPr>
              <w:jc w:val="center"/>
            </w:pPr>
            <w:r>
              <w:t>Women</w:t>
            </w:r>
          </w:p>
        </w:tc>
      </w:tr>
      <w:tr w:rsidR="00000000">
        <w:trPr>
          <w:jc w:val="center"/>
        </w:trPr>
        <w:tc>
          <w:tcPr>
            <w:tcW w:w="2410" w:type="dxa"/>
            <w:tcBorders>
              <w:top w:val="single" w:sz="4" w:space="0" w:color="auto"/>
            </w:tcBorders>
            <w:vAlign w:val="center"/>
          </w:tcPr>
          <w:p w:rsidR="00000000" w:rsidRDefault="00000000">
            <w:r>
              <w:t>1991</w:t>
            </w:r>
          </w:p>
        </w:tc>
        <w:tc>
          <w:tcPr>
            <w:tcW w:w="2268" w:type="dxa"/>
            <w:tcBorders>
              <w:top w:val="single" w:sz="4" w:space="0" w:color="auto"/>
            </w:tcBorders>
            <w:vAlign w:val="center"/>
          </w:tcPr>
          <w:p w:rsidR="00000000" w:rsidRDefault="00000000">
            <w:pPr>
              <w:ind w:right="660"/>
              <w:jc w:val="right"/>
            </w:pPr>
            <w:r>
              <w:t>9 275 868</w:t>
            </w:r>
          </w:p>
        </w:tc>
        <w:tc>
          <w:tcPr>
            <w:tcW w:w="2367" w:type="dxa"/>
            <w:tcBorders>
              <w:top w:val="single" w:sz="4" w:space="0" w:color="auto"/>
            </w:tcBorders>
            <w:vAlign w:val="center"/>
          </w:tcPr>
          <w:p w:rsidR="00000000" w:rsidRDefault="00000000">
            <w:pPr>
              <w:jc w:val="center"/>
            </w:pPr>
            <w:r>
              <w:t>5 805 363</w:t>
            </w:r>
          </w:p>
        </w:tc>
      </w:tr>
      <w:tr w:rsidR="00000000">
        <w:trPr>
          <w:jc w:val="center"/>
        </w:trPr>
        <w:tc>
          <w:tcPr>
            <w:tcW w:w="2410" w:type="dxa"/>
            <w:vAlign w:val="center"/>
          </w:tcPr>
          <w:p w:rsidR="00000000" w:rsidRDefault="00000000">
            <w:r>
              <w:t>1992</w:t>
            </w:r>
          </w:p>
        </w:tc>
        <w:tc>
          <w:tcPr>
            <w:tcW w:w="2268" w:type="dxa"/>
            <w:vAlign w:val="center"/>
          </w:tcPr>
          <w:p w:rsidR="00000000" w:rsidRDefault="00000000">
            <w:pPr>
              <w:ind w:right="660"/>
              <w:jc w:val="right"/>
            </w:pPr>
            <w:r>
              <w:t>9 332 246</w:t>
            </w:r>
          </w:p>
        </w:tc>
        <w:tc>
          <w:tcPr>
            <w:tcW w:w="2367" w:type="dxa"/>
            <w:vAlign w:val="center"/>
          </w:tcPr>
          <w:p w:rsidR="00000000" w:rsidRDefault="00000000">
            <w:pPr>
              <w:jc w:val="center"/>
            </w:pPr>
            <w:r>
              <w:t>5 678 531</w:t>
            </w:r>
          </w:p>
        </w:tc>
      </w:tr>
      <w:tr w:rsidR="00000000">
        <w:trPr>
          <w:jc w:val="center"/>
        </w:trPr>
        <w:tc>
          <w:tcPr>
            <w:tcW w:w="2410" w:type="dxa"/>
            <w:vAlign w:val="center"/>
          </w:tcPr>
          <w:p w:rsidR="00000000" w:rsidRDefault="00000000">
            <w:r>
              <w:t>1993</w:t>
            </w:r>
          </w:p>
        </w:tc>
        <w:tc>
          <w:tcPr>
            <w:tcW w:w="2268" w:type="dxa"/>
            <w:vAlign w:val="center"/>
          </w:tcPr>
          <w:p w:rsidR="00000000" w:rsidRDefault="00000000">
            <w:pPr>
              <w:ind w:right="660"/>
              <w:jc w:val="right"/>
            </w:pPr>
            <w:r>
              <w:t>9 372 919</w:t>
            </w:r>
          </w:p>
        </w:tc>
        <w:tc>
          <w:tcPr>
            <w:tcW w:w="2367" w:type="dxa"/>
            <w:vAlign w:val="center"/>
          </w:tcPr>
          <w:p w:rsidR="00000000" w:rsidRDefault="00000000">
            <w:pPr>
              <w:jc w:val="center"/>
            </w:pPr>
            <w:r>
              <w:t>5 829 793</w:t>
            </w:r>
          </w:p>
        </w:tc>
      </w:tr>
      <w:tr w:rsidR="00000000">
        <w:trPr>
          <w:jc w:val="center"/>
        </w:trPr>
        <w:tc>
          <w:tcPr>
            <w:tcW w:w="2410" w:type="dxa"/>
            <w:vAlign w:val="center"/>
          </w:tcPr>
          <w:p w:rsidR="00000000" w:rsidRDefault="00000000">
            <w:r>
              <w:t>1994</w:t>
            </w:r>
          </w:p>
        </w:tc>
        <w:tc>
          <w:tcPr>
            <w:tcW w:w="2268" w:type="dxa"/>
            <w:vAlign w:val="center"/>
          </w:tcPr>
          <w:p w:rsidR="00000000" w:rsidRDefault="00000000">
            <w:pPr>
              <w:ind w:right="660"/>
              <w:jc w:val="right"/>
            </w:pPr>
            <w:r>
              <w:t>9 588 012</w:t>
            </w:r>
          </w:p>
        </w:tc>
        <w:tc>
          <w:tcPr>
            <w:tcW w:w="2367" w:type="dxa"/>
            <w:vAlign w:val="center"/>
          </w:tcPr>
          <w:p w:rsidR="00000000" w:rsidRDefault="00000000">
            <w:pPr>
              <w:jc w:val="center"/>
            </w:pPr>
            <w:r>
              <w:t>6 012 396</w:t>
            </w:r>
          </w:p>
        </w:tc>
      </w:tr>
      <w:tr w:rsidR="00000000">
        <w:trPr>
          <w:jc w:val="center"/>
        </w:trPr>
        <w:tc>
          <w:tcPr>
            <w:tcW w:w="2410" w:type="dxa"/>
            <w:vAlign w:val="center"/>
          </w:tcPr>
          <w:p w:rsidR="00000000" w:rsidRDefault="00000000">
            <w:r>
              <w:t>1995</w:t>
            </w:r>
          </w:p>
        </w:tc>
        <w:tc>
          <w:tcPr>
            <w:tcW w:w="2268" w:type="dxa"/>
            <w:vAlign w:val="center"/>
          </w:tcPr>
          <w:p w:rsidR="00000000" w:rsidRDefault="00000000">
            <w:pPr>
              <w:ind w:right="660"/>
              <w:jc w:val="right"/>
            </w:pPr>
            <w:r>
              <w:t>9 693 032</w:t>
            </w:r>
          </w:p>
        </w:tc>
        <w:tc>
          <w:tcPr>
            <w:tcW w:w="2367" w:type="dxa"/>
            <w:vAlign w:val="center"/>
          </w:tcPr>
          <w:p w:rsidR="00000000" w:rsidRDefault="00000000">
            <w:pPr>
              <w:jc w:val="center"/>
            </w:pPr>
            <w:r>
              <w:t>6 282 002</w:t>
            </w:r>
          </w:p>
        </w:tc>
      </w:tr>
      <w:tr w:rsidR="00000000">
        <w:trPr>
          <w:jc w:val="center"/>
        </w:trPr>
        <w:tc>
          <w:tcPr>
            <w:tcW w:w="2410" w:type="dxa"/>
            <w:vAlign w:val="center"/>
          </w:tcPr>
          <w:p w:rsidR="00000000" w:rsidRDefault="00000000">
            <w:r>
              <w:t>1996</w:t>
            </w:r>
          </w:p>
        </w:tc>
        <w:tc>
          <w:tcPr>
            <w:tcW w:w="2268" w:type="dxa"/>
            <w:vAlign w:val="center"/>
          </w:tcPr>
          <w:p w:rsidR="00000000" w:rsidRDefault="00000000">
            <w:pPr>
              <w:ind w:right="660"/>
              <w:jc w:val="right"/>
            </w:pPr>
            <w:r>
              <w:t>9 864 371</w:t>
            </w:r>
          </w:p>
        </w:tc>
        <w:tc>
          <w:tcPr>
            <w:tcW w:w="2367" w:type="dxa"/>
            <w:vAlign w:val="center"/>
          </w:tcPr>
          <w:p w:rsidR="00000000" w:rsidRDefault="00000000">
            <w:pPr>
              <w:jc w:val="center"/>
            </w:pPr>
            <w:r>
              <w:t>6 471 059</w:t>
            </w:r>
          </w:p>
        </w:tc>
      </w:tr>
      <w:tr w:rsidR="00000000">
        <w:trPr>
          <w:jc w:val="center"/>
        </w:trPr>
        <w:tc>
          <w:tcPr>
            <w:tcW w:w="2410" w:type="dxa"/>
            <w:vAlign w:val="center"/>
          </w:tcPr>
          <w:p w:rsidR="00000000" w:rsidRDefault="00000000">
            <w:r>
              <w:t>1997</w:t>
            </w:r>
          </w:p>
        </w:tc>
        <w:tc>
          <w:tcPr>
            <w:tcW w:w="2268" w:type="dxa"/>
            <w:vAlign w:val="center"/>
          </w:tcPr>
          <w:p w:rsidR="00000000" w:rsidRDefault="00000000">
            <w:pPr>
              <w:ind w:right="660"/>
              <w:jc w:val="right"/>
            </w:pPr>
            <w:r>
              <w:t>9 828 342</w:t>
            </w:r>
          </w:p>
        </w:tc>
        <w:tc>
          <w:tcPr>
            <w:tcW w:w="2367" w:type="dxa"/>
            <w:vAlign w:val="center"/>
          </w:tcPr>
          <w:p w:rsidR="00000000" w:rsidRDefault="00000000">
            <w:pPr>
              <w:jc w:val="center"/>
            </w:pPr>
            <w:r>
              <w:t>6 554 669</w:t>
            </w:r>
          </w:p>
        </w:tc>
      </w:tr>
      <w:tr w:rsidR="00000000">
        <w:trPr>
          <w:jc w:val="center"/>
        </w:trPr>
        <w:tc>
          <w:tcPr>
            <w:tcW w:w="2410" w:type="dxa"/>
            <w:vAlign w:val="center"/>
          </w:tcPr>
          <w:p w:rsidR="00000000" w:rsidRDefault="00000000">
            <w:r>
              <w:t>1998</w:t>
            </w:r>
          </w:p>
        </w:tc>
        <w:tc>
          <w:tcPr>
            <w:tcW w:w="2268" w:type="dxa"/>
            <w:vAlign w:val="center"/>
          </w:tcPr>
          <w:p w:rsidR="00000000" w:rsidRDefault="00000000">
            <w:pPr>
              <w:ind w:right="660"/>
              <w:jc w:val="right"/>
            </w:pPr>
            <w:r>
              <w:t>9 728 907</w:t>
            </w:r>
          </w:p>
        </w:tc>
        <w:tc>
          <w:tcPr>
            <w:tcW w:w="2367" w:type="dxa"/>
            <w:vAlign w:val="center"/>
          </w:tcPr>
          <w:p w:rsidR="00000000" w:rsidRDefault="00000000">
            <w:pPr>
              <w:jc w:val="center"/>
            </w:pPr>
            <w:r>
              <w:t>6 612 221</w:t>
            </w:r>
          </w:p>
        </w:tc>
      </w:tr>
      <w:tr w:rsidR="00000000">
        <w:trPr>
          <w:jc w:val="center"/>
        </w:trPr>
        <w:tc>
          <w:tcPr>
            <w:tcW w:w="2410" w:type="dxa"/>
            <w:vAlign w:val="center"/>
          </w:tcPr>
          <w:p w:rsidR="00000000" w:rsidRDefault="00000000">
            <w:r>
              <w:t>1999</w:t>
            </w:r>
          </w:p>
        </w:tc>
        <w:tc>
          <w:tcPr>
            <w:tcW w:w="2268" w:type="dxa"/>
            <w:vAlign w:val="center"/>
          </w:tcPr>
          <w:p w:rsidR="00000000" w:rsidRDefault="00000000">
            <w:pPr>
              <w:ind w:right="660"/>
              <w:jc w:val="right"/>
            </w:pPr>
            <w:r>
              <w:t>9 689 872</w:t>
            </w:r>
          </w:p>
        </w:tc>
        <w:tc>
          <w:tcPr>
            <w:tcW w:w="2367" w:type="dxa"/>
            <w:vAlign w:val="center"/>
          </w:tcPr>
          <w:p w:rsidR="00000000" w:rsidRDefault="00000000">
            <w:pPr>
              <w:jc w:val="center"/>
            </w:pPr>
            <w:r>
              <w:t>6 696 730</w:t>
            </w:r>
          </w:p>
        </w:tc>
      </w:tr>
      <w:tr w:rsidR="00000000">
        <w:trPr>
          <w:jc w:val="center"/>
        </w:trPr>
        <w:tc>
          <w:tcPr>
            <w:tcW w:w="2410" w:type="dxa"/>
            <w:vAlign w:val="center"/>
          </w:tcPr>
          <w:p w:rsidR="00000000" w:rsidRDefault="00000000">
            <w:r>
              <w:t>Jan.</w:t>
            </w:r>
            <w:r>
              <w:noBreakHyphen/>
              <w:t>Apr. 1999</w:t>
            </w:r>
          </w:p>
        </w:tc>
        <w:tc>
          <w:tcPr>
            <w:tcW w:w="2268" w:type="dxa"/>
            <w:vAlign w:val="center"/>
          </w:tcPr>
          <w:p w:rsidR="00000000" w:rsidRDefault="00000000">
            <w:pPr>
              <w:ind w:right="660"/>
              <w:jc w:val="right"/>
            </w:pPr>
            <w:r>
              <w:t>9 539 409</w:t>
            </w:r>
          </w:p>
        </w:tc>
        <w:tc>
          <w:tcPr>
            <w:tcW w:w="2367" w:type="dxa"/>
            <w:vAlign w:val="center"/>
          </w:tcPr>
          <w:p w:rsidR="00000000" w:rsidRDefault="00000000">
            <w:pPr>
              <w:jc w:val="center"/>
            </w:pPr>
            <w:r>
              <w:t>6 696 730</w:t>
            </w:r>
          </w:p>
        </w:tc>
      </w:tr>
      <w:tr w:rsidR="00000000">
        <w:trPr>
          <w:jc w:val="center"/>
        </w:trPr>
        <w:tc>
          <w:tcPr>
            <w:tcW w:w="2410" w:type="dxa"/>
            <w:vAlign w:val="center"/>
          </w:tcPr>
          <w:p w:rsidR="00000000" w:rsidRDefault="00000000">
            <w:r>
              <w:t>April 1999</w:t>
            </w:r>
          </w:p>
        </w:tc>
        <w:tc>
          <w:tcPr>
            <w:tcW w:w="2268" w:type="dxa"/>
            <w:vAlign w:val="center"/>
          </w:tcPr>
          <w:p w:rsidR="00000000" w:rsidRDefault="00000000">
            <w:pPr>
              <w:ind w:right="660"/>
              <w:jc w:val="right"/>
            </w:pPr>
            <w:r>
              <w:t>9 525 863</w:t>
            </w:r>
          </w:p>
        </w:tc>
        <w:tc>
          <w:tcPr>
            <w:tcW w:w="2367" w:type="dxa"/>
            <w:vAlign w:val="center"/>
          </w:tcPr>
          <w:p w:rsidR="00000000" w:rsidRDefault="00000000">
            <w:pPr>
              <w:jc w:val="center"/>
            </w:pPr>
            <w:r>
              <w:t>6 618 388</w:t>
            </w:r>
          </w:p>
        </w:tc>
      </w:tr>
      <w:tr w:rsidR="00000000">
        <w:trPr>
          <w:jc w:val="center"/>
        </w:trPr>
        <w:tc>
          <w:tcPr>
            <w:tcW w:w="2410" w:type="dxa"/>
            <w:vAlign w:val="center"/>
          </w:tcPr>
          <w:p w:rsidR="00000000" w:rsidRDefault="00000000">
            <w:r>
              <w:t>May 1999</w:t>
            </w:r>
          </w:p>
        </w:tc>
        <w:tc>
          <w:tcPr>
            <w:tcW w:w="2268" w:type="dxa"/>
            <w:vAlign w:val="center"/>
          </w:tcPr>
          <w:p w:rsidR="00000000" w:rsidRDefault="00000000">
            <w:pPr>
              <w:ind w:right="660"/>
              <w:jc w:val="right"/>
            </w:pPr>
            <w:r>
              <w:t>9 655 582</w:t>
            </w:r>
          </w:p>
        </w:tc>
        <w:tc>
          <w:tcPr>
            <w:tcW w:w="2367" w:type="dxa"/>
            <w:vAlign w:val="center"/>
          </w:tcPr>
          <w:p w:rsidR="00000000" w:rsidRDefault="00000000">
            <w:pPr>
              <w:jc w:val="center"/>
            </w:pPr>
            <w:r>
              <w:t>6 659 005</w:t>
            </w:r>
          </w:p>
        </w:tc>
      </w:tr>
      <w:tr w:rsidR="00000000">
        <w:trPr>
          <w:jc w:val="center"/>
        </w:trPr>
        <w:tc>
          <w:tcPr>
            <w:tcW w:w="2410" w:type="dxa"/>
            <w:vAlign w:val="center"/>
          </w:tcPr>
          <w:p w:rsidR="00000000" w:rsidRDefault="00000000">
            <w:r>
              <w:t>June 1999</w:t>
            </w:r>
          </w:p>
        </w:tc>
        <w:tc>
          <w:tcPr>
            <w:tcW w:w="2268" w:type="dxa"/>
            <w:vAlign w:val="center"/>
          </w:tcPr>
          <w:p w:rsidR="00000000" w:rsidRDefault="00000000">
            <w:pPr>
              <w:ind w:right="660"/>
              <w:jc w:val="right"/>
            </w:pPr>
            <w:r>
              <w:t>9 796 966</w:t>
            </w:r>
          </w:p>
        </w:tc>
        <w:tc>
          <w:tcPr>
            <w:tcW w:w="2367" w:type="dxa"/>
            <w:vAlign w:val="center"/>
          </w:tcPr>
          <w:p w:rsidR="00000000" w:rsidRDefault="00000000">
            <w:pPr>
              <w:jc w:val="center"/>
            </w:pPr>
            <w:r>
              <w:t>6 681 252</w:t>
            </w:r>
          </w:p>
        </w:tc>
      </w:tr>
      <w:tr w:rsidR="00000000">
        <w:trPr>
          <w:jc w:val="center"/>
        </w:trPr>
        <w:tc>
          <w:tcPr>
            <w:tcW w:w="2410" w:type="dxa"/>
            <w:vAlign w:val="center"/>
          </w:tcPr>
          <w:p w:rsidR="00000000" w:rsidRDefault="00000000">
            <w:r>
              <w:t>July 1999</w:t>
            </w:r>
          </w:p>
        </w:tc>
        <w:tc>
          <w:tcPr>
            <w:tcW w:w="2268" w:type="dxa"/>
            <w:vAlign w:val="center"/>
          </w:tcPr>
          <w:p w:rsidR="00000000" w:rsidRDefault="00000000">
            <w:pPr>
              <w:ind w:right="660"/>
              <w:jc w:val="right"/>
            </w:pPr>
            <w:r>
              <w:t>9 682 744</w:t>
            </w:r>
          </w:p>
        </w:tc>
        <w:tc>
          <w:tcPr>
            <w:tcW w:w="2367" w:type="dxa"/>
            <w:vAlign w:val="center"/>
          </w:tcPr>
          <w:p w:rsidR="00000000" w:rsidRDefault="00000000">
            <w:pPr>
              <w:jc w:val="center"/>
            </w:pPr>
            <w:r>
              <w:t>6 655 819</w:t>
            </w:r>
          </w:p>
        </w:tc>
      </w:tr>
      <w:tr w:rsidR="00000000">
        <w:trPr>
          <w:jc w:val="center"/>
        </w:trPr>
        <w:tc>
          <w:tcPr>
            <w:tcW w:w="2410" w:type="dxa"/>
            <w:vAlign w:val="center"/>
          </w:tcPr>
          <w:p w:rsidR="00000000" w:rsidRDefault="00000000">
            <w:r>
              <w:t>Aug. 1999</w:t>
            </w:r>
          </w:p>
        </w:tc>
        <w:tc>
          <w:tcPr>
            <w:tcW w:w="2268" w:type="dxa"/>
            <w:vAlign w:val="center"/>
          </w:tcPr>
          <w:p w:rsidR="00000000" w:rsidRDefault="00000000">
            <w:pPr>
              <w:ind w:right="660"/>
              <w:jc w:val="right"/>
            </w:pPr>
            <w:r>
              <w:t>9 665 083</w:t>
            </w:r>
          </w:p>
        </w:tc>
        <w:tc>
          <w:tcPr>
            <w:tcW w:w="2367" w:type="dxa"/>
            <w:vAlign w:val="center"/>
          </w:tcPr>
          <w:p w:rsidR="00000000" w:rsidRDefault="00000000">
            <w:pPr>
              <w:jc w:val="center"/>
            </w:pPr>
            <w:r>
              <w:t>6 680 991</w:t>
            </w:r>
          </w:p>
        </w:tc>
      </w:tr>
      <w:tr w:rsidR="00000000">
        <w:trPr>
          <w:jc w:val="center"/>
        </w:trPr>
        <w:tc>
          <w:tcPr>
            <w:tcW w:w="2410" w:type="dxa"/>
            <w:vAlign w:val="center"/>
          </w:tcPr>
          <w:p w:rsidR="00000000" w:rsidRDefault="00000000">
            <w:r>
              <w:t>Sept. 1999</w:t>
            </w:r>
          </w:p>
        </w:tc>
        <w:tc>
          <w:tcPr>
            <w:tcW w:w="2268" w:type="dxa"/>
            <w:vAlign w:val="center"/>
          </w:tcPr>
          <w:p w:rsidR="00000000" w:rsidRDefault="00000000">
            <w:pPr>
              <w:ind w:right="660"/>
              <w:jc w:val="right"/>
            </w:pPr>
            <w:r>
              <w:t>9 729 810</w:t>
            </w:r>
          </w:p>
        </w:tc>
        <w:tc>
          <w:tcPr>
            <w:tcW w:w="2367" w:type="dxa"/>
            <w:vAlign w:val="center"/>
          </w:tcPr>
          <w:p w:rsidR="00000000" w:rsidRDefault="00000000">
            <w:pPr>
              <w:jc w:val="center"/>
            </w:pPr>
            <w:r>
              <w:t>6 788 264</w:t>
            </w:r>
          </w:p>
        </w:tc>
      </w:tr>
      <w:tr w:rsidR="00000000">
        <w:trPr>
          <w:jc w:val="center"/>
        </w:trPr>
        <w:tc>
          <w:tcPr>
            <w:tcW w:w="2410" w:type="dxa"/>
            <w:vAlign w:val="center"/>
          </w:tcPr>
          <w:p w:rsidR="00000000" w:rsidRDefault="00000000">
            <w:r>
              <w:t>Oct. 1999</w:t>
            </w:r>
          </w:p>
        </w:tc>
        <w:tc>
          <w:tcPr>
            <w:tcW w:w="2268" w:type="dxa"/>
            <w:vAlign w:val="center"/>
          </w:tcPr>
          <w:p w:rsidR="00000000" w:rsidRDefault="00000000">
            <w:pPr>
              <w:ind w:right="660"/>
              <w:jc w:val="right"/>
            </w:pPr>
            <w:r>
              <w:t>9 794 727</w:t>
            </w:r>
          </w:p>
        </w:tc>
        <w:tc>
          <w:tcPr>
            <w:tcW w:w="2367" w:type="dxa"/>
            <w:vAlign w:val="center"/>
          </w:tcPr>
          <w:p w:rsidR="00000000" w:rsidRDefault="00000000">
            <w:pPr>
              <w:jc w:val="center"/>
            </w:pPr>
            <w:r>
              <w:t>6 790 456</w:t>
            </w:r>
          </w:p>
        </w:tc>
      </w:tr>
      <w:tr w:rsidR="00000000">
        <w:trPr>
          <w:jc w:val="center"/>
        </w:trPr>
        <w:tc>
          <w:tcPr>
            <w:tcW w:w="2410" w:type="dxa"/>
            <w:vAlign w:val="center"/>
          </w:tcPr>
          <w:p w:rsidR="00000000" w:rsidRDefault="00000000">
            <w:r>
              <w:t>Nov. 1999</w:t>
            </w:r>
          </w:p>
        </w:tc>
        <w:tc>
          <w:tcPr>
            <w:tcW w:w="2268" w:type="dxa"/>
            <w:vAlign w:val="center"/>
          </w:tcPr>
          <w:p w:rsidR="00000000" w:rsidRDefault="00000000">
            <w:pPr>
              <w:ind w:right="660"/>
              <w:jc w:val="right"/>
            </w:pPr>
            <w:r>
              <w:t>9 870 908</w:t>
            </w:r>
          </w:p>
        </w:tc>
        <w:tc>
          <w:tcPr>
            <w:tcW w:w="2367" w:type="dxa"/>
            <w:vAlign w:val="center"/>
          </w:tcPr>
          <w:p w:rsidR="00000000" w:rsidRDefault="00000000">
            <w:pPr>
              <w:jc w:val="center"/>
            </w:pPr>
            <w:r>
              <w:t>6 817 650</w:t>
            </w:r>
          </w:p>
        </w:tc>
      </w:tr>
      <w:tr w:rsidR="00000000">
        <w:trPr>
          <w:jc w:val="center"/>
        </w:trPr>
        <w:tc>
          <w:tcPr>
            <w:tcW w:w="2410" w:type="dxa"/>
            <w:tcBorders>
              <w:bottom w:val="nil"/>
            </w:tcBorders>
            <w:vAlign w:val="center"/>
          </w:tcPr>
          <w:p w:rsidR="00000000" w:rsidRDefault="00000000">
            <w:r>
              <w:t>Dec. 1999</w:t>
            </w:r>
          </w:p>
        </w:tc>
        <w:tc>
          <w:tcPr>
            <w:tcW w:w="2268" w:type="dxa"/>
            <w:tcBorders>
              <w:bottom w:val="nil"/>
            </w:tcBorders>
            <w:vAlign w:val="center"/>
          </w:tcPr>
          <w:p w:rsidR="00000000" w:rsidRDefault="00000000">
            <w:pPr>
              <w:ind w:right="660"/>
              <w:jc w:val="right"/>
            </w:pPr>
            <w:r>
              <w:t>9 925 005</w:t>
            </w:r>
          </w:p>
        </w:tc>
        <w:tc>
          <w:tcPr>
            <w:tcW w:w="2367" w:type="dxa"/>
            <w:tcBorders>
              <w:bottom w:val="nil"/>
            </w:tcBorders>
            <w:vAlign w:val="center"/>
          </w:tcPr>
          <w:p w:rsidR="00000000" w:rsidRDefault="00000000">
            <w:pPr>
              <w:jc w:val="center"/>
            </w:pPr>
            <w:r>
              <w:t>6 903 272</w:t>
            </w:r>
          </w:p>
        </w:tc>
      </w:tr>
      <w:tr w:rsidR="00000000">
        <w:trPr>
          <w:jc w:val="center"/>
        </w:trPr>
        <w:tc>
          <w:tcPr>
            <w:tcW w:w="2410" w:type="dxa"/>
            <w:tcBorders>
              <w:top w:val="nil"/>
              <w:bottom w:val="nil"/>
            </w:tcBorders>
            <w:vAlign w:val="center"/>
          </w:tcPr>
          <w:p w:rsidR="00000000" w:rsidRDefault="00000000">
            <w:r>
              <w:t>Jan. 2000</w:t>
            </w:r>
          </w:p>
        </w:tc>
        <w:tc>
          <w:tcPr>
            <w:tcW w:w="2268" w:type="dxa"/>
            <w:tcBorders>
              <w:top w:val="nil"/>
              <w:bottom w:val="nil"/>
            </w:tcBorders>
            <w:vAlign w:val="center"/>
          </w:tcPr>
          <w:p w:rsidR="00000000" w:rsidRDefault="00000000">
            <w:pPr>
              <w:ind w:right="660"/>
              <w:jc w:val="right"/>
            </w:pPr>
            <w:r>
              <w:t>9 808 822</w:t>
            </w:r>
          </w:p>
        </w:tc>
        <w:tc>
          <w:tcPr>
            <w:tcW w:w="2367" w:type="dxa"/>
            <w:tcBorders>
              <w:top w:val="nil"/>
              <w:bottom w:val="nil"/>
            </w:tcBorders>
            <w:vAlign w:val="center"/>
          </w:tcPr>
          <w:p w:rsidR="00000000" w:rsidRDefault="00000000">
            <w:pPr>
              <w:jc w:val="center"/>
            </w:pPr>
            <w:r>
              <w:t>6 744 541</w:t>
            </w:r>
          </w:p>
        </w:tc>
      </w:tr>
      <w:tr w:rsidR="00000000">
        <w:trPr>
          <w:jc w:val="center"/>
        </w:trPr>
        <w:tc>
          <w:tcPr>
            <w:tcW w:w="2410" w:type="dxa"/>
            <w:tcBorders>
              <w:top w:val="nil"/>
              <w:bottom w:val="nil"/>
            </w:tcBorders>
          </w:tcPr>
          <w:p w:rsidR="00000000" w:rsidRDefault="00000000">
            <w:r>
              <w:t>Feb. 2000</w:t>
            </w:r>
          </w:p>
        </w:tc>
        <w:tc>
          <w:tcPr>
            <w:tcW w:w="2268" w:type="dxa"/>
            <w:tcBorders>
              <w:top w:val="nil"/>
              <w:bottom w:val="nil"/>
            </w:tcBorders>
          </w:tcPr>
          <w:p w:rsidR="00000000" w:rsidRDefault="00000000">
            <w:pPr>
              <w:ind w:right="660"/>
              <w:jc w:val="right"/>
            </w:pPr>
            <w:r>
              <w:t>9 865 862</w:t>
            </w:r>
          </w:p>
        </w:tc>
        <w:tc>
          <w:tcPr>
            <w:tcW w:w="2367" w:type="dxa"/>
            <w:tcBorders>
              <w:top w:val="nil"/>
              <w:bottom w:val="nil"/>
            </w:tcBorders>
          </w:tcPr>
          <w:p w:rsidR="00000000" w:rsidRDefault="00000000">
            <w:pPr>
              <w:jc w:val="center"/>
            </w:pPr>
            <w:r>
              <w:t>6 762 470</w:t>
            </w:r>
          </w:p>
        </w:tc>
      </w:tr>
      <w:tr w:rsidR="00000000">
        <w:trPr>
          <w:jc w:val="center"/>
        </w:trPr>
        <w:tc>
          <w:tcPr>
            <w:tcW w:w="2410" w:type="dxa"/>
            <w:tcBorders>
              <w:top w:val="nil"/>
            </w:tcBorders>
          </w:tcPr>
          <w:p w:rsidR="00000000" w:rsidRDefault="00000000">
            <w:r>
              <w:t>March 2000</w:t>
            </w:r>
          </w:p>
        </w:tc>
        <w:tc>
          <w:tcPr>
            <w:tcW w:w="2268" w:type="dxa"/>
            <w:tcBorders>
              <w:top w:val="nil"/>
            </w:tcBorders>
          </w:tcPr>
          <w:p w:rsidR="00000000" w:rsidRDefault="00000000">
            <w:pPr>
              <w:ind w:right="660"/>
              <w:jc w:val="right"/>
            </w:pPr>
            <w:r>
              <w:t>9 961 228</w:t>
            </w:r>
          </w:p>
        </w:tc>
        <w:tc>
          <w:tcPr>
            <w:tcW w:w="2367" w:type="dxa"/>
            <w:tcBorders>
              <w:top w:val="nil"/>
            </w:tcBorders>
          </w:tcPr>
          <w:p w:rsidR="00000000" w:rsidRDefault="00000000">
            <w:pPr>
              <w:jc w:val="center"/>
            </w:pPr>
            <w:r>
              <w:t>6 819 477</w:t>
            </w:r>
          </w:p>
        </w:tc>
      </w:tr>
      <w:tr w:rsidR="00000000">
        <w:trPr>
          <w:jc w:val="center"/>
        </w:trPr>
        <w:tc>
          <w:tcPr>
            <w:tcW w:w="2410" w:type="dxa"/>
          </w:tcPr>
          <w:p w:rsidR="00000000" w:rsidRDefault="00000000">
            <w:r>
              <w:t>April 2000</w:t>
            </w:r>
          </w:p>
        </w:tc>
        <w:tc>
          <w:tcPr>
            <w:tcW w:w="2268" w:type="dxa"/>
          </w:tcPr>
          <w:p w:rsidR="00000000" w:rsidRDefault="00000000">
            <w:pPr>
              <w:ind w:right="660"/>
              <w:jc w:val="right"/>
            </w:pPr>
            <w:r>
              <w:t>10 047 420</w:t>
            </w:r>
          </w:p>
        </w:tc>
        <w:tc>
          <w:tcPr>
            <w:tcW w:w="2367" w:type="dxa"/>
          </w:tcPr>
          <w:p w:rsidR="00000000" w:rsidRDefault="00000000">
            <w:pPr>
              <w:jc w:val="center"/>
            </w:pPr>
            <w:r>
              <w:t>6 960 742</w:t>
            </w:r>
          </w:p>
        </w:tc>
      </w:tr>
      <w:tr w:rsidR="00000000">
        <w:trPr>
          <w:jc w:val="center"/>
        </w:trPr>
        <w:tc>
          <w:tcPr>
            <w:tcW w:w="2410" w:type="dxa"/>
          </w:tcPr>
          <w:p w:rsidR="00000000" w:rsidRDefault="00000000">
            <w:pPr>
              <w:rPr>
                <w:iCs/>
              </w:rPr>
            </w:pPr>
            <w:r>
              <w:rPr>
                <w:iCs/>
              </w:rPr>
              <w:t>Jan.</w:t>
            </w:r>
            <w:r>
              <w:rPr>
                <w:iCs/>
              </w:rPr>
              <w:noBreakHyphen/>
              <w:t>Apr. 2000</w:t>
            </w:r>
          </w:p>
        </w:tc>
        <w:tc>
          <w:tcPr>
            <w:tcW w:w="2268" w:type="dxa"/>
          </w:tcPr>
          <w:p w:rsidR="00000000" w:rsidRDefault="00000000">
            <w:pPr>
              <w:ind w:right="660"/>
              <w:jc w:val="right"/>
            </w:pPr>
            <w:r>
              <w:t>9 920 833</w:t>
            </w:r>
          </w:p>
        </w:tc>
        <w:tc>
          <w:tcPr>
            <w:tcW w:w="2367" w:type="dxa"/>
          </w:tcPr>
          <w:p w:rsidR="00000000" w:rsidRDefault="00000000">
            <w:pPr>
              <w:jc w:val="center"/>
            </w:pPr>
            <w:r>
              <w:t>6 821 808</w:t>
            </w:r>
          </w:p>
        </w:tc>
      </w:tr>
    </w:tbl>
    <w:p w:rsidR="00000000" w:rsidRDefault="00000000">
      <w:pPr>
        <w:rPr>
          <w:kern w:val="2"/>
        </w:rPr>
      </w:pPr>
    </w:p>
    <w:p w:rsidR="00000000" w:rsidRDefault="00000000">
      <w:pPr>
        <w:spacing w:line="360" w:lineRule="auto"/>
        <w:rPr>
          <w:kern w:val="2"/>
        </w:rPr>
      </w:pPr>
      <w:r>
        <w:rPr>
          <w:kern w:val="2"/>
        </w:rPr>
        <w:tab/>
      </w:r>
      <w:r>
        <w:rPr>
          <w:kern w:val="2"/>
        </w:rPr>
        <w:tab/>
      </w:r>
      <w:r>
        <w:rPr>
          <w:kern w:val="2"/>
          <w:u w:val="single"/>
        </w:rPr>
        <w:t>Source</w:t>
      </w:r>
      <w:r>
        <w:rPr>
          <w:kern w:val="2"/>
        </w:rPr>
        <w:t xml:space="preserve">:  Ministry of Labour and Employment </w:t>
      </w:r>
      <w:r>
        <w:rPr>
          <w:kern w:val="2"/>
        </w:rPr>
        <w:noBreakHyphen/>
        <w:t xml:space="preserve"> data from SME/IBGE. </w:t>
      </w:r>
    </w:p>
    <w:p w:rsidR="00000000" w:rsidRDefault="00000000">
      <w:pPr>
        <w:rPr>
          <w:kern w:val="2"/>
        </w:rPr>
      </w:pPr>
      <w:r>
        <w:rPr>
          <w:kern w:val="2"/>
        </w:rPr>
        <w:tab/>
      </w:r>
      <w:r>
        <w:rPr>
          <w:kern w:val="2"/>
        </w:rPr>
        <w:tab/>
        <w:t xml:space="preserve">Journal </w:t>
      </w:r>
      <w:r>
        <w:rPr>
          <w:kern w:val="2"/>
          <w:u w:val="single"/>
        </w:rPr>
        <w:t xml:space="preserve">Mercado de Trabalho </w:t>
      </w:r>
      <w:r>
        <w:rPr>
          <w:kern w:val="2"/>
          <w:u w:val="single"/>
        </w:rPr>
        <w:noBreakHyphen/>
        <w:t xml:space="preserve"> Conjuntura e Análise</w:t>
      </w:r>
      <w:r>
        <w:rPr>
          <w:kern w:val="2"/>
        </w:rPr>
        <w:t>, Year 5, June 2000.</w:t>
      </w:r>
    </w:p>
    <w:p w:rsidR="00000000" w:rsidRDefault="00000000">
      <w:pPr>
        <w:rPr>
          <w:kern w:val="2"/>
        </w:rPr>
      </w:pPr>
    </w:p>
    <w:p w:rsidR="00000000" w:rsidRDefault="00000000">
      <w:pPr>
        <w:pStyle w:val="Heading1"/>
        <w:rPr>
          <w:kern w:val="2"/>
        </w:rPr>
      </w:pPr>
      <w:r>
        <w:rPr>
          <w:kern w:val="2"/>
        </w:rPr>
        <w:br w:type="page"/>
        <w:t>Table 24</w:t>
      </w:r>
    </w:p>
    <w:p w:rsidR="00000000" w:rsidRDefault="00000000">
      <w:pPr>
        <w:pStyle w:val="Heading1"/>
        <w:rPr>
          <w:kern w:val="2"/>
        </w:rPr>
      </w:pPr>
    </w:p>
    <w:p w:rsidR="00000000" w:rsidRDefault="00000000">
      <w:pPr>
        <w:pStyle w:val="Heading1"/>
        <w:rPr>
          <w:kern w:val="2"/>
        </w:rPr>
      </w:pPr>
      <w:r>
        <w:rPr>
          <w:kern w:val="2"/>
        </w:rPr>
        <w:t>Unemployment, by gender</w:t>
      </w:r>
    </w:p>
    <w:p w:rsidR="00000000" w:rsidRDefault="00000000"/>
    <w:tbl>
      <w:tblPr>
        <w:tblW w:w="0" w:type="auto"/>
        <w:tblInd w:w="1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2410"/>
        <w:gridCol w:w="2268"/>
        <w:gridCol w:w="2409"/>
      </w:tblGrid>
      <w:tr w:rsidR="00000000">
        <w:tc>
          <w:tcPr>
            <w:tcW w:w="2410" w:type="dxa"/>
            <w:tcBorders>
              <w:bottom w:val="single" w:sz="4" w:space="0" w:color="auto"/>
            </w:tcBorders>
          </w:tcPr>
          <w:p w:rsidR="00000000" w:rsidRDefault="00000000">
            <w:pPr>
              <w:jc w:val="center"/>
            </w:pPr>
            <w:r>
              <w:t>Average</w:t>
            </w:r>
          </w:p>
        </w:tc>
        <w:tc>
          <w:tcPr>
            <w:tcW w:w="2268" w:type="dxa"/>
            <w:tcBorders>
              <w:bottom w:val="single" w:sz="4" w:space="0" w:color="auto"/>
            </w:tcBorders>
          </w:tcPr>
          <w:p w:rsidR="00000000" w:rsidRDefault="00000000">
            <w:pPr>
              <w:jc w:val="center"/>
            </w:pPr>
            <w:r>
              <w:t>Men</w:t>
            </w:r>
          </w:p>
        </w:tc>
        <w:tc>
          <w:tcPr>
            <w:tcW w:w="2409" w:type="dxa"/>
            <w:tcBorders>
              <w:bottom w:val="single" w:sz="4" w:space="0" w:color="auto"/>
            </w:tcBorders>
          </w:tcPr>
          <w:p w:rsidR="00000000" w:rsidRDefault="00000000">
            <w:pPr>
              <w:jc w:val="center"/>
            </w:pPr>
            <w:r>
              <w:t>Women</w:t>
            </w:r>
          </w:p>
        </w:tc>
      </w:tr>
      <w:tr w:rsidR="00000000">
        <w:tc>
          <w:tcPr>
            <w:tcW w:w="2410" w:type="dxa"/>
            <w:tcBorders>
              <w:top w:val="single" w:sz="4" w:space="0" w:color="auto"/>
              <w:left w:val="single" w:sz="4" w:space="0" w:color="auto"/>
              <w:bottom w:val="nil"/>
              <w:right w:val="single" w:sz="4" w:space="0" w:color="auto"/>
            </w:tcBorders>
          </w:tcPr>
          <w:p w:rsidR="00000000" w:rsidRDefault="00000000">
            <w:r>
              <w:t>1991</w:t>
            </w:r>
          </w:p>
        </w:tc>
        <w:tc>
          <w:tcPr>
            <w:tcW w:w="2268" w:type="dxa"/>
            <w:tcBorders>
              <w:top w:val="single" w:sz="4" w:space="0" w:color="auto"/>
              <w:left w:val="single" w:sz="4" w:space="0" w:color="auto"/>
              <w:bottom w:val="nil"/>
              <w:right w:val="single" w:sz="4" w:space="0" w:color="auto"/>
            </w:tcBorders>
          </w:tcPr>
          <w:p w:rsidR="00000000" w:rsidRDefault="00000000">
            <w:pPr>
              <w:jc w:val="center"/>
            </w:pPr>
            <w:r>
              <w:t>61.05</w:t>
            </w:r>
          </w:p>
        </w:tc>
        <w:tc>
          <w:tcPr>
            <w:tcW w:w="2409" w:type="dxa"/>
            <w:tcBorders>
              <w:top w:val="single" w:sz="4" w:space="0" w:color="auto"/>
              <w:left w:val="single" w:sz="4" w:space="0" w:color="auto"/>
              <w:bottom w:val="nil"/>
              <w:right w:val="single" w:sz="4" w:space="0" w:color="auto"/>
            </w:tcBorders>
          </w:tcPr>
          <w:p w:rsidR="00000000" w:rsidRDefault="00000000">
            <w:pPr>
              <w:jc w:val="center"/>
            </w:pPr>
            <w:r>
              <w:t>38.95</w:t>
            </w:r>
          </w:p>
        </w:tc>
      </w:tr>
      <w:tr w:rsidR="00000000">
        <w:tc>
          <w:tcPr>
            <w:tcW w:w="2410" w:type="dxa"/>
            <w:tcBorders>
              <w:top w:val="nil"/>
              <w:left w:val="single" w:sz="4" w:space="0" w:color="auto"/>
              <w:bottom w:val="nil"/>
              <w:right w:val="single" w:sz="4" w:space="0" w:color="auto"/>
            </w:tcBorders>
          </w:tcPr>
          <w:p w:rsidR="00000000" w:rsidRDefault="00000000">
            <w:r>
              <w:t>1992</w:t>
            </w:r>
          </w:p>
        </w:tc>
        <w:tc>
          <w:tcPr>
            <w:tcW w:w="2268" w:type="dxa"/>
            <w:tcBorders>
              <w:top w:val="nil"/>
              <w:left w:val="single" w:sz="4" w:space="0" w:color="auto"/>
              <w:bottom w:val="nil"/>
              <w:right w:val="single" w:sz="4" w:space="0" w:color="auto"/>
            </w:tcBorders>
          </w:tcPr>
          <w:p w:rsidR="00000000" w:rsidRDefault="00000000">
            <w:pPr>
              <w:jc w:val="center"/>
            </w:pPr>
            <w:r>
              <w:t>60.48</w:t>
            </w:r>
          </w:p>
        </w:tc>
        <w:tc>
          <w:tcPr>
            <w:tcW w:w="2409" w:type="dxa"/>
            <w:tcBorders>
              <w:top w:val="nil"/>
              <w:left w:val="single" w:sz="4" w:space="0" w:color="auto"/>
              <w:bottom w:val="nil"/>
              <w:right w:val="single" w:sz="4" w:space="0" w:color="auto"/>
            </w:tcBorders>
          </w:tcPr>
          <w:p w:rsidR="00000000" w:rsidRDefault="00000000">
            <w:pPr>
              <w:jc w:val="center"/>
            </w:pPr>
            <w:r>
              <w:t>39.52</w:t>
            </w:r>
          </w:p>
        </w:tc>
      </w:tr>
      <w:tr w:rsidR="00000000">
        <w:tc>
          <w:tcPr>
            <w:tcW w:w="2410" w:type="dxa"/>
            <w:tcBorders>
              <w:top w:val="nil"/>
              <w:left w:val="single" w:sz="4" w:space="0" w:color="auto"/>
              <w:bottom w:val="nil"/>
              <w:right w:val="single" w:sz="4" w:space="0" w:color="auto"/>
            </w:tcBorders>
          </w:tcPr>
          <w:p w:rsidR="00000000" w:rsidRDefault="00000000">
            <w:r>
              <w:t>1993</w:t>
            </w:r>
          </w:p>
        </w:tc>
        <w:tc>
          <w:tcPr>
            <w:tcW w:w="2268" w:type="dxa"/>
            <w:tcBorders>
              <w:top w:val="nil"/>
              <w:left w:val="single" w:sz="4" w:space="0" w:color="auto"/>
              <w:bottom w:val="nil"/>
              <w:right w:val="single" w:sz="4" w:space="0" w:color="auto"/>
            </w:tcBorders>
          </w:tcPr>
          <w:p w:rsidR="00000000" w:rsidRDefault="00000000">
            <w:pPr>
              <w:jc w:val="center"/>
            </w:pPr>
            <w:r>
              <w:t>59.63</w:t>
            </w:r>
          </w:p>
        </w:tc>
        <w:tc>
          <w:tcPr>
            <w:tcW w:w="2409" w:type="dxa"/>
            <w:tcBorders>
              <w:top w:val="nil"/>
              <w:left w:val="single" w:sz="4" w:space="0" w:color="auto"/>
              <w:bottom w:val="nil"/>
              <w:right w:val="single" w:sz="4" w:space="0" w:color="auto"/>
            </w:tcBorders>
          </w:tcPr>
          <w:p w:rsidR="00000000" w:rsidRDefault="00000000">
            <w:pPr>
              <w:jc w:val="center"/>
            </w:pPr>
            <w:r>
              <w:t>40.37</w:t>
            </w:r>
          </w:p>
        </w:tc>
      </w:tr>
      <w:tr w:rsidR="00000000">
        <w:tc>
          <w:tcPr>
            <w:tcW w:w="2410" w:type="dxa"/>
            <w:tcBorders>
              <w:top w:val="nil"/>
              <w:left w:val="single" w:sz="4" w:space="0" w:color="auto"/>
              <w:bottom w:val="nil"/>
              <w:right w:val="single" w:sz="4" w:space="0" w:color="auto"/>
            </w:tcBorders>
          </w:tcPr>
          <w:p w:rsidR="00000000" w:rsidRDefault="00000000">
            <w:r>
              <w:t>1994</w:t>
            </w:r>
          </w:p>
        </w:tc>
        <w:tc>
          <w:tcPr>
            <w:tcW w:w="2268" w:type="dxa"/>
            <w:tcBorders>
              <w:top w:val="nil"/>
              <w:left w:val="single" w:sz="4" w:space="0" w:color="auto"/>
              <w:bottom w:val="nil"/>
              <w:right w:val="single" w:sz="4" w:space="0" w:color="auto"/>
            </w:tcBorders>
          </w:tcPr>
          <w:p w:rsidR="00000000" w:rsidRDefault="00000000">
            <w:pPr>
              <w:jc w:val="center"/>
            </w:pPr>
            <w:r>
              <w:t>58.40</w:t>
            </w:r>
          </w:p>
        </w:tc>
        <w:tc>
          <w:tcPr>
            <w:tcW w:w="2409" w:type="dxa"/>
            <w:tcBorders>
              <w:top w:val="nil"/>
              <w:left w:val="single" w:sz="4" w:space="0" w:color="auto"/>
              <w:bottom w:val="nil"/>
              <w:right w:val="single" w:sz="4" w:space="0" w:color="auto"/>
            </w:tcBorders>
          </w:tcPr>
          <w:p w:rsidR="00000000" w:rsidRDefault="00000000">
            <w:pPr>
              <w:jc w:val="center"/>
            </w:pPr>
            <w:r>
              <w:t>41.60</w:t>
            </w:r>
          </w:p>
        </w:tc>
      </w:tr>
      <w:tr w:rsidR="00000000">
        <w:tc>
          <w:tcPr>
            <w:tcW w:w="2410" w:type="dxa"/>
            <w:tcBorders>
              <w:top w:val="nil"/>
              <w:left w:val="single" w:sz="4" w:space="0" w:color="auto"/>
              <w:bottom w:val="nil"/>
              <w:right w:val="single" w:sz="4" w:space="0" w:color="auto"/>
            </w:tcBorders>
          </w:tcPr>
          <w:p w:rsidR="00000000" w:rsidRDefault="00000000">
            <w:r>
              <w:t>1995</w:t>
            </w:r>
          </w:p>
        </w:tc>
        <w:tc>
          <w:tcPr>
            <w:tcW w:w="2268" w:type="dxa"/>
            <w:tcBorders>
              <w:top w:val="nil"/>
              <w:left w:val="single" w:sz="4" w:space="0" w:color="auto"/>
              <w:bottom w:val="nil"/>
              <w:right w:val="single" w:sz="4" w:space="0" w:color="auto"/>
            </w:tcBorders>
          </w:tcPr>
          <w:p w:rsidR="00000000" w:rsidRDefault="00000000">
            <w:pPr>
              <w:jc w:val="center"/>
            </w:pPr>
            <w:r>
              <w:t>59.00</w:t>
            </w:r>
          </w:p>
        </w:tc>
        <w:tc>
          <w:tcPr>
            <w:tcW w:w="2409" w:type="dxa"/>
            <w:tcBorders>
              <w:top w:val="nil"/>
              <w:left w:val="single" w:sz="4" w:space="0" w:color="auto"/>
              <w:bottom w:val="nil"/>
              <w:right w:val="single" w:sz="4" w:space="0" w:color="auto"/>
            </w:tcBorders>
          </w:tcPr>
          <w:p w:rsidR="00000000" w:rsidRDefault="00000000">
            <w:pPr>
              <w:jc w:val="center"/>
            </w:pPr>
            <w:r>
              <w:t>41.00</w:t>
            </w:r>
          </w:p>
        </w:tc>
      </w:tr>
      <w:tr w:rsidR="00000000">
        <w:tc>
          <w:tcPr>
            <w:tcW w:w="2410" w:type="dxa"/>
            <w:tcBorders>
              <w:top w:val="nil"/>
              <w:left w:val="single" w:sz="4" w:space="0" w:color="auto"/>
              <w:bottom w:val="nil"/>
              <w:right w:val="single" w:sz="4" w:space="0" w:color="auto"/>
            </w:tcBorders>
          </w:tcPr>
          <w:p w:rsidR="00000000" w:rsidRDefault="00000000">
            <w:r>
              <w:t>1996</w:t>
            </w:r>
          </w:p>
        </w:tc>
        <w:tc>
          <w:tcPr>
            <w:tcW w:w="2268" w:type="dxa"/>
            <w:tcBorders>
              <w:top w:val="nil"/>
              <w:left w:val="single" w:sz="4" w:space="0" w:color="auto"/>
              <w:bottom w:val="nil"/>
              <w:right w:val="single" w:sz="4" w:space="0" w:color="auto"/>
            </w:tcBorders>
          </w:tcPr>
          <w:p w:rsidR="00000000" w:rsidRDefault="00000000">
            <w:pPr>
              <w:jc w:val="center"/>
            </w:pPr>
            <w:r>
              <w:t>55.39</w:t>
            </w:r>
          </w:p>
        </w:tc>
        <w:tc>
          <w:tcPr>
            <w:tcW w:w="2409" w:type="dxa"/>
            <w:tcBorders>
              <w:top w:val="nil"/>
              <w:left w:val="single" w:sz="4" w:space="0" w:color="auto"/>
              <w:bottom w:val="nil"/>
              <w:right w:val="single" w:sz="4" w:space="0" w:color="auto"/>
            </w:tcBorders>
          </w:tcPr>
          <w:p w:rsidR="00000000" w:rsidRDefault="00000000">
            <w:pPr>
              <w:jc w:val="center"/>
            </w:pPr>
            <w:r>
              <w:t>44.61</w:t>
            </w:r>
          </w:p>
        </w:tc>
      </w:tr>
      <w:tr w:rsidR="00000000">
        <w:tc>
          <w:tcPr>
            <w:tcW w:w="2410" w:type="dxa"/>
            <w:tcBorders>
              <w:top w:val="nil"/>
              <w:left w:val="single" w:sz="4" w:space="0" w:color="auto"/>
              <w:bottom w:val="nil"/>
              <w:right w:val="single" w:sz="4" w:space="0" w:color="auto"/>
            </w:tcBorders>
          </w:tcPr>
          <w:p w:rsidR="00000000" w:rsidRDefault="00000000">
            <w:r>
              <w:t>1997</w:t>
            </w:r>
          </w:p>
        </w:tc>
        <w:tc>
          <w:tcPr>
            <w:tcW w:w="2268" w:type="dxa"/>
            <w:tcBorders>
              <w:top w:val="nil"/>
              <w:left w:val="single" w:sz="4" w:space="0" w:color="auto"/>
              <w:bottom w:val="nil"/>
              <w:right w:val="single" w:sz="4" w:space="0" w:color="auto"/>
            </w:tcBorders>
          </w:tcPr>
          <w:p w:rsidR="00000000" w:rsidRDefault="00000000">
            <w:pPr>
              <w:jc w:val="center"/>
            </w:pPr>
            <w:r>
              <w:t>55.58</w:t>
            </w:r>
          </w:p>
        </w:tc>
        <w:tc>
          <w:tcPr>
            <w:tcW w:w="2409" w:type="dxa"/>
            <w:tcBorders>
              <w:top w:val="nil"/>
              <w:left w:val="single" w:sz="4" w:space="0" w:color="auto"/>
              <w:bottom w:val="nil"/>
              <w:right w:val="single" w:sz="4" w:space="0" w:color="auto"/>
            </w:tcBorders>
          </w:tcPr>
          <w:p w:rsidR="00000000" w:rsidRDefault="00000000">
            <w:pPr>
              <w:jc w:val="center"/>
            </w:pPr>
            <w:r>
              <w:t>44.42</w:t>
            </w:r>
          </w:p>
        </w:tc>
      </w:tr>
      <w:tr w:rsidR="00000000">
        <w:tc>
          <w:tcPr>
            <w:tcW w:w="2410" w:type="dxa"/>
            <w:tcBorders>
              <w:top w:val="nil"/>
              <w:left w:val="single" w:sz="4" w:space="0" w:color="auto"/>
              <w:bottom w:val="nil"/>
              <w:right w:val="single" w:sz="4" w:space="0" w:color="auto"/>
            </w:tcBorders>
          </w:tcPr>
          <w:p w:rsidR="00000000" w:rsidRDefault="00000000">
            <w:r>
              <w:t>1998</w:t>
            </w:r>
          </w:p>
        </w:tc>
        <w:tc>
          <w:tcPr>
            <w:tcW w:w="2268" w:type="dxa"/>
            <w:tcBorders>
              <w:top w:val="nil"/>
              <w:left w:val="single" w:sz="4" w:space="0" w:color="auto"/>
              <w:bottom w:val="nil"/>
              <w:right w:val="single" w:sz="4" w:space="0" w:color="auto"/>
            </w:tcBorders>
          </w:tcPr>
          <w:p w:rsidR="00000000" w:rsidRDefault="00000000">
            <w:pPr>
              <w:jc w:val="center"/>
            </w:pPr>
            <w:r>
              <w:t>55.21</w:t>
            </w:r>
          </w:p>
        </w:tc>
        <w:tc>
          <w:tcPr>
            <w:tcW w:w="2409" w:type="dxa"/>
            <w:tcBorders>
              <w:top w:val="nil"/>
              <w:left w:val="single" w:sz="4" w:space="0" w:color="auto"/>
              <w:bottom w:val="nil"/>
              <w:right w:val="single" w:sz="4" w:space="0" w:color="auto"/>
            </w:tcBorders>
          </w:tcPr>
          <w:p w:rsidR="00000000" w:rsidRDefault="00000000">
            <w:pPr>
              <w:jc w:val="center"/>
            </w:pPr>
            <w:r>
              <w:t>44.79</w:t>
            </w:r>
          </w:p>
        </w:tc>
      </w:tr>
      <w:tr w:rsidR="00000000">
        <w:tc>
          <w:tcPr>
            <w:tcW w:w="2410" w:type="dxa"/>
            <w:tcBorders>
              <w:top w:val="nil"/>
              <w:left w:val="single" w:sz="4" w:space="0" w:color="auto"/>
              <w:bottom w:val="nil"/>
              <w:right w:val="single" w:sz="4" w:space="0" w:color="auto"/>
            </w:tcBorders>
          </w:tcPr>
          <w:p w:rsidR="00000000" w:rsidRDefault="00000000">
            <w:r>
              <w:t>1999</w:t>
            </w:r>
          </w:p>
        </w:tc>
        <w:tc>
          <w:tcPr>
            <w:tcW w:w="2268" w:type="dxa"/>
            <w:tcBorders>
              <w:top w:val="nil"/>
              <w:left w:val="single" w:sz="4" w:space="0" w:color="auto"/>
              <w:bottom w:val="nil"/>
              <w:right w:val="single" w:sz="4" w:space="0" w:color="auto"/>
            </w:tcBorders>
          </w:tcPr>
          <w:p w:rsidR="00000000" w:rsidRDefault="00000000">
            <w:pPr>
              <w:jc w:val="center"/>
            </w:pPr>
            <w:r>
              <w:t>54.84</w:t>
            </w:r>
          </w:p>
        </w:tc>
        <w:tc>
          <w:tcPr>
            <w:tcW w:w="2409" w:type="dxa"/>
            <w:tcBorders>
              <w:top w:val="nil"/>
              <w:left w:val="single" w:sz="4" w:space="0" w:color="auto"/>
              <w:bottom w:val="nil"/>
              <w:right w:val="single" w:sz="4" w:space="0" w:color="auto"/>
            </w:tcBorders>
          </w:tcPr>
          <w:p w:rsidR="00000000" w:rsidRDefault="00000000">
            <w:pPr>
              <w:jc w:val="center"/>
            </w:pPr>
            <w:r>
              <w:t>45.16</w:t>
            </w:r>
          </w:p>
        </w:tc>
      </w:tr>
      <w:tr w:rsidR="00000000">
        <w:tc>
          <w:tcPr>
            <w:tcW w:w="2410" w:type="dxa"/>
            <w:tcBorders>
              <w:top w:val="nil"/>
              <w:left w:val="single" w:sz="4" w:space="0" w:color="auto"/>
              <w:bottom w:val="nil"/>
              <w:right w:val="single" w:sz="4" w:space="0" w:color="auto"/>
            </w:tcBorders>
          </w:tcPr>
          <w:p w:rsidR="00000000" w:rsidRDefault="00000000">
            <w:r>
              <w:t>Jan.</w:t>
            </w:r>
            <w:r>
              <w:noBreakHyphen/>
              <w:t>Apr. 1999</w:t>
            </w:r>
          </w:p>
        </w:tc>
        <w:tc>
          <w:tcPr>
            <w:tcW w:w="2268" w:type="dxa"/>
            <w:tcBorders>
              <w:top w:val="nil"/>
              <w:left w:val="single" w:sz="4" w:space="0" w:color="auto"/>
              <w:bottom w:val="nil"/>
              <w:right w:val="single" w:sz="4" w:space="0" w:color="auto"/>
            </w:tcBorders>
          </w:tcPr>
          <w:p w:rsidR="00000000" w:rsidRDefault="00000000">
            <w:pPr>
              <w:jc w:val="center"/>
            </w:pPr>
            <w:r>
              <w:t>55.62</w:t>
            </w:r>
          </w:p>
        </w:tc>
        <w:tc>
          <w:tcPr>
            <w:tcW w:w="2409" w:type="dxa"/>
            <w:tcBorders>
              <w:top w:val="nil"/>
              <w:left w:val="single" w:sz="4" w:space="0" w:color="auto"/>
              <w:bottom w:val="nil"/>
              <w:right w:val="single" w:sz="4" w:space="0" w:color="auto"/>
            </w:tcBorders>
          </w:tcPr>
          <w:p w:rsidR="00000000" w:rsidRDefault="00000000">
            <w:pPr>
              <w:jc w:val="center"/>
            </w:pPr>
            <w:r>
              <w:t>44.38</w:t>
            </w:r>
          </w:p>
        </w:tc>
      </w:tr>
      <w:tr w:rsidR="00000000">
        <w:tc>
          <w:tcPr>
            <w:tcW w:w="2410" w:type="dxa"/>
            <w:tcBorders>
              <w:top w:val="nil"/>
              <w:left w:val="single" w:sz="4" w:space="0" w:color="auto"/>
              <w:bottom w:val="nil"/>
              <w:right w:val="single" w:sz="4" w:space="0" w:color="auto"/>
            </w:tcBorders>
          </w:tcPr>
          <w:p w:rsidR="00000000" w:rsidRDefault="00000000">
            <w:r>
              <w:t>Apr. 1999</w:t>
            </w:r>
          </w:p>
        </w:tc>
        <w:tc>
          <w:tcPr>
            <w:tcW w:w="2268" w:type="dxa"/>
            <w:tcBorders>
              <w:top w:val="nil"/>
              <w:left w:val="single" w:sz="4" w:space="0" w:color="auto"/>
              <w:bottom w:val="nil"/>
              <w:right w:val="single" w:sz="4" w:space="0" w:color="auto"/>
            </w:tcBorders>
          </w:tcPr>
          <w:p w:rsidR="00000000" w:rsidRDefault="00000000">
            <w:pPr>
              <w:jc w:val="center"/>
            </w:pPr>
            <w:r>
              <w:t>55.99</w:t>
            </w:r>
          </w:p>
        </w:tc>
        <w:tc>
          <w:tcPr>
            <w:tcW w:w="2409" w:type="dxa"/>
            <w:tcBorders>
              <w:top w:val="nil"/>
              <w:left w:val="single" w:sz="4" w:space="0" w:color="auto"/>
              <w:bottom w:val="nil"/>
              <w:right w:val="single" w:sz="4" w:space="0" w:color="auto"/>
            </w:tcBorders>
          </w:tcPr>
          <w:p w:rsidR="00000000" w:rsidRDefault="00000000">
            <w:pPr>
              <w:jc w:val="center"/>
            </w:pPr>
            <w:r>
              <w:t>44.01</w:t>
            </w:r>
          </w:p>
        </w:tc>
      </w:tr>
      <w:tr w:rsidR="00000000">
        <w:tc>
          <w:tcPr>
            <w:tcW w:w="2410" w:type="dxa"/>
            <w:tcBorders>
              <w:top w:val="nil"/>
              <w:left w:val="single" w:sz="4" w:space="0" w:color="auto"/>
              <w:bottom w:val="nil"/>
              <w:right w:val="single" w:sz="4" w:space="0" w:color="auto"/>
            </w:tcBorders>
          </w:tcPr>
          <w:p w:rsidR="00000000" w:rsidRDefault="00000000">
            <w:r>
              <w:t>May 1999</w:t>
            </w:r>
          </w:p>
        </w:tc>
        <w:tc>
          <w:tcPr>
            <w:tcW w:w="2268" w:type="dxa"/>
            <w:tcBorders>
              <w:top w:val="nil"/>
              <w:left w:val="single" w:sz="4" w:space="0" w:color="auto"/>
              <w:bottom w:val="nil"/>
              <w:right w:val="single" w:sz="4" w:space="0" w:color="auto"/>
            </w:tcBorders>
          </w:tcPr>
          <w:p w:rsidR="00000000" w:rsidRDefault="00000000">
            <w:pPr>
              <w:jc w:val="center"/>
            </w:pPr>
            <w:r>
              <w:t>54.54</w:t>
            </w:r>
          </w:p>
        </w:tc>
        <w:tc>
          <w:tcPr>
            <w:tcW w:w="2409" w:type="dxa"/>
            <w:tcBorders>
              <w:top w:val="nil"/>
              <w:left w:val="single" w:sz="4" w:space="0" w:color="auto"/>
              <w:bottom w:val="nil"/>
              <w:right w:val="single" w:sz="4" w:space="0" w:color="auto"/>
            </w:tcBorders>
          </w:tcPr>
          <w:p w:rsidR="00000000" w:rsidRDefault="00000000">
            <w:pPr>
              <w:jc w:val="center"/>
            </w:pPr>
            <w:r>
              <w:t>45.46</w:t>
            </w:r>
          </w:p>
        </w:tc>
      </w:tr>
      <w:tr w:rsidR="00000000">
        <w:tc>
          <w:tcPr>
            <w:tcW w:w="2410" w:type="dxa"/>
            <w:tcBorders>
              <w:top w:val="nil"/>
              <w:left w:val="single" w:sz="4" w:space="0" w:color="auto"/>
              <w:bottom w:val="nil"/>
              <w:right w:val="single" w:sz="4" w:space="0" w:color="auto"/>
            </w:tcBorders>
          </w:tcPr>
          <w:p w:rsidR="00000000" w:rsidRDefault="00000000">
            <w:r>
              <w:t>June 1999</w:t>
            </w:r>
          </w:p>
        </w:tc>
        <w:tc>
          <w:tcPr>
            <w:tcW w:w="2268" w:type="dxa"/>
            <w:tcBorders>
              <w:top w:val="nil"/>
              <w:left w:val="single" w:sz="4" w:space="0" w:color="auto"/>
              <w:bottom w:val="nil"/>
              <w:right w:val="single" w:sz="4" w:space="0" w:color="auto"/>
            </w:tcBorders>
          </w:tcPr>
          <w:p w:rsidR="00000000" w:rsidRDefault="00000000">
            <w:pPr>
              <w:jc w:val="center"/>
            </w:pPr>
            <w:r>
              <w:t>55.30</w:t>
            </w:r>
          </w:p>
        </w:tc>
        <w:tc>
          <w:tcPr>
            <w:tcW w:w="2409" w:type="dxa"/>
            <w:tcBorders>
              <w:top w:val="nil"/>
              <w:left w:val="single" w:sz="4" w:space="0" w:color="auto"/>
              <w:bottom w:val="nil"/>
              <w:right w:val="single" w:sz="4" w:space="0" w:color="auto"/>
            </w:tcBorders>
          </w:tcPr>
          <w:p w:rsidR="00000000" w:rsidRDefault="00000000">
            <w:pPr>
              <w:jc w:val="center"/>
            </w:pPr>
            <w:r>
              <w:t>44.70</w:t>
            </w:r>
          </w:p>
        </w:tc>
      </w:tr>
      <w:tr w:rsidR="00000000">
        <w:tc>
          <w:tcPr>
            <w:tcW w:w="2410" w:type="dxa"/>
            <w:tcBorders>
              <w:top w:val="nil"/>
              <w:left w:val="single" w:sz="4" w:space="0" w:color="auto"/>
              <w:bottom w:val="nil"/>
              <w:right w:val="single" w:sz="4" w:space="0" w:color="auto"/>
            </w:tcBorders>
          </w:tcPr>
          <w:p w:rsidR="00000000" w:rsidRDefault="00000000">
            <w:r>
              <w:t>July 1999</w:t>
            </w:r>
          </w:p>
        </w:tc>
        <w:tc>
          <w:tcPr>
            <w:tcW w:w="2268" w:type="dxa"/>
            <w:tcBorders>
              <w:top w:val="nil"/>
              <w:left w:val="single" w:sz="4" w:space="0" w:color="auto"/>
              <w:bottom w:val="nil"/>
              <w:right w:val="single" w:sz="4" w:space="0" w:color="auto"/>
            </w:tcBorders>
          </w:tcPr>
          <w:p w:rsidR="00000000" w:rsidRDefault="00000000">
            <w:pPr>
              <w:jc w:val="center"/>
            </w:pPr>
            <w:r>
              <w:t>54.66</w:t>
            </w:r>
          </w:p>
        </w:tc>
        <w:tc>
          <w:tcPr>
            <w:tcW w:w="2409" w:type="dxa"/>
            <w:tcBorders>
              <w:top w:val="nil"/>
              <w:left w:val="single" w:sz="4" w:space="0" w:color="auto"/>
              <w:bottom w:val="nil"/>
              <w:right w:val="single" w:sz="4" w:space="0" w:color="auto"/>
            </w:tcBorders>
          </w:tcPr>
          <w:p w:rsidR="00000000" w:rsidRDefault="00000000">
            <w:pPr>
              <w:jc w:val="center"/>
            </w:pPr>
            <w:r>
              <w:t>45.34</w:t>
            </w:r>
          </w:p>
        </w:tc>
      </w:tr>
      <w:tr w:rsidR="00000000">
        <w:tc>
          <w:tcPr>
            <w:tcW w:w="2410" w:type="dxa"/>
            <w:tcBorders>
              <w:top w:val="nil"/>
              <w:left w:val="single" w:sz="4" w:space="0" w:color="auto"/>
              <w:bottom w:val="nil"/>
              <w:right w:val="single" w:sz="4" w:space="0" w:color="auto"/>
            </w:tcBorders>
          </w:tcPr>
          <w:p w:rsidR="00000000" w:rsidRDefault="00000000">
            <w:r>
              <w:t>Aug. 1999</w:t>
            </w:r>
          </w:p>
        </w:tc>
        <w:tc>
          <w:tcPr>
            <w:tcW w:w="2268" w:type="dxa"/>
            <w:tcBorders>
              <w:top w:val="nil"/>
              <w:left w:val="single" w:sz="4" w:space="0" w:color="auto"/>
              <w:bottom w:val="nil"/>
              <w:right w:val="single" w:sz="4" w:space="0" w:color="auto"/>
            </w:tcBorders>
          </w:tcPr>
          <w:p w:rsidR="00000000" w:rsidRDefault="00000000">
            <w:pPr>
              <w:jc w:val="center"/>
            </w:pPr>
            <w:r>
              <w:t>54.72</w:t>
            </w:r>
          </w:p>
        </w:tc>
        <w:tc>
          <w:tcPr>
            <w:tcW w:w="2409" w:type="dxa"/>
            <w:tcBorders>
              <w:top w:val="nil"/>
              <w:left w:val="single" w:sz="4" w:space="0" w:color="auto"/>
              <w:bottom w:val="nil"/>
              <w:right w:val="single" w:sz="4" w:space="0" w:color="auto"/>
            </w:tcBorders>
          </w:tcPr>
          <w:p w:rsidR="00000000" w:rsidRDefault="00000000">
            <w:pPr>
              <w:jc w:val="center"/>
            </w:pPr>
            <w:r>
              <w:t>45.28</w:t>
            </w:r>
          </w:p>
        </w:tc>
      </w:tr>
      <w:tr w:rsidR="00000000">
        <w:tc>
          <w:tcPr>
            <w:tcW w:w="2410" w:type="dxa"/>
            <w:tcBorders>
              <w:top w:val="nil"/>
              <w:left w:val="single" w:sz="4" w:space="0" w:color="auto"/>
              <w:bottom w:val="nil"/>
              <w:right w:val="single" w:sz="4" w:space="0" w:color="auto"/>
            </w:tcBorders>
          </w:tcPr>
          <w:p w:rsidR="00000000" w:rsidRDefault="00000000">
            <w:r>
              <w:t>Sept. 1999</w:t>
            </w:r>
          </w:p>
        </w:tc>
        <w:tc>
          <w:tcPr>
            <w:tcW w:w="2268" w:type="dxa"/>
            <w:tcBorders>
              <w:top w:val="nil"/>
              <w:left w:val="single" w:sz="4" w:space="0" w:color="auto"/>
              <w:bottom w:val="nil"/>
              <w:right w:val="single" w:sz="4" w:space="0" w:color="auto"/>
            </w:tcBorders>
          </w:tcPr>
          <w:p w:rsidR="00000000" w:rsidRDefault="00000000">
            <w:pPr>
              <w:jc w:val="center"/>
            </w:pPr>
            <w:r>
              <w:t>55.22</w:t>
            </w:r>
          </w:p>
        </w:tc>
        <w:tc>
          <w:tcPr>
            <w:tcW w:w="2409" w:type="dxa"/>
            <w:tcBorders>
              <w:top w:val="nil"/>
              <w:left w:val="single" w:sz="4" w:space="0" w:color="auto"/>
              <w:bottom w:val="nil"/>
              <w:right w:val="single" w:sz="4" w:space="0" w:color="auto"/>
            </w:tcBorders>
          </w:tcPr>
          <w:p w:rsidR="00000000" w:rsidRDefault="00000000">
            <w:pPr>
              <w:jc w:val="center"/>
            </w:pPr>
            <w:r>
              <w:t>44.78</w:t>
            </w:r>
          </w:p>
        </w:tc>
      </w:tr>
      <w:tr w:rsidR="00000000">
        <w:tc>
          <w:tcPr>
            <w:tcW w:w="2410" w:type="dxa"/>
            <w:tcBorders>
              <w:top w:val="nil"/>
              <w:left w:val="single" w:sz="4" w:space="0" w:color="auto"/>
              <w:bottom w:val="nil"/>
              <w:right w:val="single" w:sz="4" w:space="0" w:color="auto"/>
            </w:tcBorders>
          </w:tcPr>
          <w:p w:rsidR="00000000" w:rsidRDefault="00000000">
            <w:r>
              <w:t>Oct. 1999</w:t>
            </w:r>
          </w:p>
        </w:tc>
        <w:tc>
          <w:tcPr>
            <w:tcW w:w="2268" w:type="dxa"/>
            <w:tcBorders>
              <w:top w:val="nil"/>
              <w:left w:val="single" w:sz="4" w:space="0" w:color="auto"/>
              <w:bottom w:val="nil"/>
              <w:right w:val="single" w:sz="4" w:space="0" w:color="auto"/>
            </w:tcBorders>
          </w:tcPr>
          <w:p w:rsidR="00000000" w:rsidRDefault="00000000">
            <w:pPr>
              <w:jc w:val="center"/>
            </w:pPr>
            <w:r>
              <w:t>53.92</w:t>
            </w:r>
          </w:p>
        </w:tc>
        <w:tc>
          <w:tcPr>
            <w:tcW w:w="2409" w:type="dxa"/>
            <w:tcBorders>
              <w:top w:val="nil"/>
              <w:left w:val="single" w:sz="4" w:space="0" w:color="auto"/>
              <w:bottom w:val="nil"/>
              <w:right w:val="single" w:sz="4" w:space="0" w:color="auto"/>
            </w:tcBorders>
          </w:tcPr>
          <w:p w:rsidR="00000000" w:rsidRDefault="00000000">
            <w:pPr>
              <w:jc w:val="center"/>
            </w:pPr>
            <w:r>
              <w:t>46.08</w:t>
            </w:r>
          </w:p>
        </w:tc>
      </w:tr>
      <w:tr w:rsidR="00000000">
        <w:tc>
          <w:tcPr>
            <w:tcW w:w="2410" w:type="dxa"/>
            <w:tcBorders>
              <w:top w:val="nil"/>
              <w:left w:val="single" w:sz="4" w:space="0" w:color="auto"/>
              <w:bottom w:val="nil"/>
              <w:right w:val="single" w:sz="4" w:space="0" w:color="auto"/>
            </w:tcBorders>
          </w:tcPr>
          <w:p w:rsidR="00000000" w:rsidRDefault="00000000">
            <w:r>
              <w:t>Nov. 1999</w:t>
            </w:r>
          </w:p>
        </w:tc>
        <w:tc>
          <w:tcPr>
            <w:tcW w:w="2268" w:type="dxa"/>
            <w:tcBorders>
              <w:top w:val="nil"/>
              <w:left w:val="single" w:sz="4" w:space="0" w:color="auto"/>
              <w:bottom w:val="nil"/>
              <w:right w:val="single" w:sz="4" w:space="0" w:color="auto"/>
            </w:tcBorders>
          </w:tcPr>
          <w:p w:rsidR="00000000" w:rsidRDefault="00000000">
            <w:pPr>
              <w:jc w:val="center"/>
            </w:pPr>
            <w:r>
              <w:t>53.52</w:t>
            </w:r>
          </w:p>
        </w:tc>
        <w:tc>
          <w:tcPr>
            <w:tcW w:w="2409" w:type="dxa"/>
            <w:tcBorders>
              <w:top w:val="nil"/>
              <w:left w:val="single" w:sz="4" w:space="0" w:color="auto"/>
              <w:bottom w:val="nil"/>
              <w:right w:val="single" w:sz="4" w:space="0" w:color="auto"/>
            </w:tcBorders>
          </w:tcPr>
          <w:p w:rsidR="00000000" w:rsidRDefault="00000000">
            <w:pPr>
              <w:jc w:val="center"/>
            </w:pPr>
            <w:r>
              <w:t>46.48</w:t>
            </w:r>
          </w:p>
        </w:tc>
      </w:tr>
      <w:tr w:rsidR="00000000">
        <w:tc>
          <w:tcPr>
            <w:tcW w:w="2410" w:type="dxa"/>
            <w:tcBorders>
              <w:top w:val="nil"/>
              <w:left w:val="single" w:sz="4" w:space="0" w:color="auto"/>
              <w:bottom w:val="nil"/>
              <w:right w:val="single" w:sz="4" w:space="0" w:color="auto"/>
            </w:tcBorders>
          </w:tcPr>
          <w:p w:rsidR="00000000" w:rsidRDefault="00000000">
            <w:r>
              <w:t>Dec. 1999</w:t>
            </w:r>
          </w:p>
        </w:tc>
        <w:tc>
          <w:tcPr>
            <w:tcW w:w="2268" w:type="dxa"/>
            <w:tcBorders>
              <w:top w:val="nil"/>
              <w:left w:val="single" w:sz="4" w:space="0" w:color="auto"/>
              <w:bottom w:val="nil"/>
              <w:right w:val="single" w:sz="4" w:space="0" w:color="auto"/>
            </w:tcBorders>
          </w:tcPr>
          <w:p w:rsidR="00000000" w:rsidRDefault="00000000">
            <w:pPr>
              <w:jc w:val="center"/>
            </w:pPr>
            <w:r>
              <w:t>53.42</w:t>
            </w:r>
          </w:p>
        </w:tc>
        <w:tc>
          <w:tcPr>
            <w:tcW w:w="2409" w:type="dxa"/>
            <w:tcBorders>
              <w:top w:val="nil"/>
              <w:left w:val="single" w:sz="4" w:space="0" w:color="auto"/>
              <w:bottom w:val="nil"/>
              <w:right w:val="single" w:sz="4" w:space="0" w:color="auto"/>
            </w:tcBorders>
          </w:tcPr>
          <w:p w:rsidR="00000000" w:rsidRDefault="00000000">
            <w:pPr>
              <w:jc w:val="center"/>
            </w:pPr>
            <w:r>
              <w:t>46.48</w:t>
            </w:r>
          </w:p>
        </w:tc>
      </w:tr>
      <w:tr w:rsidR="00000000">
        <w:tc>
          <w:tcPr>
            <w:tcW w:w="2410" w:type="dxa"/>
            <w:tcBorders>
              <w:top w:val="nil"/>
              <w:left w:val="single" w:sz="4" w:space="0" w:color="auto"/>
              <w:bottom w:val="nil"/>
              <w:right w:val="single" w:sz="4" w:space="0" w:color="auto"/>
            </w:tcBorders>
          </w:tcPr>
          <w:p w:rsidR="00000000" w:rsidRDefault="00000000">
            <w:r>
              <w:t>Jan. 2000</w:t>
            </w:r>
          </w:p>
        </w:tc>
        <w:tc>
          <w:tcPr>
            <w:tcW w:w="2268" w:type="dxa"/>
            <w:tcBorders>
              <w:top w:val="nil"/>
              <w:left w:val="single" w:sz="4" w:space="0" w:color="auto"/>
              <w:bottom w:val="nil"/>
              <w:right w:val="single" w:sz="4" w:space="0" w:color="auto"/>
            </w:tcBorders>
          </w:tcPr>
          <w:p w:rsidR="00000000" w:rsidRDefault="00000000">
            <w:pPr>
              <w:jc w:val="center"/>
            </w:pPr>
            <w:r>
              <w:t>52.10</w:t>
            </w:r>
          </w:p>
        </w:tc>
        <w:tc>
          <w:tcPr>
            <w:tcW w:w="2409" w:type="dxa"/>
            <w:tcBorders>
              <w:top w:val="nil"/>
              <w:left w:val="single" w:sz="4" w:space="0" w:color="auto"/>
              <w:bottom w:val="nil"/>
              <w:right w:val="single" w:sz="4" w:space="0" w:color="auto"/>
            </w:tcBorders>
          </w:tcPr>
          <w:p w:rsidR="00000000" w:rsidRDefault="00000000">
            <w:pPr>
              <w:jc w:val="center"/>
            </w:pPr>
            <w:r>
              <w:t>47.90</w:t>
            </w:r>
          </w:p>
        </w:tc>
      </w:tr>
      <w:tr w:rsidR="00000000">
        <w:tc>
          <w:tcPr>
            <w:tcW w:w="2410" w:type="dxa"/>
            <w:tcBorders>
              <w:top w:val="nil"/>
              <w:left w:val="single" w:sz="4" w:space="0" w:color="auto"/>
              <w:bottom w:val="nil"/>
              <w:right w:val="single" w:sz="4" w:space="0" w:color="auto"/>
            </w:tcBorders>
          </w:tcPr>
          <w:p w:rsidR="00000000" w:rsidRDefault="00000000">
            <w:r>
              <w:t>Feb. 2000</w:t>
            </w:r>
          </w:p>
        </w:tc>
        <w:tc>
          <w:tcPr>
            <w:tcW w:w="2268" w:type="dxa"/>
            <w:tcBorders>
              <w:top w:val="nil"/>
              <w:left w:val="single" w:sz="4" w:space="0" w:color="auto"/>
              <w:bottom w:val="nil"/>
              <w:right w:val="single" w:sz="4" w:space="0" w:color="auto"/>
            </w:tcBorders>
          </w:tcPr>
          <w:p w:rsidR="00000000" w:rsidRDefault="00000000">
            <w:pPr>
              <w:jc w:val="center"/>
            </w:pPr>
            <w:r>
              <w:t>51.83</w:t>
            </w:r>
          </w:p>
        </w:tc>
        <w:tc>
          <w:tcPr>
            <w:tcW w:w="2409" w:type="dxa"/>
            <w:tcBorders>
              <w:top w:val="nil"/>
              <w:left w:val="single" w:sz="4" w:space="0" w:color="auto"/>
              <w:bottom w:val="nil"/>
              <w:right w:val="single" w:sz="4" w:space="0" w:color="auto"/>
            </w:tcBorders>
          </w:tcPr>
          <w:p w:rsidR="00000000" w:rsidRDefault="00000000">
            <w:pPr>
              <w:jc w:val="center"/>
            </w:pPr>
            <w:r>
              <w:t>48.17</w:t>
            </w:r>
          </w:p>
        </w:tc>
      </w:tr>
      <w:tr w:rsidR="00000000">
        <w:tc>
          <w:tcPr>
            <w:tcW w:w="2410" w:type="dxa"/>
            <w:tcBorders>
              <w:top w:val="nil"/>
              <w:left w:val="single" w:sz="4" w:space="0" w:color="auto"/>
              <w:bottom w:val="nil"/>
              <w:right w:val="single" w:sz="4" w:space="0" w:color="auto"/>
            </w:tcBorders>
          </w:tcPr>
          <w:p w:rsidR="00000000" w:rsidRDefault="00000000">
            <w:r>
              <w:t>Mar. 2000</w:t>
            </w:r>
          </w:p>
        </w:tc>
        <w:tc>
          <w:tcPr>
            <w:tcW w:w="2268" w:type="dxa"/>
            <w:tcBorders>
              <w:top w:val="nil"/>
              <w:left w:val="single" w:sz="4" w:space="0" w:color="auto"/>
              <w:bottom w:val="nil"/>
              <w:right w:val="single" w:sz="4" w:space="0" w:color="auto"/>
            </w:tcBorders>
          </w:tcPr>
          <w:p w:rsidR="00000000" w:rsidRDefault="00000000">
            <w:pPr>
              <w:jc w:val="center"/>
            </w:pPr>
            <w:r>
              <w:t>53.45</w:t>
            </w:r>
          </w:p>
        </w:tc>
        <w:tc>
          <w:tcPr>
            <w:tcW w:w="2409" w:type="dxa"/>
            <w:tcBorders>
              <w:top w:val="nil"/>
              <w:left w:val="single" w:sz="4" w:space="0" w:color="auto"/>
              <w:bottom w:val="nil"/>
              <w:right w:val="single" w:sz="4" w:space="0" w:color="auto"/>
            </w:tcBorders>
          </w:tcPr>
          <w:p w:rsidR="00000000" w:rsidRDefault="00000000">
            <w:pPr>
              <w:jc w:val="center"/>
            </w:pPr>
            <w:r>
              <w:t>46.55</w:t>
            </w:r>
          </w:p>
        </w:tc>
      </w:tr>
      <w:tr w:rsidR="00000000">
        <w:tc>
          <w:tcPr>
            <w:tcW w:w="2410" w:type="dxa"/>
            <w:tcBorders>
              <w:top w:val="nil"/>
              <w:left w:val="single" w:sz="4" w:space="0" w:color="auto"/>
              <w:bottom w:val="nil"/>
              <w:right w:val="single" w:sz="4" w:space="0" w:color="auto"/>
            </w:tcBorders>
          </w:tcPr>
          <w:p w:rsidR="00000000" w:rsidRDefault="00000000">
            <w:r>
              <w:t>Apr. 2000</w:t>
            </w:r>
          </w:p>
        </w:tc>
        <w:tc>
          <w:tcPr>
            <w:tcW w:w="2268" w:type="dxa"/>
            <w:tcBorders>
              <w:top w:val="nil"/>
              <w:left w:val="single" w:sz="4" w:space="0" w:color="auto"/>
              <w:bottom w:val="nil"/>
              <w:right w:val="single" w:sz="4" w:space="0" w:color="auto"/>
            </w:tcBorders>
          </w:tcPr>
          <w:p w:rsidR="00000000" w:rsidRDefault="00000000">
            <w:pPr>
              <w:jc w:val="center"/>
            </w:pPr>
            <w:r>
              <w:t>53.45</w:t>
            </w:r>
          </w:p>
        </w:tc>
        <w:tc>
          <w:tcPr>
            <w:tcW w:w="2409" w:type="dxa"/>
            <w:tcBorders>
              <w:top w:val="nil"/>
              <w:left w:val="single" w:sz="4" w:space="0" w:color="auto"/>
              <w:bottom w:val="nil"/>
              <w:right w:val="single" w:sz="4" w:space="0" w:color="auto"/>
            </w:tcBorders>
          </w:tcPr>
          <w:p w:rsidR="00000000" w:rsidRDefault="00000000">
            <w:pPr>
              <w:jc w:val="center"/>
            </w:pPr>
            <w:r>
              <w:t>46.55</w:t>
            </w:r>
          </w:p>
        </w:tc>
      </w:tr>
      <w:tr w:rsidR="00000000">
        <w:tc>
          <w:tcPr>
            <w:tcW w:w="2410" w:type="dxa"/>
            <w:tcBorders>
              <w:top w:val="nil"/>
              <w:left w:val="single" w:sz="4" w:space="0" w:color="auto"/>
              <w:bottom w:val="single" w:sz="4" w:space="0" w:color="auto"/>
              <w:right w:val="single" w:sz="4" w:space="0" w:color="auto"/>
            </w:tcBorders>
          </w:tcPr>
          <w:p w:rsidR="00000000" w:rsidRDefault="00000000">
            <w:pPr>
              <w:rPr>
                <w:iCs/>
              </w:rPr>
            </w:pPr>
            <w:r>
              <w:rPr>
                <w:iCs/>
              </w:rPr>
              <w:t>Jan.</w:t>
            </w:r>
            <w:r>
              <w:rPr>
                <w:iCs/>
              </w:rPr>
              <w:noBreakHyphen/>
              <w:t>Apr. 2000</w:t>
            </w:r>
          </w:p>
        </w:tc>
        <w:tc>
          <w:tcPr>
            <w:tcW w:w="2268" w:type="dxa"/>
            <w:tcBorders>
              <w:top w:val="nil"/>
              <w:left w:val="single" w:sz="4" w:space="0" w:color="auto"/>
              <w:bottom w:val="single" w:sz="4" w:space="0" w:color="auto"/>
              <w:right w:val="single" w:sz="4" w:space="0" w:color="auto"/>
            </w:tcBorders>
          </w:tcPr>
          <w:p w:rsidR="00000000" w:rsidRDefault="00000000">
            <w:pPr>
              <w:jc w:val="center"/>
              <w:rPr>
                <w:iCs/>
              </w:rPr>
            </w:pPr>
            <w:r>
              <w:rPr>
                <w:iCs/>
              </w:rPr>
              <w:t>52.54</w:t>
            </w:r>
          </w:p>
        </w:tc>
        <w:tc>
          <w:tcPr>
            <w:tcW w:w="2409" w:type="dxa"/>
            <w:tcBorders>
              <w:top w:val="nil"/>
              <w:left w:val="single" w:sz="4" w:space="0" w:color="auto"/>
              <w:bottom w:val="single" w:sz="4" w:space="0" w:color="auto"/>
              <w:right w:val="single" w:sz="4" w:space="0" w:color="auto"/>
            </w:tcBorders>
          </w:tcPr>
          <w:p w:rsidR="00000000" w:rsidRDefault="00000000">
            <w:pPr>
              <w:jc w:val="center"/>
            </w:pPr>
            <w:r>
              <w:t>47</w:t>
            </w:r>
            <w:r>
              <w:rPr>
                <w:iCs/>
              </w:rPr>
              <w:t>.</w:t>
            </w:r>
            <w:r>
              <w:t>46</w:t>
            </w:r>
          </w:p>
        </w:tc>
      </w:tr>
    </w:tbl>
    <w:p w:rsidR="00000000" w:rsidRDefault="00000000">
      <w:pPr>
        <w:jc w:val="center"/>
        <w:rPr>
          <w:kern w:val="2"/>
        </w:rPr>
      </w:pPr>
    </w:p>
    <w:p w:rsidR="00000000" w:rsidRDefault="00000000">
      <w:pPr>
        <w:spacing w:line="360" w:lineRule="auto"/>
        <w:rPr>
          <w:kern w:val="2"/>
        </w:rPr>
      </w:pPr>
      <w:r>
        <w:rPr>
          <w:kern w:val="2"/>
        </w:rPr>
        <w:tab/>
      </w:r>
      <w:r>
        <w:rPr>
          <w:kern w:val="2"/>
        </w:rPr>
        <w:tab/>
      </w:r>
      <w:r>
        <w:rPr>
          <w:kern w:val="2"/>
          <w:u w:val="single"/>
        </w:rPr>
        <w:t>Source</w:t>
      </w:r>
      <w:r>
        <w:rPr>
          <w:kern w:val="2"/>
        </w:rPr>
        <w:t xml:space="preserve">:  Ministry of Labour and Employment </w:t>
      </w:r>
      <w:r>
        <w:rPr>
          <w:kern w:val="2"/>
        </w:rPr>
        <w:noBreakHyphen/>
        <w:t xml:space="preserve"> data from SME/IBGE. </w:t>
      </w:r>
    </w:p>
    <w:p w:rsidR="00000000" w:rsidRDefault="00000000">
      <w:pPr>
        <w:rPr>
          <w:kern w:val="2"/>
        </w:rPr>
      </w:pPr>
      <w:r>
        <w:rPr>
          <w:kern w:val="2"/>
        </w:rPr>
        <w:tab/>
      </w:r>
      <w:r>
        <w:rPr>
          <w:kern w:val="2"/>
        </w:rPr>
        <w:tab/>
        <w:t xml:space="preserve">Journal </w:t>
      </w:r>
      <w:r>
        <w:rPr>
          <w:kern w:val="2"/>
          <w:u w:val="single"/>
        </w:rPr>
        <w:t xml:space="preserve">Mercado de Trabalho </w:t>
      </w:r>
      <w:r>
        <w:rPr>
          <w:kern w:val="2"/>
          <w:u w:val="single"/>
        </w:rPr>
        <w:noBreakHyphen/>
        <w:t xml:space="preserve"> Conjuntura e Análise</w:t>
      </w:r>
      <w:r>
        <w:rPr>
          <w:kern w:val="2"/>
        </w:rPr>
        <w:t xml:space="preserve">, </w:t>
      </w:r>
      <w:r>
        <w:rPr>
          <w:kern w:val="2"/>
        </w:rPr>
        <w:noBreakHyphen/>
        <w:t xml:space="preserve"> Year 5, June 2000.</w:t>
      </w:r>
    </w:p>
    <w:p w:rsidR="00000000" w:rsidRDefault="00000000">
      <w:pPr>
        <w:pStyle w:val="Heading1"/>
        <w:rPr>
          <w:kern w:val="2"/>
        </w:rPr>
      </w:pPr>
    </w:p>
    <w:p w:rsidR="00000000" w:rsidRDefault="00000000">
      <w:pPr>
        <w:pStyle w:val="Heading1"/>
        <w:rPr>
          <w:kern w:val="2"/>
        </w:rPr>
      </w:pPr>
      <w:r>
        <w:rPr>
          <w:kern w:val="2"/>
        </w:rPr>
        <w:br w:type="page"/>
        <w:t>Table 25</w:t>
      </w:r>
    </w:p>
    <w:p w:rsidR="00000000" w:rsidRDefault="00000000">
      <w:pPr>
        <w:pStyle w:val="Heading1"/>
        <w:rPr>
          <w:kern w:val="2"/>
        </w:rPr>
      </w:pPr>
    </w:p>
    <w:p w:rsidR="00000000" w:rsidRDefault="00000000">
      <w:pPr>
        <w:pStyle w:val="Heading1"/>
        <w:rPr>
          <w:kern w:val="2"/>
        </w:rPr>
      </w:pPr>
      <w:r>
        <w:rPr>
          <w:kern w:val="2"/>
        </w:rPr>
        <w:t xml:space="preserve">Unemployment rate by position in the family (%) </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08"/>
        <w:gridCol w:w="1283"/>
        <w:gridCol w:w="1276"/>
        <w:gridCol w:w="1436"/>
        <w:gridCol w:w="1227"/>
      </w:tblGrid>
      <w:tr w:rsidR="00000000">
        <w:tblPrEx>
          <w:tblCellMar>
            <w:top w:w="0" w:type="dxa"/>
            <w:bottom w:w="0" w:type="dxa"/>
          </w:tblCellMar>
        </w:tblPrEx>
        <w:trPr>
          <w:jc w:val="center"/>
        </w:trPr>
        <w:tc>
          <w:tcPr>
            <w:tcW w:w="1808" w:type="dxa"/>
            <w:tcBorders>
              <w:top w:val="single" w:sz="4" w:space="0" w:color="auto"/>
              <w:bottom w:val="single" w:sz="4" w:space="0" w:color="auto"/>
            </w:tcBorders>
          </w:tcPr>
          <w:p w:rsidR="00000000" w:rsidRDefault="00000000">
            <w:pPr>
              <w:jc w:val="center"/>
            </w:pPr>
            <w:r>
              <w:t>Average</w:t>
            </w:r>
          </w:p>
        </w:tc>
        <w:tc>
          <w:tcPr>
            <w:tcW w:w="1283" w:type="dxa"/>
            <w:tcBorders>
              <w:top w:val="single" w:sz="4" w:space="0" w:color="auto"/>
              <w:bottom w:val="single" w:sz="4" w:space="0" w:color="auto"/>
            </w:tcBorders>
          </w:tcPr>
          <w:p w:rsidR="00000000" w:rsidRDefault="00000000">
            <w:pPr>
              <w:jc w:val="center"/>
            </w:pPr>
            <w:r>
              <w:t>Head</w:t>
            </w:r>
          </w:p>
        </w:tc>
        <w:tc>
          <w:tcPr>
            <w:tcW w:w="1276" w:type="dxa"/>
            <w:tcBorders>
              <w:top w:val="single" w:sz="4" w:space="0" w:color="auto"/>
              <w:bottom w:val="single" w:sz="4" w:space="0" w:color="auto"/>
            </w:tcBorders>
          </w:tcPr>
          <w:p w:rsidR="00000000" w:rsidRDefault="00000000">
            <w:pPr>
              <w:jc w:val="center"/>
            </w:pPr>
            <w:r>
              <w:t>Spouse</w:t>
            </w:r>
          </w:p>
        </w:tc>
        <w:tc>
          <w:tcPr>
            <w:tcW w:w="1436" w:type="dxa"/>
            <w:tcBorders>
              <w:top w:val="single" w:sz="4" w:space="0" w:color="auto"/>
              <w:bottom w:val="single" w:sz="4" w:space="0" w:color="auto"/>
            </w:tcBorders>
          </w:tcPr>
          <w:p w:rsidR="00000000" w:rsidRDefault="00000000">
            <w:pPr>
              <w:ind w:left="188"/>
              <w:jc w:val="center"/>
            </w:pPr>
            <w:r>
              <w:t>Offspring</w:t>
            </w:r>
          </w:p>
        </w:tc>
        <w:tc>
          <w:tcPr>
            <w:tcW w:w="1227" w:type="dxa"/>
            <w:tcBorders>
              <w:top w:val="single" w:sz="4" w:space="0" w:color="auto"/>
              <w:bottom w:val="single" w:sz="4" w:space="0" w:color="auto"/>
            </w:tcBorders>
          </w:tcPr>
          <w:p w:rsidR="00000000" w:rsidRDefault="00000000">
            <w:pPr>
              <w:jc w:val="center"/>
            </w:pPr>
            <w:r>
              <w:t>Others</w:t>
            </w:r>
          </w:p>
        </w:tc>
      </w:tr>
      <w:tr w:rsidR="00000000">
        <w:tblPrEx>
          <w:tblCellMar>
            <w:top w:w="0" w:type="dxa"/>
            <w:bottom w:w="0" w:type="dxa"/>
          </w:tblCellMar>
        </w:tblPrEx>
        <w:trPr>
          <w:jc w:val="center"/>
        </w:trPr>
        <w:tc>
          <w:tcPr>
            <w:tcW w:w="1808" w:type="dxa"/>
            <w:tcBorders>
              <w:top w:val="single" w:sz="4" w:space="0" w:color="auto"/>
            </w:tcBorders>
          </w:tcPr>
          <w:p w:rsidR="00000000" w:rsidRDefault="00000000">
            <w:r>
              <w:t>1991</w:t>
            </w:r>
          </w:p>
        </w:tc>
        <w:tc>
          <w:tcPr>
            <w:tcW w:w="1283" w:type="dxa"/>
            <w:tcBorders>
              <w:top w:val="single" w:sz="4" w:space="0" w:color="auto"/>
            </w:tcBorders>
          </w:tcPr>
          <w:p w:rsidR="00000000" w:rsidRDefault="00000000">
            <w:pPr>
              <w:ind w:right="323"/>
              <w:jc w:val="right"/>
            </w:pPr>
            <w:r>
              <w:t>3</w:t>
            </w:r>
            <w:r>
              <w:rPr>
                <w:iCs/>
              </w:rPr>
              <w:t>.</w:t>
            </w:r>
            <w:r>
              <w:t>08</w:t>
            </w:r>
          </w:p>
        </w:tc>
        <w:tc>
          <w:tcPr>
            <w:tcW w:w="1276" w:type="dxa"/>
            <w:tcBorders>
              <w:top w:val="single" w:sz="4" w:space="0" w:color="auto"/>
            </w:tcBorders>
          </w:tcPr>
          <w:p w:rsidR="00000000" w:rsidRDefault="00000000">
            <w:pPr>
              <w:ind w:right="316"/>
              <w:jc w:val="right"/>
            </w:pPr>
            <w:r>
              <w:t>2</w:t>
            </w:r>
            <w:r>
              <w:rPr>
                <w:iCs/>
              </w:rPr>
              <w:t>.</w:t>
            </w:r>
            <w:r>
              <w:t>59</w:t>
            </w:r>
          </w:p>
        </w:tc>
        <w:tc>
          <w:tcPr>
            <w:tcW w:w="1436" w:type="dxa"/>
            <w:tcBorders>
              <w:top w:val="single" w:sz="4" w:space="0" w:color="auto"/>
            </w:tcBorders>
          </w:tcPr>
          <w:p w:rsidR="00000000" w:rsidRDefault="00000000">
            <w:pPr>
              <w:ind w:right="374"/>
              <w:jc w:val="right"/>
            </w:pPr>
            <w:r>
              <w:t xml:space="preserve"> 9</w:t>
            </w:r>
            <w:r>
              <w:rPr>
                <w:iCs/>
              </w:rPr>
              <w:t>.</w:t>
            </w:r>
            <w:r>
              <w:t>38</w:t>
            </w:r>
          </w:p>
        </w:tc>
        <w:tc>
          <w:tcPr>
            <w:tcW w:w="1227" w:type="dxa"/>
            <w:tcBorders>
              <w:top w:val="single" w:sz="4" w:space="0" w:color="auto"/>
            </w:tcBorders>
          </w:tcPr>
          <w:p w:rsidR="00000000" w:rsidRDefault="00000000">
            <w:pPr>
              <w:ind w:right="267"/>
              <w:jc w:val="right"/>
            </w:pPr>
            <w:r>
              <w:t>6</w:t>
            </w:r>
            <w:r>
              <w:rPr>
                <w:iCs/>
              </w:rPr>
              <w:t>.</w:t>
            </w:r>
            <w:r>
              <w:t>16</w:t>
            </w:r>
          </w:p>
        </w:tc>
      </w:tr>
      <w:tr w:rsidR="00000000">
        <w:tblPrEx>
          <w:tblCellMar>
            <w:top w:w="0" w:type="dxa"/>
            <w:bottom w:w="0" w:type="dxa"/>
          </w:tblCellMar>
        </w:tblPrEx>
        <w:trPr>
          <w:jc w:val="center"/>
        </w:trPr>
        <w:tc>
          <w:tcPr>
            <w:tcW w:w="1808" w:type="dxa"/>
          </w:tcPr>
          <w:p w:rsidR="00000000" w:rsidRDefault="00000000">
            <w:r>
              <w:t>1992</w:t>
            </w:r>
          </w:p>
        </w:tc>
        <w:tc>
          <w:tcPr>
            <w:tcW w:w="1283" w:type="dxa"/>
          </w:tcPr>
          <w:p w:rsidR="00000000" w:rsidRDefault="00000000">
            <w:pPr>
              <w:ind w:right="323"/>
              <w:jc w:val="right"/>
            </w:pPr>
            <w:r>
              <w:t>3</w:t>
            </w:r>
            <w:r>
              <w:rPr>
                <w:iCs/>
              </w:rPr>
              <w:t>.</w:t>
            </w:r>
            <w:r>
              <w:t>66</w:t>
            </w:r>
          </w:p>
        </w:tc>
        <w:tc>
          <w:tcPr>
            <w:tcW w:w="1276" w:type="dxa"/>
          </w:tcPr>
          <w:p w:rsidR="00000000" w:rsidRDefault="00000000">
            <w:pPr>
              <w:ind w:right="316"/>
              <w:jc w:val="right"/>
            </w:pPr>
            <w:r>
              <w:t>3</w:t>
            </w:r>
            <w:r>
              <w:rPr>
                <w:iCs/>
              </w:rPr>
              <w:t>.</w:t>
            </w:r>
            <w:r>
              <w:t>38</w:t>
            </w:r>
          </w:p>
        </w:tc>
        <w:tc>
          <w:tcPr>
            <w:tcW w:w="1436" w:type="dxa"/>
          </w:tcPr>
          <w:p w:rsidR="00000000" w:rsidRDefault="00000000">
            <w:pPr>
              <w:ind w:right="374"/>
              <w:jc w:val="right"/>
            </w:pPr>
            <w:r>
              <w:t>11</w:t>
            </w:r>
            <w:r>
              <w:rPr>
                <w:iCs/>
              </w:rPr>
              <w:t>.</w:t>
            </w:r>
            <w:r>
              <w:t>01</w:t>
            </w:r>
          </w:p>
        </w:tc>
        <w:tc>
          <w:tcPr>
            <w:tcW w:w="1227" w:type="dxa"/>
          </w:tcPr>
          <w:p w:rsidR="00000000" w:rsidRDefault="00000000">
            <w:pPr>
              <w:ind w:right="267"/>
              <w:jc w:val="right"/>
            </w:pPr>
            <w:r>
              <w:t>7</w:t>
            </w:r>
            <w:r>
              <w:rPr>
                <w:iCs/>
              </w:rPr>
              <w:t>.</w:t>
            </w:r>
            <w:r>
              <w:t>16</w:t>
            </w:r>
          </w:p>
        </w:tc>
      </w:tr>
      <w:tr w:rsidR="00000000">
        <w:tblPrEx>
          <w:tblCellMar>
            <w:top w:w="0" w:type="dxa"/>
            <w:bottom w:w="0" w:type="dxa"/>
          </w:tblCellMar>
        </w:tblPrEx>
        <w:trPr>
          <w:jc w:val="center"/>
        </w:trPr>
        <w:tc>
          <w:tcPr>
            <w:tcW w:w="1808" w:type="dxa"/>
          </w:tcPr>
          <w:p w:rsidR="00000000" w:rsidRDefault="00000000">
            <w:r>
              <w:t>1993</w:t>
            </w:r>
          </w:p>
        </w:tc>
        <w:tc>
          <w:tcPr>
            <w:tcW w:w="1283" w:type="dxa"/>
          </w:tcPr>
          <w:p w:rsidR="00000000" w:rsidRDefault="00000000">
            <w:pPr>
              <w:ind w:right="323"/>
              <w:jc w:val="right"/>
            </w:pPr>
            <w:r>
              <w:t>3</w:t>
            </w:r>
            <w:r>
              <w:rPr>
                <w:iCs/>
              </w:rPr>
              <w:t>.</w:t>
            </w:r>
            <w:r>
              <w:t>39</w:t>
            </w:r>
          </w:p>
        </w:tc>
        <w:tc>
          <w:tcPr>
            <w:tcW w:w="1276" w:type="dxa"/>
          </w:tcPr>
          <w:p w:rsidR="00000000" w:rsidRDefault="00000000">
            <w:pPr>
              <w:ind w:right="316"/>
              <w:jc w:val="right"/>
            </w:pPr>
            <w:r>
              <w:t>3</w:t>
            </w:r>
            <w:r>
              <w:rPr>
                <w:iCs/>
              </w:rPr>
              <w:t>.</w:t>
            </w:r>
            <w:r>
              <w:t>08</w:t>
            </w:r>
          </w:p>
        </w:tc>
        <w:tc>
          <w:tcPr>
            <w:tcW w:w="1436" w:type="dxa"/>
          </w:tcPr>
          <w:p w:rsidR="00000000" w:rsidRDefault="00000000">
            <w:pPr>
              <w:ind w:right="374"/>
              <w:jc w:val="right"/>
            </w:pPr>
            <w:r>
              <w:t>10</w:t>
            </w:r>
            <w:r>
              <w:rPr>
                <w:iCs/>
              </w:rPr>
              <w:t>.</w:t>
            </w:r>
            <w:r>
              <w:t>04</w:t>
            </w:r>
          </w:p>
        </w:tc>
        <w:tc>
          <w:tcPr>
            <w:tcW w:w="1227" w:type="dxa"/>
          </w:tcPr>
          <w:p w:rsidR="00000000" w:rsidRDefault="00000000">
            <w:pPr>
              <w:ind w:right="267"/>
              <w:jc w:val="right"/>
            </w:pPr>
            <w:r>
              <w:t>6</w:t>
            </w:r>
            <w:r>
              <w:rPr>
                <w:iCs/>
              </w:rPr>
              <w:t>.</w:t>
            </w:r>
            <w:r>
              <w:t>83</w:t>
            </w:r>
          </w:p>
        </w:tc>
      </w:tr>
      <w:tr w:rsidR="00000000">
        <w:tblPrEx>
          <w:tblCellMar>
            <w:top w:w="0" w:type="dxa"/>
            <w:bottom w:w="0" w:type="dxa"/>
          </w:tblCellMar>
        </w:tblPrEx>
        <w:trPr>
          <w:jc w:val="center"/>
        </w:trPr>
        <w:tc>
          <w:tcPr>
            <w:tcW w:w="1808" w:type="dxa"/>
          </w:tcPr>
          <w:p w:rsidR="00000000" w:rsidRDefault="00000000">
            <w:r>
              <w:t>1994</w:t>
            </w:r>
          </w:p>
        </w:tc>
        <w:tc>
          <w:tcPr>
            <w:tcW w:w="1283" w:type="dxa"/>
          </w:tcPr>
          <w:p w:rsidR="00000000" w:rsidRDefault="00000000">
            <w:pPr>
              <w:ind w:right="323"/>
              <w:jc w:val="right"/>
            </w:pPr>
            <w:r>
              <w:t>3.22</w:t>
            </w:r>
          </w:p>
        </w:tc>
        <w:tc>
          <w:tcPr>
            <w:tcW w:w="1276" w:type="dxa"/>
          </w:tcPr>
          <w:p w:rsidR="00000000" w:rsidRDefault="00000000">
            <w:pPr>
              <w:ind w:right="316"/>
              <w:jc w:val="right"/>
            </w:pPr>
            <w:r>
              <w:t>3.11</w:t>
            </w:r>
          </w:p>
        </w:tc>
        <w:tc>
          <w:tcPr>
            <w:tcW w:w="1436" w:type="dxa"/>
          </w:tcPr>
          <w:p w:rsidR="00000000" w:rsidRDefault="00000000">
            <w:pPr>
              <w:ind w:right="374"/>
              <w:jc w:val="right"/>
            </w:pPr>
            <w:r>
              <w:t>9.72</w:t>
            </w:r>
          </w:p>
        </w:tc>
        <w:tc>
          <w:tcPr>
            <w:tcW w:w="1227" w:type="dxa"/>
          </w:tcPr>
          <w:p w:rsidR="00000000" w:rsidRDefault="00000000">
            <w:pPr>
              <w:ind w:right="267"/>
              <w:jc w:val="right"/>
            </w:pPr>
            <w:r>
              <w:t>6.68</w:t>
            </w:r>
          </w:p>
        </w:tc>
      </w:tr>
      <w:tr w:rsidR="00000000">
        <w:tblPrEx>
          <w:tblCellMar>
            <w:top w:w="0" w:type="dxa"/>
            <w:bottom w:w="0" w:type="dxa"/>
          </w:tblCellMar>
        </w:tblPrEx>
        <w:trPr>
          <w:jc w:val="center"/>
        </w:trPr>
        <w:tc>
          <w:tcPr>
            <w:tcW w:w="1808" w:type="dxa"/>
          </w:tcPr>
          <w:p w:rsidR="00000000" w:rsidRDefault="00000000">
            <w:r>
              <w:t>1995</w:t>
            </w:r>
          </w:p>
        </w:tc>
        <w:tc>
          <w:tcPr>
            <w:tcW w:w="1283" w:type="dxa"/>
          </w:tcPr>
          <w:p w:rsidR="00000000" w:rsidRDefault="00000000">
            <w:pPr>
              <w:ind w:right="323"/>
              <w:jc w:val="right"/>
            </w:pPr>
            <w:r>
              <w:t>2.95</w:t>
            </w:r>
          </w:p>
        </w:tc>
        <w:tc>
          <w:tcPr>
            <w:tcW w:w="1276" w:type="dxa"/>
          </w:tcPr>
          <w:p w:rsidR="00000000" w:rsidRDefault="00000000">
            <w:pPr>
              <w:ind w:right="316"/>
              <w:jc w:val="right"/>
            </w:pPr>
            <w:r>
              <w:t>2.87</w:t>
            </w:r>
          </w:p>
        </w:tc>
        <w:tc>
          <w:tcPr>
            <w:tcW w:w="1436" w:type="dxa"/>
          </w:tcPr>
          <w:p w:rsidR="00000000" w:rsidRDefault="00000000">
            <w:pPr>
              <w:ind w:right="374"/>
              <w:jc w:val="right"/>
            </w:pPr>
            <w:r>
              <w:t>8.97</w:t>
            </w:r>
          </w:p>
        </w:tc>
        <w:tc>
          <w:tcPr>
            <w:tcW w:w="1227" w:type="dxa"/>
          </w:tcPr>
          <w:p w:rsidR="00000000" w:rsidRDefault="00000000">
            <w:pPr>
              <w:ind w:right="267"/>
              <w:jc w:val="right"/>
            </w:pPr>
            <w:r>
              <w:t>5.67</w:t>
            </w:r>
          </w:p>
        </w:tc>
      </w:tr>
      <w:tr w:rsidR="00000000">
        <w:tblPrEx>
          <w:tblCellMar>
            <w:top w:w="0" w:type="dxa"/>
            <w:bottom w:w="0" w:type="dxa"/>
          </w:tblCellMar>
        </w:tblPrEx>
        <w:trPr>
          <w:jc w:val="center"/>
        </w:trPr>
        <w:tc>
          <w:tcPr>
            <w:tcW w:w="1808" w:type="dxa"/>
          </w:tcPr>
          <w:p w:rsidR="00000000" w:rsidRDefault="00000000">
            <w:r>
              <w:t>1996</w:t>
            </w:r>
          </w:p>
        </w:tc>
        <w:tc>
          <w:tcPr>
            <w:tcW w:w="1283" w:type="dxa"/>
          </w:tcPr>
          <w:p w:rsidR="00000000" w:rsidRDefault="00000000">
            <w:pPr>
              <w:ind w:right="323"/>
              <w:jc w:val="right"/>
            </w:pPr>
            <w:r>
              <w:t>3.42</w:t>
            </w:r>
          </w:p>
        </w:tc>
        <w:tc>
          <w:tcPr>
            <w:tcW w:w="1276" w:type="dxa"/>
          </w:tcPr>
          <w:p w:rsidR="00000000" w:rsidRDefault="00000000">
            <w:pPr>
              <w:ind w:right="316"/>
              <w:jc w:val="right"/>
            </w:pPr>
            <w:r>
              <w:t>3.79</w:t>
            </w:r>
          </w:p>
        </w:tc>
        <w:tc>
          <w:tcPr>
            <w:tcW w:w="1436" w:type="dxa"/>
          </w:tcPr>
          <w:p w:rsidR="00000000" w:rsidRDefault="00000000">
            <w:pPr>
              <w:ind w:right="374"/>
              <w:jc w:val="right"/>
            </w:pPr>
            <w:r>
              <w:t>10.02</w:t>
            </w:r>
          </w:p>
        </w:tc>
        <w:tc>
          <w:tcPr>
            <w:tcW w:w="1227" w:type="dxa"/>
          </w:tcPr>
          <w:p w:rsidR="00000000" w:rsidRDefault="00000000">
            <w:pPr>
              <w:ind w:right="267"/>
              <w:jc w:val="right"/>
            </w:pPr>
            <w:r>
              <w:t>7.25</w:t>
            </w:r>
          </w:p>
        </w:tc>
      </w:tr>
      <w:tr w:rsidR="00000000">
        <w:tblPrEx>
          <w:tblCellMar>
            <w:top w:w="0" w:type="dxa"/>
            <w:bottom w:w="0" w:type="dxa"/>
          </w:tblCellMar>
        </w:tblPrEx>
        <w:trPr>
          <w:jc w:val="center"/>
        </w:trPr>
        <w:tc>
          <w:tcPr>
            <w:tcW w:w="1808" w:type="dxa"/>
          </w:tcPr>
          <w:p w:rsidR="00000000" w:rsidRDefault="00000000">
            <w:r>
              <w:t>1997</w:t>
            </w:r>
          </w:p>
        </w:tc>
        <w:tc>
          <w:tcPr>
            <w:tcW w:w="1283" w:type="dxa"/>
          </w:tcPr>
          <w:p w:rsidR="00000000" w:rsidRDefault="00000000">
            <w:pPr>
              <w:ind w:right="323"/>
              <w:jc w:val="right"/>
            </w:pPr>
            <w:r>
              <w:t>3.70</w:t>
            </w:r>
          </w:p>
        </w:tc>
        <w:tc>
          <w:tcPr>
            <w:tcW w:w="1276" w:type="dxa"/>
          </w:tcPr>
          <w:p w:rsidR="00000000" w:rsidRDefault="00000000">
            <w:pPr>
              <w:ind w:right="316"/>
              <w:jc w:val="right"/>
            </w:pPr>
            <w:r>
              <w:t>3.90</w:t>
            </w:r>
          </w:p>
        </w:tc>
        <w:tc>
          <w:tcPr>
            <w:tcW w:w="1436" w:type="dxa"/>
          </w:tcPr>
          <w:p w:rsidR="00000000" w:rsidRDefault="00000000">
            <w:pPr>
              <w:ind w:right="374"/>
              <w:jc w:val="right"/>
            </w:pPr>
            <w:r>
              <w:t>10.36</w:t>
            </w:r>
          </w:p>
        </w:tc>
        <w:tc>
          <w:tcPr>
            <w:tcW w:w="1227" w:type="dxa"/>
          </w:tcPr>
          <w:p w:rsidR="00000000" w:rsidRDefault="00000000">
            <w:pPr>
              <w:ind w:right="267"/>
              <w:jc w:val="right"/>
            </w:pPr>
            <w:r>
              <w:t>7.08</w:t>
            </w:r>
          </w:p>
        </w:tc>
      </w:tr>
      <w:tr w:rsidR="00000000">
        <w:tblPrEx>
          <w:tblCellMar>
            <w:top w:w="0" w:type="dxa"/>
            <w:bottom w:w="0" w:type="dxa"/>
          </w:tblCellMar>
        </w:tblPrEx>
        <w:trPr>
          <w:jc w:val="center"/>
        </w:trPr>
        <w:tc>
          <w:tcPr>
            <w:tcW w:w="1808" w:type="dxa"/>
          </w:tcPr>
          <w:p w:rsidR="00000000" w:rsidRDefault="00000000">
            <w:r>
              <w:t>1998</w:t>
            </w:r>
          </w:p>
        </w:tc>
        <w:tc>
          <w:tcPr>
            <w:tcW w:w="1283" w:type="dxa"/>
          </w:tcPr>
          <w:p w:rsidR="00000000" w:rsidRDefault="00000000">
            <w:pPr>
              <w:ind w:right="323"/>
              <w:jc w:val="right"/>
            </w:pPr>
            <w:r>
              <w:t>5.05</w:t>
            </w:r>
          </w:p>
        </w:tc>
        <w:tc>
          <w:tcPr>
            <w:tcW w:w="1276" w:type="dxa"/>
          </w:tcPr>
          <w:p w:rsidR="00000000" w:rsidRDefault="00000000">
            <w:pPr>
              <w:ind w:right="316"/>
              <w:jc w:val="right"/>
            </w:pPr>
            <w:r>
              <w:t>5.43</w:t>
            </w:r>
          </w:p>
        </w:tc>
        <w:tc>
          <w:tcPr>
            <w:tcW w:w="1436" w:type="dxa"/>
          </w:tcPr>
          <w:p w:rsidR="00000000" w:rsidRDefault="00000000">
            <w:pPr>
              <w:ind w:right="374"/>
              <w:jc w:val="right"/>
            </w:pPr>
            <w:r>
              <w:t>13.42</w:t>
            </w:r>
          </w:p>
        </w:tc>
        <w:tc>
          <w:tcPr>
            <w:tcW w:w="1227" w:type="dxa"/>
          </w:tcPr>
          <w:p w:rsidR="00000000" w:rsidRDefault="00000000">
            <w:pPr>
              <w:ind w:right="267"/>
              <w:jc w:val="right"/>
            </w:pPr>
            <w:r>
              <w:t>9.29</w:t>
            </w:r>
          </w:p>
        </w:tc>
      </w:tr>
      <w:tr w:rsidR="00000000">
        <w:tblPrEx>
          <w:tblCellMar>
            <w:top w:w="0" w:type="dxa"/>
            <w:bottom w:w="0" w:type="dxa"/>
          </w:tblCellMar>
        </w:tblPrEx>
        <w:trPr>
          <w:jc w:val="center"/>
        </w:trPr>
        <w:tc>
          <w:tcPr>
            <w:tcW w:w="1808" w:type="dxa"/>
          </w:tcPr>
          <w:p w:rsidR="00000000" w:rsidRDefault="00000000">
            <w:r>
              <w:t>1999</w:t>
            </w:r>
          </w:p>
        </w:tc>
        <w:tc>
          <w:tcPr>
            <w:tcW w:w="1283" w:type="dxa"/>
          </w:tcPr>
          <w:p w:rsidR="00000000" w:rsidRDefault="00000000">
            <w:pPr>
              <w:ind w:right="323"/>
              <w:jc w:val="right"/>
            </w:pPr>
            <w:r>
              <w:t>5.04</w:t>
            </w:r>
          </w:p>
        </w:tc>
        <w:tc>
          <w:tcPr>
            <w:tcW w:w="1276" w:type="dxa"/>
          </w:tcPr>
          <w:p w:rsidR="00000000" w:rsidRDefault="00000000">
            <w:pPr>
              <w:ind w:right="316"/>
              <w:jc w:val="right"/>
            </w:pPr>
            <w:r>
              <w:t>5.19</w:t>
            </w:r>
          </w:p>
        </w:tc>
        <w:tc>
          <w:tcPr>
            <w:tcW w:w="1436" w:type="dxa"/>
          </w:tcPr>
          <w:p w:rsidR="00000000" w:rsidRDefault="00000000">
            <w:pPr>
              <w:ind w:right="374"/>
              <w:jc w:val="right"/>
            </w:pPr>
            <w:r>
              <w:t>13.45</w:t>
            </w:r>
          </w:p>
        </w:tc>
        <w:tc>
          <w:tcPr>
            <w:tcW w:w="1227" w:type="dxa"/>
          </w:tcPr>
          <w:p w:rsidR="00000000" w:rsidRDefault="00000000">
            <w:pPr>
              <w:ind w:right="267"/>
              <w:jc w:val="right"/>
            </w:pPr>
            <w:r>
              <w:t>9.10</w:t>
            </w:r>
          </w:p>
        </w:tc>
      </w:tr>
      <w:tr w:rsidR="00000000">
        <w:tblPrEx>
          <w:tblCellMar>
            <w:top w:w="0" w:type="dxa"/>
            <w:bottom w:w="0" w:type="dxa"/>
          </w:tblCellMar>
        </w:tblPrEx>
        <w:trPr>
          <w:jc w:val="center"/>
        </w:trPr>
        <w:tc>
          <w:tcPr>
            <w:tcW w:w="1808" w:type="dxa"/>
          </w:tcPr>
          <w:p w:rsidR="00000000" w:rsidRDefault="00000000">
            <w:r>
              <w:t>Jan.</w:t>
            </w:r>
            <w:r>
              <w:noBreakHyphen/>
              <w:t>Apr. 1999</w:t>
            </w:r>
          </w:p>
        </w:tc>
        <w:tc>
          <w:tcPr>
            <w:tcW w:w="1283" w:type="dxa"/>
          </w:tcPr>
          <w:p w:rsidR="00000000" w:rsidRDefault="00000000">
            <w:pPr>
              <w:ind w:right="323"/>
              <w:jc w:val="right"/>
            </w:pPr>
            <w:r>
              <w:t>5.17</w:t>
            </w:r>
          </w:p>
        </w:tc>
        <w:tc>
          <w:tcPr>
            <w:tcW w:w="1276" w:type="dxa"/>
          </w:tcPr>
          <w:p w:rsidR="00000000" w:rsidRDefault="00000000">
            <w:pPr>
              <w:ind w:right="316"/>
              <w:jc w:val="right"/>
            </w:pPr>
            <w:r>
              <w:t>5.22</w:t>
            </w:r>
          </w:p>
        </w:tc>
        <w:tc>
          <w:tcPr>
            <w:tcW w:w="1436" w:type="dxa"/>
          </w:tcPr>
          <w:p w:rsidR="00000000" w:rsidRDefault="00000000">
            <w:pPr>
              <w:ind w:right="374"/>
              <w:jc w:val="right"/>
            </w:pPr>
            <w:r>
              <w:t>14.20</w:t>
            </w:r>
          </w:p>
        </w:tc>
        <w:tc>
          <w:tcPr>
            <w:tcW w:w="1227" w:type="dxa"/>
          </w:tcPr>
          <w:p w:rsidR="00000000" w:rsidRDefault="00000000">
            <w:pPr>
              <w:ind w:right="267"/>
              <w:jc w:val="right"/>
            </w:pPr>
            <w:r>
              <w:t>9.36</w:t>
            </w:r>
          </w:p>
        </w:tc>
      </w:tr>
      <w:tr w:rsidR="00000000">
        <w:tblPrEx>
          <w:tblCellMar>
            <w:top w:w="0" w:type="dxa"/>
            <w:bottom w:w="0" w:type="dxa"/>
          </w:tblCellMar>
        </w:tblPrEx>
        <w:trPr>
          <w:jc w:val="center"/>
        </w:trPr>
        <w:tc>
          <w:tcPr>
            <w:tcW w:w="1808" w:type="dxa"/>
          </w:tcPr>
          <w:p w:rsidR="00000000" w:rsidRDefault="00000000">
            <w:r>
              <w:t>Apr. 1999</w:t>
            </w:r>
          </w:p>
        </w:tc>
        <w:tc>
          <w:tcPr>
            <w:tcW w:w="1283" w:type="dxa"/>
          </w:tcPr>
          <w:p w:rsidR="00000000" w:rsidRDefault="00000000">
            <w:pPr>
              <w:ind w:right="323"/>
              <w:jc w:val="right"/>
            </w:pPr>
            <w:r>
              <w:t>5.46</w:t>
            </w:r>
          </w:p>
        </w:tc>
        <w:tc>
          <w:tcPr>
            <w:tcW w:w="1276" w:type="dxa"/>
          </w:tcPr>
          <w:p w:rsidR="00000000" w:rsidRDefault="00000000">
            <w:pPr>
              <w:ind w:right="316"/>
              <w:jc w:val="right"/>
            </w:pPr>
            <w:r>
              <w:t>5.35</w:t>
            </w:r>
          </w:p>
        </w:tc>
        <w:tc>
          <w:tcPr>
            <w:tcW w:w="1436" w:type="dxa"/>
          </w:tcPr>
          <w:p w:rsidR="00000000" w:rsidRDefault="00000000">
            <w:pPr>
              <w:ind w:right="374"/>
              <w:jc w:val="right"/>
            </w:pPr>
            <w:r>
              <w:t>14.17</w:t>
            </w:r>
          </w:p>
        </w:tc>
        <w:tc>
          <w:tcPr>
            <w:tcW w:w="1227" w:type="dxa"/>
          </w:tcPr>
          <w:p w:rsidR="00000000" w:rsidRDefault="00000000">
            <w:pPr>
              <w:ind w:right="267"/>
              <w:jc w:val="right"/>
            </w:pPr>
            <w:r>
              <w:t>9.31</w:t>
            </w:r>
          </w:p>
        </w:tc>
      </w:tr>
      <w:tr w:rsidR="00000000">
        <w:tblPrEx>
          <w:tblCellMar>
            <w:top w:w="0" w:type="dxa"/>
            <w:bottom w:w="0" w:type="dxa"/>
          </w:tblCellMar>
        </w:tblPrEx>
        <w:trPr>
          <w:jc w:val="center"/>
        </w:trPr>
        <w:tc>
          <w:tcPr>
            <w:tcW w:w="1808" w:type="dxa"/>
          </w:tcPr>
          <w:p w:rsidR="00000000" w:rsidRDefault="00000000">
            <w:r>
              <w:t>May 1999</w:t>
            </w:r>
          </w:p>
        </w:tc>
        <w:tc>
          <w:tcPr>
            <w:tcW w:w="1283" w:type="dxa"/>
          </w:tcPr>
          <w:p w:rsidR="00000000" w:rsidRDefault="00000000">
            <w:pPr>
              <w:ind w:right="323"/>
              <w:jc w:val="right"/>
            </w:pPr>
            <w:r>
              <w:t>5.27</w:t>
            </w:r>
          </w:p>
        </w:tc>
        <w:tc>
          <w:tcPr>
            <w:tcW w:w="1276" w:type="dxa"/>
          </w:tcPr>
          <w:p w:rsidR="00000000" w:rsidRDefault="00000000">
            <w:pPr>
              <w:ind w:right="316"/>
              <w:jc w:val="right"/>
            </w:pPr>
            <w:r>
              <w:t>5.30</w:t>
            </w:r>
          </w:p>
        </w:tc>
        <w:tc>
          <w:tcPr>
            <w:tcW w:w="1436" w:type="dxa"/>
          </w:tcPr>
          <w:p w:rsidR="00000000" w:rsidRDefault="00000000">
            <w:pPr>
              <w:ind w:right="374"/>
              <w:jc w:val="right"/>
            </w:pPr>
            <w:r>
              <w:t>13.28</w:t>
            </w:r>
          </w:p>
        </w:tc>
        <w:tc>
          <w:tcPr>
            <w:tcW w:w="1227" w:type="dxa"/>
          </w:tcPr>
          <w:p w:rsidR="00000000" w:rsidRDefault="00000000">
            <w:pPr>
              <w:ind w:right="267"/>
              <w:jc w:val="right"/>
            </w:pPr>
            <w:r>
              <w:t>9.81</w:t>
            </w:r>
          </w:p>
        </w:tc>
      </w:tr>
      <w:tr w:rsidR="00000000">
        <w:tblPrEx>
          <w:tblCellMar>
            <w:top w:w="0" w:type="dxa"/>
            <w:bottom w:w="0" w:type="dxa"/>
          </w:tblCellMar>
        </w:tblPrEx>
        <w:trPr>
          <w:jc w:val="center"/>
        </w:trPr>
        <w:tc>
          <w:tcPr>
            <w:tcW w:w="1808" w:type="dxa"/>
          </w:tcPr>
          <w:p w:rsidR="00000000" w:rsidRDefault="00000000">
            <w:r>
              <w:t>June 1999</w:t>
            </w:r>
          </w:p>
        </w:tc>
        <w:tc>
          <w:tcPr>
            <w:tcW w:w="1283" w:type="dxa"/>
          </w:tcPr>
          <w:p w:rsidR="00000000" w:rsidRDefault="00000000">
            <w:pPr>
              <w:ind w:right="323"/>
              <w:jc w:val="right"/>
            </w:pPr>
            <w:r>
              <w:t>5.09</w:t>
            </w:r>
          </w:p>
        </w:tc>
        <w:tc>
          <w:tcPr>
            <w:tcW w:w="1276" w:type="dxa"/>
          </w:tcPr>
          <w:p w:rsidR="00000000" w:rsidRDefault="00000000">
            <w:pPr>
              <w:ind w:right="316"/>
              <w:jc w:val="right"/>
            </w:pPr>
            <w:r>
              <w:t>5.86</w:t>
            </w:r>
          </w:p>
        </w:tc>
        <w:tc>
          <w:tcPr>
            <w:tcW w:w="1436" w:type="dxa"/>
          </w:tcPr>
          <w:p w:rsidR="00000000" w:rsidRDefault="00000000">
            <w:pPr>
              <w:ind w:right="374"/>
              <w:jc w:val="right"/>
            </w:pPr>
            <w:r>
              <w:t>13.87</w:t>
            </w:r>
          </w:p>
        </w:tc>
        <w:tc>
          <w:tcPr>
            <w:tcW w:w="1227" w:type="dxa"/>
          </w:tcPr>
          <w:p w:rsidR="00000000" w:rsidRDefault="00000000">
            <w:pPr>
              <w:ind w:right="267"/>
              <w:jc w:val="right"/>
            </w:pPr>
            <w:r>
              <w:t>9.43</w:t>
            </w:r>
          </w:p>
        </w:tc>
      </w:tr>
      <w:tr w:rsidR="00000000">
        <w:tblPrEx>
          <w:tblCellMar>
            <w:top w:w="0" w:type="dxa"/>
            <w:bottom w:w="0" w:type="dxa"/>
          </w:tblCellMar>
        </w:tblPrEx>
        <w:trPr>
          <w:jc w:val="center"/>
        </w:trPr>
        <w:tc>
          <w:tcPr>
            <w:tcW w:w="1808" w:type="dxa"/>
          </w:tcPr>
          <w:p w:rsidR="00000000" w:rsidRDefault="00000000">
            <w:r>
              <w:t>July 1999</w:t>
            </w:r>
          </w:p>
        </w:tc>
        <w:tc>
          <w:tcPr>
            <w:tcW w:w="1283" w:type="dxa"/>
          </w:tcPr>
          <w:p w:rsidR="00000000" w:rsidRDefault="00000000">
            <w:pPr>
              <w:ind w:right="323"/>
              <w:jc w:val="right"/>
            </w:pPr>
            <w:r>
              <w:t>4.90</w:t>
            </w:r>
          </w:p>
        </w:tc>
        <w:tc>
          <w:tcPr>
            <w:tcW w:w="1276" w:type="dxa"/>
          </w:tcPr>
          <w:p w:rsidR="00000000" w:rsidRDefault="00000000">
            <w:pPr>
              <w:ind w:right="316"/>
              <w:jc w:val="right"/>
            </w:pPr>
            <w:r>
              <w:t>5.15</w:t>
            </w:r>
          </w:p>
        </w:tc>
        <w:tc>
          <w:tcPr>
            <w:tcW w:w="1436" w:type="dxa"/>
          </w:tcPr>
          <w:p w:rsidR="00000000" w:rsidRDefault="00000000">
            <w:pPr>
              <w:ind w:right="374"/>
              <w:jc w:val="right"/>
            </w:pPr>
            <w:r>
              <w:t>13.64</w:t>
            </w:r>
          </w:p>
        </w:tc>
        <w:tc>
          <w:tcPr>
            <w:tcW w:w="1227" w:type="dxa"/>
          </w:tcPr>
          <w:p w:rsidR="00000000" w:rsidRDefault="00000000">
            <w:pPr>
              <w:ind w:right="267"/>
              <w:jc w:val="right"/>
            </w:pPr>
            <w:r>
              <w:t>8.86</w:t>
            </w:r>
          </w:p>
        </w:tc>
      </w:tr>
      <w:tr w:rsidR="00000000">
        <w:tblPrEx>
          <w:tblCellMar>
            <w:top w:w="0" w:type="dxa"/>
            <w:bottom w:w="0" w:type="dxa"/>
          </w:tblCellMar>
        </w:tblPrEx>
        <w:trPr>
          <w:jc w:val="center"/>
        </w:trPr>
        <w:tc>
          <w:tcPr>
            <w:tcW w:w="1808" w:type="dxa"/>
          </w:tcPr>
          <w:p w:rsidR="00000000" w:rsidRDefault="00000000">
            <w:r>
              <w:t>Aug. 1999</w:t>
            </w:r>
          </w:p>
        </w:tc>
        <w:tc>
          <w:tcPr>
            <w:tcW w:w="1283" w:type="dxa"/>
          </w:tcPr>
          <w:p w:rsidR="00000000" w:rsidRDefault="00000000">
            <w:pPr>
              <w:ind w:right="323"/>
              <w:jc w:val="right"/>
            </w:pPr>
            <w:r>
              <w:t>5.17</w:t>
            </w:r>
          </w:p>
        </w:tc>
        <w:tc>
          <w:tcPr>
            <w:tcW w:w="1276" w:type="dxa"/>
          </w:tcPr>
          <w:p w:rsidR="00000000" w:rsidRDefault="00000000">
            <w:pPr>
              <w:ind w:right="316"/>
              <w:jc w:val="right"/>
            </w:pPr>
            <w:r>
              <w:t>5.70</w:t>
            </w:r>
          </w:p>
        </w:tc>
        <w:tc>
          <w:tcPr>
            <w:tcW w:w="1436" w:type="dxa"/>
          </w:tcPr>
          <w:p w:rsidR="00000000" w:rsidRDefault="00000000">
            <w:pPr>
              <w:ind w:right="374"/>
              <w:jc w:val="right"/>
            </w:pPr>
            <w:r>
              <w:t>13.21</w:t>
            </w:r>
          </w:p>
        </w:tc>
        <w:tc>
          <w:tcPr>
            <w:tcW w:w="1227" w:type="dxa"/>
          </w:tcPr>
          <w:p w:rsidR="00000000" w:rsidRDefault="00000000">
            <w:pPr>
              <w:ind w:right="267"/>
              <w:jc w:val="right"/>
            </w:pPr>
            <w:r>
              <w:t>9.88</w:t>
            </w:r>
          </w:p>
        </w:tc>
      </w:tr>
      <w:tr w:rsidR="00000000">
        <w:tblPrEx>
          <w:tblCellMar>
            <w:top w:w="0" w:type="dxa"/>
            <w:bottom w:w="0" w:type="dxa"/>
          </w:tblCellMar>
        </w:tblPrEx>
        <w:trPr>
          <w:jc w:val="center"/>
        </w:trPr>
        <w:tc>
          <w:tcPr>
            <w:tcW w:w="1808" w:type="dxa"/>
          </w:tcPr>
          <w:p w:rsidR="00000000" w:rsidRDefault="00000000">
            <w:r>
              <w:t>Sept. 1999</w:t>
            </w:r>
          </w:p>
        </w:tc>
        <w:tc>
          <w:tcPr>
            <w:tcW w:w="1283" w:type="dxa"/>
          </w:tcPr>
          <w:p w:rsidR="00000000" w:rsidRDefault="00000000">
            <w:pPr>
              <w:ind w:right="323"/>
              <w:jc w:val="right"/>
            </w:pPr>
            <w:r>
              <w:t>5.12</w:t>
            </w:r>
          </w:p>
        </w:tc>
        <w:tc>
          <w:tcPr>
            <w:tcW w:w="1276" w:type="dxa"/>
          </w:tcPr>
          <w:p w:rsidR="00000000" w:rsidRDefault="00000000">
            <w:pPr>
              <w:ind w:right="316"/>
              <w:jc w:val="right"/>
            </w:pPr>
            <w:r>
              <w:t>5.05</w:t>
            </w:r>
          </w:p>
        </w:tc>
        <w:tc>
          <w:tcPr>
            <w:tcW w:w="1436" w:type="dxa"/>
          </w:tcPr>
          <w:p w:rsidR="00000000" w:rsidRDefault="00000000">
            <w:pPr>
              <w:ind w:right="374"/>
              <w:jc w:val="right"/>
            </w:pPr>
            <w:r>
              <w:t>12.70</w:t>
            </w:r>
          </w:p>
        </w:tc>
        <w:tc>
          <w:tcPr>
            <w:tcW w:w="1227" w:type="dxa"/>
          </w:tcPr>
          <w:p w:rsidR="00000000" w:rsidRDefault="00000000">
            <w:pPr>
              <w:ind w:right="267"/>
              <w:jc w:val="right"/>
            </w:pPr>
            <w:r>
              <w:t>9.01</w:t>
            </w:r>
          </w:p>
        </w:tc>
      </w:tr>
      <w:tr w:rsidR="00000000">
        <w:tblPrEx>
          <w:tblCellMar>
            <w:top w:w="0" w:type="dxa"/>
            <w:bottom w:w="0" w:type="dxa"/>
          </w:tblCellMar>
        </w:tblPrEx>
        <w:trPr>
          <w:jc w:val="center"/>
        </w:trPr>
        <w:tc>
          <w:tcPr>
            <w:tcW w:w="1808" w:type="dxa"/>
          </w:tcPr>
          <w:p w:rsidR="00000000" w:rsidRDefault="00000000">
            <w:r>
              <w:t>Oct. 1999</w:t>
            </w:r>
          </w:p>
        </w:tc>
        <w:tc>
          <w:tcPr>
            <w:tcW w:w="1283" w:type="dxa"/>
          </w:tcPr>
          <w:p w:rsidR="00000000" w:rsidRDefault="00000000">
            <w:pPr>
              <w:ind w:right="323"/>
              <w:jc w:val="right"/>
            </w:pPr>
            <w:r>
              <w:t>5.18</w:t>
            </w:r>
          </w:p>
        </w:tc>
        <w:tc>
          <w:tcPr>
            <w:tcW w:w="1276" w:type="dxa"/>
          </w:tcPr>
          <w:p w:rsidR="00000000" w:rsidRDefault="00000000">
            <w:pPr>
              <w:ind w:right="316"/>
              <w:jc w:val="right"/>
            </w:pPr>
            <w:r>
              <w:t>5.04</w:t>
            </w:r>
          </w:p>
        </w:tc>
        <w:tc>
          <w:tcPr>
            <w:tcW w:w="1436" w:type="dxa"/>
          </w:tcPr>
          <w:p w:rsidR="00000000" w:rsidRDefault="00000000">
            <w:pPr>
              <w:ind w:right="374"/>
              <w:jc w:val="right"/>
            </w:pPr>
            <w:r>
              <w:t>13.31</w:t>
            </w:r>
          </w:p>
        </w:tc>
        <w:tc>
          <w:tcPr>
            <w:tcW w:w="1227" w:type="dxa"/>
          </w:tcPr>
          <w:p w:rsidR="00000000" w:rsidRDefault="00000000">
            <w:pPr>
              <w:ind w:right="267"/>
              <w:jc w:val="right"/>
            </w:pPr>
            <w:r>
              <w:t>9.02</w:t>
            </w:r>
          </w:p>
        </w:tc>
      </w:tr>
      <w:tr w:rsidR="00000000">
        <w:tblPrEx>
          <w:tblCellMar>
            <w:top w:w="0" w:type="dxa"/>
            <w:bottom w:w="0" w:type="dxa"/>
          </w:tblCellMar>
        </w:tblPrEx>
        <w:trPr>
          <w:jc w:val="center"/>
        </w:trPr>
        <w:tc>
          <w:tcPr>
            <w:tcW w:w="1808" w:type="dxa"/>
          </w:tcPr>
          <w:p w:rsidR="00000000" w:rsidRDefault="00000000">
            <w:r>
              <w:t>Nov. 1999</w:t>
            </w:r>
          </w:p>
        </w:tc>
        <w:tc>
          <w:tcPr>
            <w:tcW w:w="1283" w:type="dxa"/>
          </w:tcPr>
          <w:p w:rsidR="00000000" w:rsidRDefault="00000000">
            <w:pPr>
              <w:ind w:right="323"/>
              <w:jc w:val="right"/>
            </w:pPr>
            <w:r>
              <w:t>4.98</w:t>
            </w:r>
          </w:p>
        </w:tc>
        <w:tc>
          <w:tcPr>
            <w:tcW w:w="1276" w:type="dxa"/>
          </w:tcPr>
          <w:p w:rsidR="00000000" w:rsidRDefault="00000000">
            <w:pPr>
              <w:ind w:right="316"/>
              <w:jc w:val="right"/>
            </w:pPr>
            <w:r>
              <w:t>5.04</w:t>
            </w:r>
          </w:p>
        </w:tc>
        <w:tc>
          <w:tcPr>
            <w:tcW w:w="1436" w:type="dxa"/>
          </w:tcPr>
          <w:p w:rsidR="00000000" w:rsidRDefault="00000000">
            <w:pPr>
              <w:ind w:right="374"/>
              <w:jc w:val="right"/>
            </w:pPr>
            <w:r>
              <w:t>13.04</w:t>
            </w:r>
          </w:p>
        </w:tc>
        <w:tc>
          <w:tcPr>
            <w:tcW w:w="1227" w:type="dxa"/>
          </w:tcPr>
          <w:p w:rsidR="00000000" w:rsidRDefault="00000000">
            <w:pPr>
              <w:ind w:right="267"/>
              <w:jc w:val="right"/>
            </w:pPr>
            <w:r>
              <w:t>8.41</w:t>
            </w:r>
          </w:p>
        </w:tc>
      </w:tr>
      <w:tr w:rsidR="00000000">
        <w:tblPrEx>
          <w:tblCellMar>
            <w:top w:w="0" w:type="dxa"/>
            <w:bottom w:w="0" w:type="dxa"/>
          </w:tblCellMar>
        </w:tblPrEx>
        <w:trPr>
          <w:jc w:val="center"/>
        </w:trPr>
        <w:tc>
          <w:tcPr>
            <w:tcW w:w="1808" w:type="dxa"/>
          </w:tcPr>
          <w:p w:rsidR="00000000" w:rsidRDefault="00000000">
            <w:r>
              <w:t>Dec. 1999</w:t>
            </w:r>
          </w:p>
        </w:tc>
        <w:tc>
          <w:tcPr>
            <w:tcW w:w="1283" w:type="dxa"/>
          </w:tcPr>
          <w:p w:rsidR="00000000" w:rsidRDefault="00000000">
            <w:pPr>
              <w:ind w:right="323"/>
              <w:jc w:val="right"/>
            </w:pPr>
            <w:r>
              <w:t>4.04</w:t>
            </w:r>
          </w:p>
        </w:tc>
        <w:tc>
          <w:tcPr>
            <w:tcW w:w="1276" w:type="dxa"/>
          </w:tcPr>
          <w:p w:rsidR="00000000" w:rsidRDefault="00000000">
            <w:pPr>
              <w:ind w:right="316"/>
              <w:jc w:val="right"/>
            </w:pPr>
            <w:r>
              <w:t>4.22</w:t>
            </w:r>
          </w:p>
        </w:tc>
        <w:tc>
          <w:tcPr>
            <w:tcW w:w="1436" w:type="dxa"/>
          </w:tcPr>
          <w:p w:rsidR="00000000" w:rsidRDefault="00000000">
            <w:pPr>
              <w:ind w:right="374"/>
              <w:jc w:val="right"/>
            </w:pPr>
            <w:r>
              <w:t>11.60</w:t>
            </w:r>
          </w:p>
        </w:tc>
        <w:tc>
          <w:tcPr>
            <w:tcW w:w="1227" w:type="dxa"/>
          </w:tcPr>
          <w:p w:rsidR="00000000" w:rsidRDefault="00000000">
            <w:pPr>
              <w:ind w:right="267"/>
              <w:jc w:val="right"/>
            </w:pPr>
            <w:r>
              <w:t>7.33</w:t>
            </w:r>
          </w:p>
        </w:tc>
      </w:tr>
      <w:tr w:rsidR="00000000">
        <w:tblPrEx>
          <w:tblCellMar>
            <w:top w:w="0" w:type="dxa"/>
            <w:bottom w:w="0" w:type="dxa"/>
          </w:tblCellMar>
        </w:tblPrEx>
        <w:trPr>
          <w:jc w:val="center"/>
        </w:trPr>
        <w:tc>
          <w:tcPr>
            <w:tcW w:w="1808" w:type="dxa"/>
          </w:tcPr>
          <w:p w:rsidR="00000000" w:rsidRDefault="00000000">
            <w:r>
              <w:t>Jan. 2000</w:t>
            </w:r>
          </w:p>
        </w:tc>
        <w:tc>
          <w:tcPr>
            <w:tcW w:w="1283" w:type="dxa"/>
          </w:tcPr>
          <w:p w:rsidR="00000000" w:rsidRDefault="00000000">
            <w:pPr>
              <w:ind w:right="323"/>
              <w:jc w:val="right"/>
            </w:pPr>
            <w:r>
              <w:t>4.88</w:t>
            </w:r>
          </w:p>
        </w:tc>
        <w:tc>
          <w:tcPr>
            <w:tcW w:w="1276" w:type="dxa"/>
          </w:tcPr>
          <w:p w:rsidR="00000000" w:rsidRDefault="00000000">
            <w:pPr>
              <w:ind w:right="316"/>
              <w:jc w:val="right"/>
            </w:pPr>
            <w:r>
              <w:t>5.87</w:t>
            </w:r>
          </w:p>
        </w:tc>
        <w:tc>
          <w:tcPr>
            <w:tcW w:w="1436" w:type="dxa"/>
          </w:tcPr>
          <w:p w:rsidR="00000000" w:rsidRDefault="00000000">
            <w:pPr>
              <w:ind w:right="374"/>
              <w:jc w:val="right"/>
            </w:pPr>
            <w:r>
              <w:t>13.60</w:t>
            </w:r>
          </w:p>
        </w:tc>
        <w:tc>
          <w:tcPr>
            <w:tcW w:w="1227" w:type="dxa"/>
          </w:tcPr>
          <w:p w:rsidR="00000000" w:rsidRDefault="00000000">
            <w:pPr>
              <w:ind w:right="267"/>
              <w:jc w:val="right"/>
            </w:pPr>
            <w:r>
              <w:t>9.19</w:t>
            </w:r>
          </w:p>
        </w:tc>
      </w:tr>
      <w:tr w:rsidR="00000000">
        <w:tblPrEx>
          <w:tblCellMar>
            <w:top w:w="0" w:type="dxa"/>
            <w:bottom w:w="0" w:type="dxa"/>
          </w:tblCellMar>
        </w:tblPrEx>
        <w:trPr>
          <w:jc w:val="center"/>
        </w:trPr>
        <w:tc>
          <w:tcPr>
            <w:tcW w:w="1808" w:type="dxa"/>
          </w:tcPr>
          <w:p w:rsidR="00000000" w:rsidRDefault="00000000">
            <w:r>
              <w:t>Feb. 2000</w:t>
            </w:r>
          </w:p>
        </w:tc>
        <w:tc>
          <w:tcPr>
            <w:tcW w:w="1283" w:type="dxa"/>
          </w:tcPr>
          <w:p w:rsidR="00000000" w:rsidRDefault="00000000">
            <w:pPr>
              <w:ind w:right="323"/>
              <w:jc w:val="right"/>
            </w:pPr>
            <w:r>
              <w:t>5.21</w:t>
            </w:r>
          </w:p>
        </w:tc>
        <w:tc>
          <w:tcPr>
            <w:tcW w:w="1276" w:type="dxa"/>
          </w:tcPr>
          <w:p w:rsidR="00000000" w:rsidRDefault="00000000">
            <w:pPr>
              <w:ind w:right="316"/>
              <w:jc w:val="right"/>
            </w:pPr>
            <w:r>
              <w:t>6.60</w:t>
            </w:r>
          </w:p>
        </w:tc>
        <w:tc>
          <w:tcPr>
            <w:tcW w:w="1436" w:type="dxa"/>
          </w:tcPr>
          <w:p w:rsidR="00000000" w:rsidRDefault="00000000">
            <w:pPr>
              <w:ind w:right="374"/>
              <w:jc w:val="right"/>
            </w:pPr>
            <w:r>
              <w:t>14.42</w:t>
            </w:r>
          </w:p>
        </w:tc>
        <w:tc>
          <w:tcPr>
            <w:tcW w:w="1227" w:type="dxa"/>
          </w:tcPr>
          <w:p w:rsidR="00000000" w:rsidRDefault="00000000">
            <w:pPr>
              <w:ind w:right="267"/>
              <w:jc w:val="right"/>
            </w:pPr>
            <w:r>
              <w:t>9.91</w:t>
            </w:r>
          </w:p>
        </w:tc>
      </w:tr>
      <w:tr w:rsidR="00000000">
        <w:tblPrEx>
          <w:tblCellMar>
            <w:top w:w="0" w:type="dxa"/>
            <w:bottom w:w="0" w:type="dxa"/>
          </w:tblCellMar>
        </w:tblPrEx>
        <w:trPr>
          <w:jc w:val="center"/>
        </w:trPr>
        <w:tc>
          <w:tcPr>
            <w:tcW w:w="1808" w:type="dxa"/>
          </w:tcPr>
          <w:p w:rsidR="00000000" w:rsidRDefault="00000000">
            <w:r>
              <w:t>Mar. 2000</w:t>
            </w:r>
          </w:p>
        </w:tc>
        <w:tc>
          <w:tcPr>
            <w:tcW w:w="1283" w:type="dxa"/>
          </w:tcPr>
          <w:p w:rsidR="00000000" w:rsidRDefault="00000000">
            <w:pPr>
              <w:ind w:right="323"/>
              <w:jc w:val="right"/>
            </w:pPr>
            <w:r>
              <w:t>5.18</w:t>
            </w:r>
          </w:p>
        </w:tc>
        <w:tc>
          <w:tcPr>
            <w:tcW w:w="1276" w:type="dxa"/>
          </w:tcPr>
          <w:p w:rsidR="00000000" w:rsidRDefault="00000000">
            <w:pPr>
              <w:ind w:right="316"/>
              <w:jc w:val="right"/>
            </w:pPr>
            <w:r>
              <w:t>6.15</w:t>
            </w:r>
          </w:p>
        </w:tc>
        <w:tc>
          <w:tcPr>
            <w:tcW w:w="1436" w:type="dxa"/>
          </w:tcPr>
          <w:p w:rsidR="00000000" w:rsidRDefault="00000000">
            <w:pPr>
              <w:ind w:right="374"/>
              <w:jc w:val="right"/>
            </w:pPr>
            <w:r>
              <w:t>14.12</w:t>
            </w:r>
          </w:p>
        </w:tc>
        <w:tc>
          <w:tcPr>
            <w:tcW w:w="1227" w:type="dxa"/>
          </w:tcPr>
          <w:p w:rsidR="00000000" w:rsidRDefault="00000000">
            <w:pPr>
              <w:ind w:right="267"/>
              <w:jc w:val="right"/>
            </w:pPr>
            <w:r>
              <w:t>10.48</w:t>
            </w:r>
          </w:p>
        </w:tc>
      </w:tr>
      <w:tr w:rsidR="00000000">
        <w:tblPrEx>
          <w:tblCellMar>
            <w:top w:w="0" w:type="dxa"/>
            <w:bottom w:w="0" w:type="dxa"/>
          </w:tblCellMar>
        </w:tblPrEx>
        <w:trPr>
          <w:jc w:val="center"/>
        </w:trPr>
        <w:tc>
          <w:tcPr>
            <w:tcW w:w="1808" w:type="dxa"/>
          </w:tcPr>
          <w:p w:rsidR="00000000" w:rsidRDefault="00000000">
            <w:r>
              <w:t>Apr. 2000</w:t>
            </w:r>
          </w:p>
        </w:tc>
        <w:tc>
          <w:tcPr>
            <w:tcW w:w="1283" w:type="dxa"/>
          </w:tcPr>
          <w:p w:rsidR="00000000" w:rsidRDefault="00000000">
            <w:pPr>
              <w:ind w:right="323"/>
              <w:jc w:val="right"/>
            </w:pPr>
            <w:r>
              <w:t>4.74</w:t>
            </w:r>
          </w:p>
        </w:tc>
        <w:tc>
          <w:tcPr>
            <w:tcW w:w="1276" w:type="dxa"/>
          </w:tcPr>
          <w:p w:rsidR="00000000" w:rsidRDefault="00000000">
            <w:pPr>
              <w:ind w:right="316"/>
              <w:jc w:val="right"/>
            </w:pPr>
            <w:r>
              <w:t>5.48</w:t>
            </w:r>
          </w:p>
        </w:tc>
        <w:tc>
          <w:tcPr>
            <w:tcW w:w="1436" w:type="dxa"/>
          </w:tcPr>
          <w:p w:rsidR="00000000" w:rsidRDefault="00000000">
            <w:pPr>
              <w:ind w:right="374"/>
              <w:jc w:val="right"/>
            </w:pPr>
            <w:r>
              <w:t>14.79</w:t>
            </w:r>
          </w:p>
        </w:tc>
        <w:tc>
          <w:tcPr>
            <w:tcW w:w="1227" w:type="dxa"/>
          </w:tcPr>
          <w:p w:rsidR="00000000" w:rsidRDefault="00000000">
            <w:pPr>
              <w:ind w:right="267"/>
              <w:jc w:val="right"/>
            </w:pPr>
            <w:r>
              <w:t>9.86</w:t>
            </w:r>
          </w:p>
        </w:tc>
      </w:tr>
      <w:tr w:rsidR="00000000">
        <w:tblPrEx>
          <w:tblCellMar>
            <w:top w:w="0" w:type="dxa"/>
            <w:bottom w:w="0" w:type="dxa"/>
          </w:tblCellMar>
        </w:tblPrEx>
        <w:trPr>
          <w:jc w:val="center"/>
        </w:trPr>
        <w:tc>
          <w:tcPr>
            <w:tcW w:w="1808" w:type="dxa"/>
          </w:tcPr>
          <w:p w:rsidR="00000000" w:rsidRDefault="00000000">
            <w:r>
              <w:t>Jan.</w:t>
            </w:r>
            <w:r>
              <w:noBreakHyphen/>
              <w:t>Apr. 2000</w:t>
            </w:r>
          </w:p>
        </w:tc>
        <w:tc>
          <w:tcPr>
            <w:tcW w:w="1283" w:type="dxa"/>
          </w:tcPr>
          <w:p w:rsidR="00000000" w:rsidRDefault="00000000">
            <w:pPr>
              <w:ind w:right="323"/>
              <w:jc w:val="right"/>
            </w:pPr>
            <w:r>
              <w:t>5.00</w:t>
            </w:r>
          </w:p>
        </w:tc>
        <w:tc>
          <w:tcPr>
            <w:tcW w:w="1276" w:type="dxa"/>
          </w:tcPr>
          <w:p w:rsidR="00000000" w:rsidRDefault="00000000">
            <w:pPr>
              <w:ind w:right="316"/>
              <w:jc w:val="right"/>
            </w:pPr>
            <w:r>
              <w:t>6.03</w:t>
            </w:r>
          </w:p>
        </w:tc>
        <w:tc>
          <w:tcPr>
            <w:tcW w:w="1436" w:type="dxa"/>
          </w:tcPr>
          <w:p w:rsidR="00000000" w:rsidRDefault="00000000">
            <w:pPr>
              <w:ind w:right="374"/>
              <w:jc w:val="right"/>
            </w:pPr>
            <w:r>
              <w:t>14.23</w:t>
            </w:r>
          </w:p>
        </w:tc>
        <w:tc>
          <w:tcPr>
            <w:tcW w:w="1227" w:type="dxa"/>
          </w:tcPr>
          <w:p w:rsidR="00000000" w:rsidRDefault="00000000">
            <w:pPr>
              <w:ind w:right="267"/>
              <w:jc w:val="right"/>
            </w:pPr>
            <w:r>
              <w:t>9.86</w:t>
            </w:r>
          </w:p>
        </w:tc>
      </w:tr>
    </w:tbl>
    <w:p w:rsidR="00000000" w:rsidRDefault="00000000">
      <w:pPr>
        <w:rPr>
          <w:kern w:val="2"/>
        </w:rPr>
      </w:pPr>
    </w:p>
    <w:p w:rsidR="00000000" w:rsidRDefault="00000000">
      <w:pPr>
        <w:rPr>
          <w:kern w:val="2"/>
        </w:rPr>
      </w:pPr>
      <w:r>
        <w:rPr>
          <w:kern w:val="2"/>
        </w:rPr>
        <w:tab/>
      </w:r>
      <w:r>
        <w:rPr>
          <w:kern w:val="2"/>
        </w:rPr>
        <w:tab/>
      </w:r>
      <w:r>
        <w:rPr>
          <w:kern w:val="2"/>
          <w:u w:val="single"/>
        </w:rPr>
        <w:t>Source</w:t>
      </w:r>
      <w:r>
        <w:rPr>
          <w:kern w:val="2"/>
        </w:rPr>
        <w:t xml:space="preserve">:  Ministry of Labour and Employment </w:t>
      </w:r>
      <w:r>
        <w:rPr>
          <w:kern w:val="2"/>
        </w:rPr>
        <w:noBreakHyphen/>
        <w:t xml:space="preserve"> data from SME/IBGE.  </w:t>
      </w:r>
    </w:p>
    <w:p w:rsidR="00000000" w:rsidRDefault="00000000">
      <w:pPr>
        <w:rPr>
          <w:kern w:val="2"/>
        </w:rPr>
      </w:pPr>
    </w:p>
    <w:p w:rsidR="00000000" w:rsidRDefault="00000000">
      <w:pPr>
        <w:rPr>
          <w:kern w:val="2"/>
        </w:rPr>
      </w:pPr>
      <w:r>
        <w:rPr>
          <w:kern w:val="2"/>
        </w:rPr>
        <w:tab/>
      </w:r>
      <w:r>
        <w:rPr>
          <w:kern w:val="2"/>
        </w:rPr>
        <w:tab/>
        <w:t xml:space="preserve">Journal </w:t>
      </w:r>
      <w:r>
        <w:rPr>
          <w:kern w:val="2"/>
          <w:u w:val="single"/>
        </w:rPr>
        <w:t xml:space="preserve">Mercado de Trabalho </w:t>
      </w:r>
      <w:r>
        <w:rPr>
          <w:kern w:val="2"/>
          <w:u w:val="single"/>
        </w:rPr>
        <w:noBreakHyphen/>
        <w:t xml:space="preserve"> Conjuntura e Análise</w:t>
      </w:r>
      <w:r>
        <w:rPr>
          <w:kern w:val="2"/>
        </w:rPr>
        <w:t xml:space="preserve">, Year 5, June 2000. </w:t>
      </w:r>
    </w:p>
    <w:p w:rsidR="00000000" w:rsidRDefault="00000000">
      <w:pPr>
        <w:rPr>
          <w:kern w:val="2"/>
        </w:rPr>
      </w:pPr>
    </w:p>
    <w:p w:rsidR="00000000" w:rsidRDefault="00000000">
      <w:pPr>
        <w:pStyle w:val="ParaNo"/>
        <w:tabs>
          <w:tab w:val="clear" w:pos="360"/>
          <w:tab w:val="clear" w:pos="737"/>
        </w:tabs>
        <w:rPr>
          <w:kern w:val="2"/>
          <w:lang w:val="en-GB"/>
        </w:rPr>
      </w:pPr>
      <w:r>
        <w:rPr>
          <w:kern w:val="2"/>
          <w:lang w:val="en-GB"/>
        </w:rPr>
        <w:t>With regard to income distribution among public servants and workers in the private sector, it is worth mentioning that the data currently available indicate that between 1992 and 1999 there was a real increase in income of about 27.6 per cent.  Civil servants and military enjoyed a real gain above that of employees in the formal economy’s private sector (42.9 per cent versus 17.1 per cent).  Other sectors (including private sector informal workers, those with no signed working papers and self</w:t>
      </w:r>
      <w:r>
        <w:rPr>
          <w:kern w:val="2"/>
          <w:lang w:val="en-GB"/>
        </w:rPr>
        <w:noBreakHyphen/>
        <w:t>employed workers, domestic workers, and employers) had an income variation rate of 61.5 per cent.  The best remuneration in all these periods went to civil servants and the military who in 1999 received, on average, six minimum monthly wages per month (Cr$ 906 or approximately US$ 503).</w:t>
      </w:r>
    </w:p>
    <w:p w:rsidR="00000000" w:rsidRDefault="00000000">
      <w:pPr>
        <w:rPr>
          <w:kern w:val="2"/>
        </w:rPr>
      </w:pPr>
    </w:p>
    <w:p w:rsidR="00000000" w:rsidRDefault="00000000">
      <w:pPr>
        <w:pStyle w:val="ParaNo"/>
        <w:tabs>
          <w:tab w:val="clear" w:pos="360"/>
          <w:tab w:val="clear" w:pos="737"/>
        </w:tabs>
        <w:rPr>
          <w:snapToGrid w:val="0"/>
          <w:kern w:val="2"/>
          <w:lang w:val="en-GB"/>
        </w:rPr>
      </w:pPr>
      <w:r>
        <w:rPr>
          <w:snapToGrid w:val="0"/>
          <w:kern w:val="2"/>
          <w:lang w:val="en-GB"/>
        </w:rPr>
        <w:br w:type="page"/>
        <w:t>With regard to legislation to ensure safe and healthy working conditions in the workplace, once again it must be mentioned that Brazil’s 1988 Constitution specifically mentions, in article 7, paragraph XXII, that workers have a right to reduced occupational risk.  This right is guaranteed by enforcing standards vis</w:t>
      </w:r>
      <w:r>
        <w:rPr>
          <w:snapToGrid w:val="0"/>
          <w:kern w:val="2"/>
          <w:lang w:val="en-GB"/>
        </w:rPr>
        <w:noBreakHyphen/>
        <w:t>à</w:t>
      </w:r>
      <w:r>
        <w:rPr>
          <w:snapToGrid w:val="0"/>
          <w:kern w:val="2"/>
          <w:lang w:val="en-GB"/>
        </w:rPr>
        <w:noBreakHyphen/>
        <w:t>vis health, hygiene and safety.  Chapter V, Title II of the Consolidated Labour Laws (CLT) has a section on Occupational Safety and Medicine that was altered for this purpose by Law 6.514, dated 22 December 1977.</w:t>
      </w:r>
    </w:p>
    <w:p w:rsidR="00000000" w:rsidRDefault="00000000">
      <w:pPr>
        <w:rPr>
          <w:snapToGrid w:val="0"/>
          <w:kern w:val="2"/>
        </w:rPr>
      </w:pPr>
    </w:p>
    <w:p w:rsidR="00000000" w:rsidRDefault="00000000">
      <w:pPr>
        <w:pStyle w:val="ParaNo"/>
        <w:tabs>
          <w:tab w:val="clear" w:pos="360"/>
          <w:tab w:val="clear" w:pos="737"/>
        </w:tabs>
        <w:rPr>
          <w:snapToGrid w:val="0"/>
          <w:color w:val="000000"/>
          <w:kern w:val="2"/>
          <w:lang w:val="en-GB"/>
        </w:rPr>
      </w:pPr>
      <w:r>
        <w:rPr>
          <w:snapToGrid w:val="0"/>
          <w:color w:val="000000"/>
          <w:kern w:val="2"/>
          <w:lang w:val="en-GB"/>
        </w:rPr>
        <w:t xml:space="preserve">Ministry of Work and </w:t>
      </w:r>
      <w:r>
        <w:rPr>
          <w:kern w:val="2"/>
          <w:lang w:val="en-GB"/>
        </w:rPr>
        <w:t>Employment</w:t>
      </w:r>
      <w:r>
        <w:rPr>
          <w:snapToGrid w:val="0"/>
          <w:color w:val="000000"/>
          <w:kern w:val="2"/>
          <w:lang w:val="en-GB"/>
        </w:rPr>
        <w:t xml:space="preserve"> Directive 3.124, dated 8 June 1978, regulates Law 6.514/77 and determines 28 Regulatory Standards for the area of occupational safety and medicine.  Subsequently, on 12 April 1988, Directive 3067 approved 5 Regulatory Standards regarding Rural Employment Safety and Hygiene.  More recently, on 17 December 1997, Directive 53 approved Regulatory Standard 29, covering “Safety and Health in the Workplace in the case of Ports” in line with ILO Conventions Nos. 81, 152 and 155. </w:t>
      </w:r>
    </w:p>
    <w:p w:rsidR="00000000" w:rsidRDefault="00000000">
      <w:pPr>
        <w:rPr>
          <w:snapToGrid w:val="0"/>
          <w:color w:val="000000"/>
          <w:kern w:val="2"/>
        </w:rPr>
      </w:pPr>
    </w:p>
    <w:p w:rsidR="00000000" w:rsidRDefault="00000000">
      <w:pPr>
        <w:pStyle w:val="ParaNo"/>
        <w:tabs>
          <w:tab w:val="clear" w:pos="360"/>
          <w:tab w:val="clear" w:pos="737"/>
        </w:tabs>
        <w:rPr>
          <w:kern w:val="2"/>
          <w:lang w:val="en-GB"/>
        </w:rPr>
      </w:pPr>
      <w:r>
        <w:rPr>
          <w:color w:val="000000"/>
          <w:kern w:val="2"/>
          <w:lang w:val="en-GB"/>
        </w:rPr>
        <w:t>The Social Security and Social Welfare Ministry handles questions involving occupational accidents and diseases and the workplace.  Information regarding these issues is channelled through the “System to Communicate Workplace Accidents” (CAT)</w:t>
      </w:r>
      <w:r>
        <w:rPr>
          <w:kern w:val="2"/>
          <w:lang w:val="en-GB"/>
        </w:rPr>
        <w:t>. The data below reveal that “typical accidents” are the result of the actual activities that employees are involved in as part of their work.  The column under causes called “On the way to work” refers to accidents that occurred in transit on the way to the workplace.  The professional diseases column relates to diseases developed because one has been involved in activities that can cause bodily harm while in the workplace.  Statistics on the exact moment in which workplace accidents occur are still incomplete and are, therefore, subject to adjustments.  Any consideration of these data must also keep in mind the fact that they do not include any information about workers in the informal sector of the economy, in rural areas, or those workers who did not have a legal working relationship at the time when the data were collected.</w:t>
      </w:r>
    </w:p>
    <w:p w:rsidR="00000000" w:rsidRDefault="00000000">
      <w:pPr>
        <w:rPr>
          <w:kern w:val="2"/>
        </w:rPr>
      </w:pPr>
    </w:p>
    <w:p w:rsidR="00000000" w:rsidRDefault="00000000">
      <w:pPr>
        <w:pStyle w:val="Heading1"/>
        <w:rPr>
          <w:kern w:val="2"/>
        </w:rPr>
      </w:pPr>
      <w:r>
        <w:rPr>
          <w:kern w:val="2"/>
        </w:rPr>
        <w:t>Table 26</w:t>
      </w:r>
    </w:p>
    <w:p w:rsidR="00000000" w:rsidRDefault="00000000">
      <w:pPr>
        <w:pStyle w:val="Heading1"/>
        <w:rPr>
          <w:kern w:val="2"/>
        </w:rPr>
      </w:pPr>
    </w:p>
    <w:p w:rsidR="00000000" w:rsidRDefault="00000000">
      <w:pPr>
        <w:pStyle w:val="Heading1"/>
        <w:rPr>
          <w:kern w:val="2"/>
        </w:rPr>
      </w:pPr>
      <w:r>
        <w:rPr>
          <w:kern w:val="2"/>
        </w:rPr>
        <w:t>Workplace accidents registered by the CAT system, 1990</w:t>
      </w:r>
      <w:r>
        <w:rPr>
          <w:kern w:val="2"/>
        </w:rPr>
        <w:noBreakHyphen/>
        <w:t>1998</w:t>
      </w:r>
    </w:p>
    <w:p w:rsidR="00000000" w:rsidRDefault="00000000">
      <w:pPr>
        <w:rPr>
          <w:b/>
          <w:kern w:val="2"/>
        </w:rPr>
      </w:pPr>
    </w:p>
    <w:tbl>
      <w:tblPr>
        <w:tblW w:w="0" w:type="auto"/>
        <w:tblInd w:w="1022" w:type="dxa"/>
        <w:tblLayout w:type="fixed"/>
        <w:tblCellMar>
          <w:left w:w="30" w:type="dxa"/>
          <w:right w:w="30" w:type="dxa"/>
        </w:tblCellMar>
        <w:tblLook w:val="0000" w:firstRow="0" w:lastRow="0" w:firstColumn="0" w:lastColumn="0" w:noHBand="0" w:noVBand="0"/>
      </w:tblPr>
      <w:tblGrid>
        <w:gridCol w:w="1418"/>
        <w:gridCol w:w="1276"/>
        <w:gridCol w:w="1275"/>
        <w:gridCol w:w="1559"/>
        <w:gridCol w:w="1843"/>
      </w:tblGrid>
      <w:tr w:rsidR="00000000">
        <w:tblPrEx>
          <w:tblCellMar>
            <w:top w:w="0" w:type="dxa"/>
            <w:bottom w:w="0" w:type="dxa"/>
          </w:tblCellMar>
        </w:tblPrEx>
        <w:trPr>
          <w:cantSplit/>
          <w:trHeight w:val="250"/>
        </w:trPr>
        <w:tc>
          <w:tcPr>
            <w:tcW w:w="1418" w:type="dxa"/>
            <w:vMerge w:val="restart"/>
            <w:tcBorders>
              <w:top w:val="single" w:sz="4" w:space="0" w:color="auto"/>
              <w:left w:val="single" w:sz="4" w:space="0" w:color="auto"/>
              <w:bottom w:val="single" w:sz="4" w:space="0" w:color="auto"/>
              <w:right w:val="single" w:sz="4" w:space="0" w:color="auto"/>
            </w:tcBorders>
          </w:tcPr>
          <w:p w:rsidR="00000000" w:rsidRDefault="00000000">
            <w:pPr>
              <w:rPr>
                <w:snapToGrid w:val="0"/>
              </w:rPr>
            </w:pPr>
          </w:p>
          <w:p w:rsidR="00000000" w:rsidRDefault="00000000">
            <w:pPr>
              <w:jc w:val="center"/>
              <w:rPr>
                <w:snapToGrid w:val="0"/>
              </w:rPr>
            </w:pPr>
            <w:r>
              <w:rPr>
                <w:snapToGrid w:val="0"/>
              </w:rPr>
              <w:t>Years</w:t>
            </w:r>
          </w:p>
        </w:tc>
        <w:tc>
          <w:tcPr>
            <w:tcW w:w="1276" w:type="dxa"/>
            <w:vMerge w:val="restart"/>
            <w:tcBorders>
              <w:top w:val="single" w:sz="4" w:space="0" w:color="auto"/>
              <w:left w:val="single" w:sz="4" w:space="0" w:color="auto"/>
              <w:bottom w:val="single" w:sz="4" w:space="0" w:color="auto"/>
              <w:right w:val="single" w:sz="4" w:space="0" w:color="auto"/>
            </w:tcBorders>
          </w:tcPr>
          <w:p w:rsidR="00000000" w:rsidRDefault="00000000">
            <w:pPr>
              <w:rPr>
                <w:snapToGrid w:val="0"/>
              </w:rPr>
            </w:pPr>
          </w:p>
          <w:p w:rsidR="00000000" w:rsidRDefault="00000000">
            <w:pPr>
              <w:jc w:val="center"/>
              <w:rPr>
                <w:snapToGrid w:val="0"/>
              </w:rPr>
            </w:pPr>
            <w:r>
              <w:rPr>
                <w:snapToGrid w:val="0"/>
              </w:rPr>
              <w:t>Total</w:t>
            </w:r>
          </w:p>
        </w:tc>
        <w:tc>
          <w:tcPr>
            <w:tcW w:w="4677"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Cause</w:t>
            </w:r>
          </w:p>
        </w:tc>
      </w:tr>
      <w:tr w:rsidR="00000000">
        <w:tblPrEx>
          <w:tblCellMar>
            <w:top w:w="0" w:type="dxa"/>
            <w:bottom w:w="0" w:type="dxa"/>
          </w:tblCellMar>
        </w:tblPrEx>
        <w:trPr>
          <w:cantSplit/>
          <w:trHeight w:val="250"/>
        </w:trPr>
        <w:tc>
          <w:tcPr>
            <w:tcW w:w="1418" w:type="dxa"/>
            <w:vMerge/>
            <w:tcBorders>
              <w:top w:val="single" w:sz="4" w:space="0" w:color="auto"/>
              <w:left w:val="single" w:sz="4" w:space="0" w:color="auto"/>
              <w:bottom w:val="single" w:sz="4" w:space="0" w:color="auto"/>
              <w:right w:val="single" w:sz="4" w:space="0" w:color="auto"/>
            </w:tcBorders>
          </w:tcPr>
          <w:p w:rsidR="00000000" w:rsidRDefault="00000000">
            <w:pPr>
              <w:rPr>
                <w:snapToGrid w:val="0"/>
              </w:rPr>
            </w:pPr>
          </w:p>
        </w:tc>
        <w:tc>
          <w:tcPr>
            <w:tcW w:w="1276" w:type="dxa"/>
            <w:vMerge/>
            <w:tcBorders>
              <w:top w:val="single" w:sz="4" w:space="0" w:color="auto"/>
              <w:left w:val="single" w:sz="4" w:space="0" w:color="auto"/>
              <w:bottom w:val="single" w:sz="4" w:space="0" w:color="auto"/>
              <w:right w:val="single" w:sz="4" w:space="0" w:color="auto"/>
            </w:tcBorders>
          </w:tcPr>
          <w:p w:rsidR="00000000" w:rsidRDefault="00000000">
            <w:pPr>
              <w:rPr>
                <w:snapToGrid w:val="0"/>
              </w:rPr>
            </w:pP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Typical</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On the way to work</w:t>
            </w:r>
          </w:p>
        </w:tc>
        <w:tc>
          <w:tcPr>
            <w:tcW w:w="1843"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Occupational diseases</w:t>
            </w:r>
          </w:p>
        </w:tc>
      </w:tr>
      <w:tr w:rsidR="00000000">
        <w:tblPrEx>
          <w:tblCellMar>
            <w:top w:w="0" w:type="dxa"/>
            <w:bottom w:w="0" w:type="dxa"/>
          </w:tblCellMar>
        </w:tblPrEx>
        <w:trPr>
          <w:trHeight w:val="235"/>
        </w:trPr>
        <w:tc>
          <w:tcPr>
            <w:tcW w:w="1418" w:type="dxa"/>
            <w:tcBorders>
              <w:top w:val="single" w:sz="4" w:space="0" w:color="auto"/>
              <w:left w:val="single" w:sz="4" w:space="0" w:color="auto"/>
              <w:right w:val="single" w:sz="4" w:space="0" w:color="auto"/>
            </w:tcBorders>
          </w:tcPr>
          <w:p w:rsidR="00000000" w:rsidRDefault="00000000">
            <w:pPr>
              <w:rPr>
                <w:snapToGrid w:val="0"/>
              </w:rPr>
            </w:pPr>
            <w:r>
              <w:rPr>
                <w:snapToGrid w:val="0"/>
              </w:rPr>
              <w:t>1990</w:t>
            </w:r>
          </w:p>
        </w:tc>
        <w:tc>
          <w:tcPr>
            <w:tcW w:w="1276" w:type="dxa"/>
            <w:tcBorders>
              <w:top w:val="single" w:sz="4" w:space="0" w:color="auto"/>
              <w:left w:val="single" w:sz="4" w:space="0" w:color="auto"/>
              <w:right w:val="single" w:sz="4" w:space="0" w:color="auto"/>
            </w:tcBorders>
          </w:tcPr>
          <w:p w:rsidR="00000000" w:rsidRDefault="00000000">
            <w:pPr>
              <w:jc w:val="center"/>
              <w:rPr>
                <w:snapToGrid w:val="0"/>
              </w:rPr>
            </w:pPr>
            <w:r>
              <w:rPr>
                <w:snapToGrid w:val="0"/>
              </w:rPr>
              <w:t>693 572</w:t>
            </w:r>
          </w:p>
        </w:tc>
        <w:tc>
          <w:tcPr>
            <w:tcW w:w="1275" w:type="dxa"/>
            <w:tcBorders>
              <w:top w:val="single" w:sz="4" w:space="0" w:color="auto"/>
              <w:left w:val="single" w:sz="4" w:space="0" w:color="auto"/>
              <w:right w:val="single" w:sz="4" w:space="0" w:color="auto"/>
            </w:tcBorders>
          </w:tcPr>
          <w:p w:rsidR="00000000" w:rsidRDefault="00000000">
            <w:pPr>
              <w:jc w:val="center"/>
              <w:rPr>
                <w:snapToGrid w:val="0"/>
              </w:rPr>
            </w:pPr>
            <w:r>
              <w:rPr>
                <w:snapToGrid w:val="0"/>
              </w:rPr>
              <w:t>632 012</w:t>
            </w:r>
          </w:p>
        </w:tc>
        <w:tc>
          <w:tcPr>
            <w:tcW w:w="1559" w:type="dxa"/>
            <w:tcBorders>
              <w:top w:val="single" w:sz="4" w:space="0" w:color="auto"/>
              <w:left w:val="single" w:sz="4" w:space="0" w:color="auto"/>
              <w:right w:val="single" w:sz="4" w:space="0" w:color="auto"/>
            </w:tcBorders>
          </w:tcPr>
          <w:p w:rsidR="00000000" w:rsidRDefault="00000000">
            <w:pPr>
              <w:jc w:val="center"/>
              <w:rPr>
                <w:snapToGrid w:val="0"/>
              </w:rPr>
            </w:pPr>
            <w:r>
              <w:rPr>
                <w:snapToGrid w:val="0"/>
              </w:rPr>
              <w:t>56 343</w:t>
            </w:r>
          </w:p>
        </w:tc>
        <w:tc>
          <w:tcPr>
            <w:tcW w:w="1843" w:type="dxa"/>
            <w:tcBorders>
              <w:top w:val="single" w:sz="4" w:space="0" w:color="auto"/>
              <w:left w:val="single" w:sz="4" w:space="0" w:color="auto"/>
              <w:right w:val="single" w:sz="4" w:space="0" w:color="auto"/>
            </w:tcBorders>
          </w:tcPr>
          <w:p w:rsidR="00000000" w:rsidRDefault="00000000">
            <w:pPr>
              <w:ind w:right="536"/>
              <w:jc w:val="right"/>
              <w:rPr>
                <w:snapToGrid w:val="0"/>
              </w:rPr>
            </w:pPr>
            <w:r>
              <w:rPr>
                <w:snapToGrid w:val="0"/>
              </w:rPr>
              <w:t>5 217</w:t>
            </w:r>
          </w:p>
        </w:tc>
      </w:tr>
      <w:tr w:rsidR="00000000">
        <w:tblPrEx>
          <w:tblCellMar>
            <w:top w:w="0" w:type="dxa"/>
            <w:bottom w:w="0" w:type="dxa"/>
          </w:tblCellMar>
        </w:tblPrEx>
        <w:trPr>
          <w:trHeight w:val="235"/>
        </w:trPr>
        <w:tc>
          <w:tcPr>
            <w:tcW w:w="1418" w:type="dxa"/>
            <w:tcBorders>
              <w:left w:val="single" w:sz="4" w:space="0" w:color="auto"/>
              <w:right w:val="single" w:sz="4" w:space="0" w:color="auto"/>
            </w:tcBorders>
          </w:tcPr>
          <w:p w:rsidR="00000000" w:rsidRDefault="00000000">
            <w:pPr>
              <w:rPr>
                <w:snapToGrid w:val="0"/>
              </w:rPr>
            </w:pPr>
            <w:r>
              <w:rPr>
                <w:snapToGrid w:val="0"/>
              </w:rPr>
              <w:t>1991</w:t>
            </w:r>
          </w:p>
        </w:tc>
        <w:tc>
          <w:tcPr>
            <w:tcW w:w="1276" w:type="dxa"/>
            <w:tcBorders>
              <w:left w:val="single" w:sz="4" w:space="0" w:color="auto"/>
              <w:right w:val="single" w:sz="4" w:space="0" w:color="auto"/>
            </w:tcBorders>
          </w:tcPr>
          <w:p w:rsidR="00000000" w:rsidRDefault="00000000">
            <w:pPr>
              <w:jc w:val="center"/>
              <w:rPr>
                <w:snapToGrid w:val="0"/>
              </w:rPr>
            </w:pPr>
            <w:r>
              <w:rPr>
                <w:snapToGrid w:val="0"/>
              </w:rPr>
              <w:t>632 322</w:t>
            </w:r>
          </w:p>
        </w:tc>
        <w:tc>
          <w:tcPr>
            <w:tcW w:w="1275" w:type="dxa"/>
            <w:tcBorders>
              <w:left w:val="single" w:sz="4" w:space="0" w:color="auto"/>
              <w:right w:val="single" w:sz="4" w:space="0" w:color="auto"/>
            </w:tcBorders>
          </w:tcPr>
          <w:p w:rsidR="00000000" w:rsidRDefault="00000000">
            <w:pPr>
              <w:jc w:val="center"/>
              <w:rPr>
                <w:snapToGrid w:val="0"/>
              </w:rPr>
            </w:pPr>
            <w:r>
              <w:rPr>
                <w:snapToGrid w:val="0"/>
              </w:rPr>
              <w:t>579 362</w:t>
            </w:r>
          </w:p>
        </w:tc>
        <w:tc>
          <w:tcPr>
            <w:tcW w:w="1559" w:type="dxa"/>
            <w:tcBorders>
              <w:left w:val="single" w:sz="4" w:space="0" w:color="auto"/>
              <w:right w:val="single" w:sz="4" w:space="0" w:color="auto"/>
            </w:tcBorders>
          </w:tcPr>
          <w:p w:rsidR="00000000" w:rsidRDefault="00000000">
            <w:pPr>
              <w:jc w:val="center"/>
              <w:rPr>
                <w:snapToGrid w:val="0"/>
              </w:rPr>
            </w:pPr>
            <w:r>
              <w:rPr>
                <w:snapToGrid w:val="0"/>
              </w:rPr>
              <w:t>46 679</w:t>
            </w:r>
          </w:p>
        </w:tc>
        <w:tc>
          <w:tcPr>
            <w:tcW w:w="1843" w:type="dxa"/>
            <w:tcBorders>
              <w:left w:val="single" w:sz="4" w:space="0" w:color="auto"/>
              <w:right w:val="single" w:sz="4" w:space="0" w:color="auto"/>
            </w:tcBorders>
          </w:tcPr>
          <w:p w:rsidR="00000000" w:rsidRDefault="00000000">
            <w:pPr>
              <w:ind w:right="536"/>
              <w:jc w:val="right"/>
              <w:rPr>
                <w:snapToGrid w:val="0"/>
              </w:rPr>
            </w:pPr>
            <w:r>
              <w:rPr>
                <w:snapToGrid w:val="0"/>
              </w:rPr>
              <w:t>6 281</w:t>
            </w:r>
          </w:p>
        </w:tc>
      </w:tr>
      <w:tr w:rsidR="00000000">
        <w:tblPrEx>
          <w:tblCellMar>
            <w:top w:w="0" w:type="dxa"/>
            <w:bottom w:w="0" w:type="dxa"/>
          </w:tblCellMar>
        </w:tblPrEx>
        <w:trPr>
          <w:trHeight w:val="235"/>
        </w:trPr>
        <w:tc>
          <w:tcPr>
            <w:tcW w:w="1418" w:type="dxa"/>
            <w:tcBorders>
              <w:left w:val="single" w:sz="4" w:space="0" w:color="auto"/>
              <w:right w:val="single" w:sz="4" w:space="0" w:color="auto"/>
            </w:tcBorders>
          </w:tcPr>
          <w:p w:rsidR="00000000" w:rsidRDefault="00000000">
            <w:pPr>
              <w:rPr>
                <w:snapToGrid w:val="0"/>
              </w:rPr>
            </w:pPr>
            <w:r>
              <w:rPr>
                <w:snapToGrid w:val="0"/>
              </w:rPr>
              <w:t>1992</w:t>
            </w:r>
          </w:p>
        </w:tc>
        <w:tc>
          <w:tcPr>
            <w:tcW w:w="1276" w:type="dxa"/>
            <w:tcBorders>
              <w:left w:val="single" w:sz="4" w:space="0" w:color="auto"/>
              <w:right w:val="single" w:sz="4" w:space="0" w:color="auto"/>
            </w:tcBorders>
          </w:tcPr>
          <w:p w:rsidR="00000000" w:rsidRDefault="00000000">
            <w:pPr>
              <w:jc w:val="center"/>
              <w:rPr>
                <w:snapToGrid w:val="0"/>
              </w:rPr>
            </w:pPr>
            <w:r>
              <w:rPr>
                <w:snapToGrid w:val="0"/>
              </w:rPr>
              <w:t>532 514</w:t>
            </w:r>
          </w:p>
        </w:tc>
        <w:tc>
          <w:tcPr>
            <w:tcW w:w="1275" w:type="dxa"/>
            <w:tcBorders>
              <w:left w:val="single" w:sz="4" w:space="0" w:color="auto"/>
              <w:right w:val="single" w:sz="4" w:space="0" w:color="auto"/>
            </w:tcBorders>
          </w:tcPr>
          <w:p w:rsidR="00000000" w:rsidRDefault="00000000">
            <w:pPr>
              <w:jc w:val="center"/>
              <w:rPr>
                <w:snapToGrid w:val="0"/>
              </w:rPr>
            </w:pPr>
            <w:r>
              <w:rPr>
                <w:snapToGrid w:val="0"/>
              </w:rPr>
              <w:t>490 916</w:t>
            </w:r>
          </w:p>
        </w:tc>
        <w:tc>
          <w:tcPr>
            <w:tcW w:w="1559" w:type="dxa"/>
            <w:tcBorders>
              <w:left w:val="single" w:sz="4" w:space="0" w:color="auto"/>
              <w:right w:val="single" w:sz="4" w:space="0" w:color="auto"/>
            </w:tcBorders>
          </w:tcPr>
          <w:p w:rsidR="00000000" w:rsidRDefault="00000000">
            <w:pPr>
              <w:jc w:val="center"/>
              <w:rPr>
                <w:snapToGrid w:val="0"/>
              </w:rPr>
            </w:pPr>
            <w:r>
              <w:rPr>
                <w:snapToGrid w:val="0"/>
              </w:rPr>
              <w:t>33 299</w:t>
            </w:r>
          </w:p>
        </w:tc>
        <w:tc>
          <w:tcPr>
            <w:tcW w:w="1843" w:type="dxa"/>
            <w:tcBorders>
              <w:left w:val="single" w:sz="4" w:space="0" w:color="auto"/>
              <w:right w:val="single" w:sz="4" w:space="0" w:color="auto"/>
            </w:tcBorders>
          </w:tcPr>
          <w:p w:rsidR="00000000" w:rsidRDefault="00000000">
            <w:pPr>
              <w:ind w:right="536"/>
              <w:jc w:val="right"/>
              <w:rPr>
                <w:snapToGrid w:val="0"/>
              </w:rPr>
            </w:pPr>
            <w:r>
              <w:rPr>
                <w:snapToGrid w:val="0"/>
              </w:rPr>
              <w:t>8 299</w:t>
            </w:r>
          </w:p>
        </w:tc>
      </w:tr>
      <w:tr w:rsidR="00000000">
        <w:tblPrEx>
          <w:tblCellMar>
            <w:top w:w="0" w:type="dxa"/>
            <w:bottom w:w="0" w:type="dxa"/>
          </w:tblCellMar>
        </w:tblPrEx>
        <w:trPr>
          <w:trHeight w:val="235"/>
        </w:trPr>
        <w:tc>
          <w:tcPr>
            <w:tcW w:w="1418" w:type="dxa"/>
            <w:tcBorders>
              <w:left w:val="single" w:sz="4" w:space="0" w:color="auto"/>
              <w:right w:val="single" w:sz="4" w:space="0" w:color="auto"/>
            </w:tcBorders>
          </w:tcPr>
          <w:p w:rsidR="00000000" w:rsidRDefault="00000000">
            <w:pPr>
              <w:rPr>
                <w:snapToGrid w:val="0"/>
              </w:rPr>
            </w:pPr>
            <w:r>
              <w:rPr>
                <w:snapToGrid w:val="0"/>
              </w:rPr>
              <w:t>1993</w:t>
            </w:r>
          </w:p>
        </w:tc>
        <w:tc>
          <w:tcPr>
            <w:tcW w:w="1276" w:type="dxa"/>
            <w:tcBorders>
              <w:left w:val="single" w:sz="4" w:space="0" w:color="auto"/>
              <w:right w:val="single" w:sz="4" w:space="0" w:color="auto"/>
            </w:tcBorders>
          </w:tcPr>
          <w:p w:rsidR="00000000" w:rsidRDefault="00000000">
            <w:pPr>
              <w:jc w:val="center"/>
              <w:rPr>
                <w:snapToGrid w:val="0"/>
              </w:rPr>
            </w:pPr>
            <w:r>
              <w:rPr>
                <w:snapToGrid w:val="0"/>
              </w:rPr>
              <w:t>412 293</w:t>
            </w:r>
          </w:p>
        </w:tc>
        <w:tc>
          <w:tcPr>
            <w:tcW w:w="1275" w:type="dxa"/>
            <w:tcBorders>
              <w:left w:val="single" w:sz="4" w:space="0" w:color="auto"/>
              <w:right w:val="single" w:sz="4" w:space="0" w:color="auto"/>
            </w:tcBorders>
          </w:tcPr>
          <w:p w:rsidR="00000000" w:rsidRDefault="00000000">
            <w:pPr>
              <w:jc w:val="center"/>
              <w:rPr>
                <w:snapToGrid w:val="0"/>
              </w:rPr>
            </w:pPr>
            <w:r>
              <w:rPr>
                <w:snapToGrid w:val="0"/>
              </w:rPr>
              <w:t>374 167</w:t>
            </w:r>
          </w:p>
        </w:tc>
        <w:tc>
          <w:tcPr>
            <w:tcW w:w="1559" w:type="dxa"/>
            <w:tcBorders>
              <w:left w:val="single" w:sz="4" w:space="0" w:color="auto"/>
              <w:right w:val="single" w:sz="4" w:space="0" w:color="auto"/>
            </w:tcBorders>
          </w:tcPr>
          <w:p w:rsidR="00000000" w:rsidRDefault="00000000">
            <w:pPr>
              <w:jc w:val="center"/>
              <w:rPr>
                <w:snapToGrid w:val="0"/>
              </w:rPr>
            </w:pPr>
            <w:r>
              <w:rPr>
                <w:snapToGrid w:val="0"/>
              </w:rPr>
              <w:t>22 709</w:t>
            </w:r>
          </w:p>
        </w:tc>
        <w:tc>
          <w:tcPr>
            <w:tcW w:w="1843" w:type="dxa"/>
            <w:tcBorders>
              <w:left w:val="single" w:sz="4" w:space="0" w:color="auto"/>
              <w:right w:val="single" w:sz="4" w:space="0" w:color="auto"/>
            </w:tcBorders>
          </w:tcPr>
          <w:p w:rsidR="00000000" w:rsidRDefault="00000000">
            <w:pPr>
              <w:ind w:right="536"/>
              <w:jc w:val="right"/>
              <w:rPr>
                <w:snapToGrid w:val="0"/>
              </w:rPr>
            </w:pPr>
            <w:r>
              <w:rPr>
                <w:snapToGrid w:val="0"/>
              </w:rPr>
              <w:t>15 417</w:t>
            </w:r>
          </w:p>
        </w:tc>
      </w:tr>
      <w:tr w:rsidR="00000000">
        <w:tblPrEx>
          <w:tblCellMar>
            <w:top w:w="0" w:type="dxa"/>
            <w:bottom w:w="0" w:type="dxa"/>
          </w:tblCellMar>
        </w:tblPrEx>
        <w:trPr>
          <w:trHeight w:val="235"/>
        </w:trPr>
        <w:tc>
          <w:tcPr>
            <w:tcW w:w="1418" w:type="dxa"/>
            <w:tcBorders>
              <w:left w:val="single" w:sz="4" w:space="0" w:color="auto"/>
              <w:right w:val="single" w:sz="4" w:space="0" w:color="auto"/>
            </w:tcBorders>
          </w:tcPr>
          <w:p w:rsidR="00000000" w:rsidRDefault="00000000">
            <w:pPr>
              <w:rPr>
                <w:snapToGrid w:val="0"/>
              </w:rPr>
            </w:pPr>
            <w:r>
              <w:rPr>
                <w:snapToGrid w:val="0"/>
              </w:rPr>
              <w:t>1994</w:t>
            </w:r>
          </w:p>
        </w:tc>
        <w:tc>
          <w:tcPr>
            <w:tcW w:w="1276" w:type="dxa"/>
            <w:tcBorders>
              <w:left w:val="single" w:sz="4" w:space="0" w:color="auto"/>
              <w:right w:val="single" w:sz="4" w:space="0" w:color="auto"/>
            </w:tcBorders>
          </w:tcPr>
          <w:p w:rsidR="00000000" w:rsidRDefault="00000000">
            <w:pPr>
              <w:jc w:val="center"/>
              <w:rPr>
                <w:snapToGrid w:val="0"/>
              </w:rPr>
            </w:pPr>
            <w:r>
              <w:rPr>
                <w:snapToGrid w:val="0"/>
              </w:rPr>
              <w:t>388 304</w:t>
            </w:r>
          </w:p>
        </w:tc>
        <w:tc>
          <w:tcPr>
            <w:tcW w:w="1275" w:type="dxa"/>
            <w:tcBorders>
              <w:left w:val="single" w:sz="4" w:space="0" w:color="auto"/>
              <w:right w:val="single" w:sz="4" w:space="0" w:color="auto"/>
            </w:tcBorders>
          </w:tcPr>
          <w:p w:rsidR="00000000" w:rsidRDefault="00000000">
            <w:pPr>
              <w:jc w:val="center"/>
              <w:rPr>
                <w:snapToGrid w:val="0"/>
              </w:rPr>
            </w:pPr>
            <w:r>
              <w:rPr>
                <w:snapToGrid w:val="0"/>
              </w:rPr>
              <w:t>350 210</w:t>
            </w:r>
          </w:p>
        </w:tc>
        <w:tc>
          <w:tcPr>
            <w:tcW w:w="1559" w:type="dxa"/>
            <w:tcBorders>
              <w:left w:val="single" w:sz="4" w:space="0" w:color="auto"/>
              <w:right w:val="single" w:sz="4" w:space="0" w:color="auto"/>
            </w:tcBorders>
          </w:tcPr>
          <w:p w:rsidR="00000000" w:rsidRDefault="00000000">
            <w:pPr>
              <w:jc w:val="center"/>
              <w:rPr>
                <w:snapToGrid w:val="0"/>
              </w:rPr>
            </w:pPr>
            <w:r>
              <w:rPr>
                <w:snapToGrid w:val="0"/>
              </w:rPr>
              <w:t>22 824</w:t>
            </w:r>
          </w:p>
        </w:tc>
        <w:tc>
          <w:tcPr>
            <w:tcW w:w="1843" w:type="dxa"/>
            <w:tcBorders>
              <w:left w:val="single" w:sz="4" w:space="0" w:color="auto"/>
              <w:right w:val="single" w:sz="4" w:space="0" w:color="auto"/>
            </w:tcBorders>
          </w:tcPr>
          <w:p w:rsidR="00000000" w:rsidRDefault="00000000">
            <w:pPr>
              <w:ind w:right="536"/>
              <w:jc w:val="right"/>
              <w:rPr>
                <w:snapToGrid w:val="0"/>
              </w:rPr>
            </w:pPr>
            <w:r>
              <w:rPr>
                <w:snapToGrid w:val="0"/>
              </w:rPr>
              <w:t>15 270</w:t>
            </w:r>
          </w:p>
        </w:tc>
      </w:tr>
      <w:tr w:rsidR="00000000">
        <w:tblPrEx>
          <w:tblCellMar>
            <w:top w:w="0" w:type="dxa"/>
            <w:bottom w:w="0" w:type="dxa"/>
          </w:tblCellMar>
        </w:tblPrEx>
        <w:trPr>
          <w:trHeight w:val="235"/>
        </w:trPr>
        <w:tc>
          <w:tcPr>
            <w:tcW w:w="1418" w:type="dxa"/>
            <w:tcBorders>
              <w:left w:val="single" w:sz="4" w:space="0" w:color="auto"/>
              <w:right w:val="single" w:sz="4" w:space="0" w:color="auto"/>
            </w:tcBorders>
          </w:tcPr>
          <w:p w:rsidR="00000000" w:rsidRDefault="00000000">
            <w:pPr>
              <w:rPr>
                <w:snapToGrid w:val="0"/>
              </w:rPr>
            </w:pPr>
            <w:r>
              <w:rPr>
                <w:snapToGrid w:val="0"/>
              </w:rPr>
              <w:t>1995</w:t>
            </w:r>
          </w:p>
        </w:tc>
        <w:tc>
          <w:tcPr>
            <w:tcW w:w="1276" w:type="dxa"/>
            <w:tcBorders>
              <w:left w:val="single" w:sz="4" w:space="0" w:color="auto"/>
              <w:right w:val="single" w:sz="4" w:space="0" w:color="auto"/>
            </w:tcBorders>
          </w:tcPr>
          <w:p w:rsidR="00000000" w:rsidRDefault="00000000">
            <w:pPr>
              <w:jc w:val="center"/>
              <w:rPr>
                <w:snapToGrid w:val="0"/>
              </w:rPr>
            </w:pPr>
            <w:r>
              <w:rPr>
                <w:snapToGrid w:val="0"/>
              </w:rPr>
              <w:t>424 137</w:t>
            </w:r>
          </w:p>
        </w:tc>
        <w:tc>
          <w:tcPr>
            <w:tcW w:w="1275" w:type="dxa"/>
            <w:tcBorders>
              <w:left w:val="single" w:sz="4" w:space="0" w:color="auto"/>
              <w:right w:val="single" w:sz="4" w:space="0" w:color="auto"/>
            </w:tcBorders>
          </w:tcPr>
          <w:p w:rsidR="00000000" w:rsidRDefault="00000000">
            <w:pPr>
              <w:jc w:val="center"/>
              <w:rPr>
                <w:snapToGrid w:val="0"/>
              </w:rPr>
            </w:pPr>
            <w:r>
              <w:rPr>
                <w:snapToGrid w:val="0"/>
              </w:rPr>
              <w:t>374 700</w:t>
            </w:r>
          </w:p>
        </w:tc>
        <w:tc>
          <w:tcPr>
            <w:tcW w:w="1559" w:type="dxa"/>
            <w:tcBorders>
              <w:left w:val="single" w:sz="4" w:space="0" w:color="auto"/>
              <w:right w:val="single" w:sz="4" w:space="0" w:color="auto"/>
            </w:tcBorders>
          </w:tcPr>
          <w:p w:rsidR="00000000" w:rsidRDefault="00000000">
            <w:pPr>
              <w:jc w:val="center"/>
              <w:rPr>
                <w:snapToGrid w:val="0"/>
              </w:rPr>
            </w:pPr>
            <w:r>
              <w:rPr>
                <w:snapToGrid w:val="0"/>
              </w:rPr>
              <w:t>28 791</w:t>
            </w:r>
          </w:p>
        </w:tc>
        <w:tc>
          <w:tcPr>
            <w:tcW w:w="1843" w:type="dxa"/>
            <w:tcBorders>
              <w:left w:val="single" w:sz="4" w:space="0" w:color="auto"/>
              <w:right w:val="single" w:sz="4" w:space="0" w:color="auto"/>
            </w:tcBorders>
          </w:tcPr>
          <w:p w:rsidR="00000000" w:rsidRDefault="00000000">
            <w:pPr>
              <w:ind w:right="536"/>
              <w:jc w:val="right"/>
              <w:rPr>
                <w:snapToGrid w:val="0"/>
              </w:rPr>
            </w:pPr>
            <w:r>
              <w:rPr>
                <w:snapToGrid w:val="0"/>
              </w:rPr>
              <w:t>20 646</w:t>
            </w:r>
          </w:p>
        </w:tc>
      </w:tr>
      <w:tr w:rsidR="00000000">
        <w:tblPrEx>
          <w:tblCellMar>
            <w:top w:w="0" w:type="dxa"/>
            <w:bottom w:w="0" w:type="dxa"/>
          </w:tblCellMar>
        </w:tblPrEx>
        <w:trPr>
          <w:trHeight w:val="235"/>
        </w:trPr>
        <w:tc>
          <w:tcPr>
            <w:tcW w:w="1418" w:type="dxa"/>
            <w:tcBorders>
              <w:left w:val="single" w:sz="4" w:space="0" w:color="auto"/>
              <w:right w:val="single" w:sz="4" w:space="0" w:color="auto"/>
            </w:tcBorders>
          </w:tcPr>
          <w:p w:rsidR="00000000" w:rsidRDefault="00000000">
            <w:pPr>
              <w:rPr>
                <w:snapToGrid w:val="0"/>
              </w:rPr>
            </w:pPr>
            <w:r>
              <w:rPr>
                <w:snapToGrid w:val="0"/>
              </w:rPr>
              <w:t>1996</w:t>
            </w:r>
          </w:p>
        </w:tc>
        <w:tc>
          <w:tcPr>
            <w:tcW w:w="1276" w:type="dxa"/>
            <w:tcBorders>
              <w:left w:val="single" w:sz="4" w:space="0" w:color="auto"/>
              <w:right w:val="single" w:sz="4" w:space="0" w:color="auto"/>
            </w:tcBorders>
          </w:tcPr>
          <w:p w:rsidR="00000000" w:rsidRDefault="00000000">
            <w:pPr>
              <w:jc w:val="center"/>
              <w:rPr>
                <w:snapToGrid w:val="0"/>
              </w:rPr>
            </w:pPr>
            <w:r>
              <w:rPr>
                <w:snapToGrid w:val="0"/>
              </w:rPr>
              <w:t>395 455</w:t>
            </w:r>
          </w:p>
        </w:tc>
        <w:tc>
          <w:tcPr>
            <w:tcW w:w="1275" w:type="dxa"/>
            <w:tcBorders>
              <w:left w:val="single" w:sz="4" w:space="0" w:color="auto"/>
              <w:right w:val="single" w:sz="4" w:space="0" w:color="auto"/>
            </w:tcBorders>
          </w:tcPr>
          <w:p w:rsidR="00000000" w:rsidRDefault="00000000">
            <w:pPr>
              <w:jc w:val="center"/>
              <w:rPr>
                <w:snapToGrid w:val="0"/>
              </w:rPr>
            </w:pPr>
            <w:r>
              <w:rPr>
                <w:snapToGrid w:val="0"/>
              </w:rPr>
              <w:t>325 870</w:t>
            </w:r>
          </w:p>
        </w:tc>
        <w:tc>
          <w:tcPr>
            <w:tcW w:w="1559" w:type="dxa"/>
            <w:tcBorders>
              <w:left w:val="single" w:sz="4" w:space="0" w:color="auto"/>
              <w:right w:val="single" w:sz="4" w:space="0" w:color="auto"/>
            </w:tcBorders>
          </w:tcPr>
          <w:p w:rsidR="00000000" w:rsidRDefault="00000000">
            <w:pPr>
              <w:jc w:val="center"/>
              <w:rPr>
                <w:snapToGrid w:val="0"/>
              </w:rPr>
            </w:pPr>
            <w:r>
              <w:rPr>
                <w:snapToGrid w:val="0"/>
              </w:rPr>
              <w:t>34 696</w:t>
            </w:r>
          </w:p>
        </w:tc>
        <w:tc>
          <w:tcPr>
            <w:tcW w:w="1843" w:type="dxa"/>
            <w:tcBorders>
              <w:left w:val="single" w:sz="4" w:space="0" w:color="auto"/>
              <w:right w:val="single" w:sz="4" w:space="0" w:color="auto"/>
            </w:tcBorders>
          </w:tcPr>
          <w:p w:rsidR="00000000" w:rsidRDefault="00000000">
            <w:pPr>
              <w:ind w:right="536"/>
              <w:jc w:val="right"/>
              <w:rPr>
                <w:snapToGrid w:val="0"/>
              </w:rPr>
            </w:pPr>
            <w:r>
              <w:rPr>
                <w:snapToGrid w:val="0"/>
              </w:rPr>
              <w:t>34 889</w:t>
            </w:r>
          </w:p>
        </w:tc>
      </w:tr>
      <w:tr w:rsidR="00000000">
        <w:tblPrEx>
          <w:tblCellMar>
            <w:top w:w="0" w:type="dxa"/>
            <w:bottom w:w="0" w:type="dxa"/>
          </w:tblCellMar>
        </w:tblPrEx>
        <w:trPr>
          <w:trHeight w:val="192"/>
        </w:trPr>
        <w:tc>
          <w:tcPr>
            <w:tcW w:w="1418" w:type="dxa"/>
            <w:tcBorders>
              <w:left w:val="single" w:sz="4" w:space="0" w:color="auto"/>
              <w:right w:val="single" w:sz="4" w:space="0" w:color="auto"/>
            </w:tcBorders>
          </w:tcPr>
          <w:p w:rsidR="00000000" w:rsidRDefault="00000000">
            <w:pPr>
              <w:rPr>
                <w:snapToGrid w:val="0"/>
              </w:rPr>
            </w:pPr>
            <w:r>
              <w:rPr>
                <w:snapToGrid w:val="0"/>
              </w:rPr>
              <w:t>1997</w:t>
            </w:r>
          </w:p>
        </w:tc>
        <w:tc>
          <w:tcPr>
            <w:tcW w:w="1276" w:type="dxa"/>
            <w:tcBorders>
              <w:left w:val="single" w:sz="4" w:space="0" w:color="auto"/>
              <w:right w:val="single" w:sz="4" w:space="0" w:color="auto"/>
            </w:tcBorders>
          </w:tcPr>
          <w:p w:rsidR="00000000" w:rsidRDefault="00000000">
            <w:pPr>
              <w:jc w:val="center"/>
              <w:rPr>
                <w:snapToGrid w:val="0"/>
              </w:rPr>
            </w:pPr>
            <w:r>
              <w:rPr>
                <w:snapToGrid w:val="0"/>
              </w:rPr>
              <w:t>421 343</w:t>
            </w:r>
          </w:p>
        </w:tc>
        <w:tc>
          <w:tcPr>
            <w:tcW w:w="1275" w:type="dxa"/>
            <w:tcBorders>
              <w:left w:val="single" w:sz="4" w:space="0" w:color="auto"/>
              <w:right w:val="single" w:sz="4" w:space="0" w:color="auto"/>
            </w:tcBorders>
          </w:tcPr>
          <w:p w:rsidR="00000000" w:rsidRDefault="00000000">
            <w:pPr>
              <w:jc w:val="center"/>
              <w:rPr>
                <w:snapToGrid w:val="0"/>
              </w:rPr>
            </w:pPr>
            <w:r>
              <w:rPr>
                <w:snapToGrid w:val="0"/>
              </w:rPr>
              <w:t>347 482</w:t>
            </w:r>
          </w:p>
        </w:tc>
        <w:tc>
          <w:tcPr>
            <w:tcW w:w="1559" w:type="dxa"/>
            <w:tcBorders>
              <w:left w:val="single" w:sz="4" w:space="0" w:color="auto"/>
              <w:right w:val="single" w:sz="4" w:space="0" w:color="auto"/>
            </w:tcBorders>
          </w:tcPr>
          <w:p w:rsidR="00000000" w:rsidRDefault="00000000">
            <w:pPr>
              <w:jc w:val="center"/>
              <w:rPr>
                <w:snapToGrid w:val="0"/>
              </w:rPr>
            </w:pPr>
            <w:r>
              <w:rPr>
                <w:snapToGrid w:val="0"/>
              </w:rPr>
              <w:t>37 213</w:t>
            </w:r>
          </w:p>
        </w:tc>
        <w:tc>
          <w:tcPr>
            <w:tcW w:w="1843" w:type="dxa"/>
            <w:tcBorders>
              <w:left w:val="single" w:sz="4" w:space="0" w:color="auto"/>
              <w:right w:val="single" w:sz="4" w:space="0" w:color="auto"/>
            </w:tcBorders>
          </w:tcPr>
          <w:p w:rsidR="00000000" w:rsidRDefault="00000000">
            <w:pPr>
              <w:ind w:right="536"/>
              <w:jc w:val="right"/>
              <w:rPr>
                <w:snapToGrid w:val="0"/>
              </w:rPr>
            </w:pPr>
            <w:r>
              <w:rPr>
                <w:snapToGrid w:val="0"/>
              </w:rPr>
              <w:t>36 648</w:t>
            </w:r>
          </w:p>
        </w:tc>
      </w:tr>
      <w:tr w:rsidR="00000000">
        <w:tblPrEx>
          <w:tblCellMar>
            <w:top w:w="0" w:type="dxa"/>
            <w:bottom w:w="0" w:type="dxa"/>
          </w:tblCellMar>
        </w:tblPrEx>
        <w:trPr>
          <w:trHeight w:val="192"/>
        </w:trPr>
        <w:tc>
          <w:tcPr>
            <w:tcW w:w="1418" w:type="dxa"/>
            <w:tcBorders>
              <w:left w:val="single" w:sz="4" w:space="0" w:color="auto"/>
              <w:bottom w:val="single" w:sz="4" w:space="0" w:color="auto"/>
              <w:right w:val="single" w:sz="4" w:space="0" w:color="auto"/>
            </w:tcBorders>
          </w:tcPr>
          <w:p w:rsidR="00000000" w:rsidRDefault="00000000">
            <w:pPr>
              <w:rPr>
                <w:snapToGrid w:val="0"/>
              </w:rPr>
            </w:pPr>
            <w:r>
              <w:rPr>
                <w:snapToGrid w:val="0"/>
              </w:rPr>
              <w:t>1998</w:t>
            </w:r>
          </w:p>
        </w:tc>
        <w:tc>
          <w:tcPr>
            <w:tcW w:w="1276" w:type="dxa"/>
            <w:tcBorders>
              <w:left w:val="single" w:sz="4" w:space="0" w:color="auto"/>
              <w:bottom w:val="single" w:sz="4" w:space="0" w:color="auto"/>
              <w:right w:val="single" w:sz="4" w:space="0" w:color="auto"/>
            </w:tcBorders>
          </w:tcPr>
          <w:p w:rsidR="00000000" w:rsidRDefault="00000000">
            <w:pPr>
              <w:jc w:val="center"/>
              <w:rPr>
                <w:snapToGrid w:val="0"/>
              </w:rPr>
            </w:pPr>
            <w:r>
              <w:rPr>
                <w:snapToGrid w:val="0"/>
              </w:rPr>
              <w:t>414 341</w:t>
            </w:r>
          </w:p>
        </w:tc>
        <w:tc>
          <w:tcPr>
            <w:tcW w:w="1275" w:type="dxa"/>
            <w:tcBorders>
              <w:left w:val="single" w:sz="4" w:space="0" w:color="auto"/>
              <w:bottom w:val="single" w:sz="4" w:space="0" w:color="auto"/>
              <w:right w:val="single" w:sz="4" w:space="0" w:color="auto"/>
            </w:tcBorders>
          </w:tcPr>
          <w:p w:rsidR="00000000" w:rsidRDefault="00000000">
            <w:pPr>
              <w:jc w:val="center"/>
              <w:rPr>
                <w:snapToGrid w:val="0"/>
              </w:rPr>
            </w:pPr>
            <w:r>
              <w:rPr>
                <w:snapToGrid w:val="0"/>
              </w:rPr>
              <w:t>347 738</w:t>
            </w:r>
          </w:p>
        </w:tc>
        <w:tc>
          <w:tcPr>
            <w:tcW w:w="1559" w:type="dxa"/>
            <w:tcBorders>
              <w:left w:val="single" w:sz="4" w:space="0" w:color="auto"/>
              <w:bottom w:val="single" w:sz="4" w:space="0" w:color="auto"/>
              <w:right w:val="single" w:sz="4" w:space="0" w:color="auto"/>
            </w:tcBorders>
          </w:tcPr>
          <w:p w:rsidR="00000000" w:rsidRDefault="00000000">
            <w:pPr>
              <w:jc w:val="center"/>
              <w:rPr>
                <w:snapToGrid w:val="0"/>
              </w:rPr>
            </w:pPr>
            <w:r>
              <w:rPr>
                <w:snapToGrid w:val="0"/>
              </w:rPr>
              <w:t>36 114</w:t>
            </w:r>
          </w:p>
        </w:tc>
        <w:tc>
          <w:tcPr>
            <w:tcW w:w="1843" w:type="dxa"/>
            <w:tcBorders>
              <w:left w:val="single" w:sz="4" w:space="0" w:color="auto"/>
              <w:bottom w:val="single" w:sz="4" w:space="0" w:color="auto"/>
              <w:right w:val="single" w:sz="4" w:space="0" w:color="auto"/>
            </w:tcBorders>
          </w:tcPr>
          <w:p w:rsidR="00000000" w:rsidRDefault="00000000">
            <w:pPr>
              <w:ind w:right="536"/>
              <w:jc w:val="right"/>
              <w:rPr>
                <w:snapToGrid w:val="0"/>
              </w:rPr>
            </w:pPr>
            <w:r>
              <w:rPr>
                <w:snapToGrid w:val="0"/>
              </w:rPr>
              <w:t>30 489</w:t>
            </w:r>
          </w:p>
        </w:tc>
      </w:tr>
    </w:tbl>
    <w:p w:rsidR="00000000" w:rsidRDefault="00000000">
      <w:pPr>
        <w:rPr>
          <w:b/>
          <w:kern w:val="2"/>
        </w:rPr>
      </w:pPr>
    </w:p>
    <w:p w:rsidR="00000000" w:rsidRDefault="00000000">
      <w:pPr>
        <w:rPr>
          <w:kern w:val="2"/>
        </w:rPr>
      </w:pPr>
      <w:r>
        <w:rPr>
          <w:b/>
          <w:kern w:val="2"/>
        </w:rPr>
        <w:tab/>
      </w:r>
      <w:r>
        <w:rPr>
          <w:b/>
          <w:kern w:val="2"/>
        </w:rPr>
        <w:tab/>
      </w:r>
      <w:r>
        <w:rPr>
          <w:kern w:val="2"/>
          <w:u w:val="single"/>
        </w:rPr>
        <w:t>Source</w:t>
      </w:r>
      <w:r>
        <w:rPr>
          <w:kern w:val="2"/>
        </w:rPr>
        <w:t>:  Social Security Annual Compilation of Statistics.</w:t>
      </w:r>
    </w:p>
    <w:p w:rsidR="00000000" w:rsidRDefault="00000000">
      <w:pPr>
        <w:rPr>
          <w:b/>
          <w:kern w:val="2"/>
        </w:rPr>
      </w:pPr>
    </w:p>
    <w:p w:rsidR="00000000" w:rsidRDefault="00000000">
      <w:pPr>
        <w:pStyle w:val="Heading1"/>
        <w:rPr>
          <w:kern w:val="2"/>
        </w:rPr>
      </w:pPr>
      <w:r>
        <w:rPr>
          <w:kern w:val="2"/>
        </w:rPr>
        <w:t>Table 27</w:t>
      </w:r>
    </w:p>
    <w:p w:rsidR="00000000" w:rsidRDefault="00000000">
      <w:pPr>
        <w:pStyle w:val="Heading1"/>
        <w:rPr>
          <w:kern w:val="2"/>
        </w:rPr>
      </w:pPr>
    </w:p>
    <w:p w:rsidR="00000000" w:rsidRDefault="00000000">
      <w:pPr>
        <w:pStyle w:val="Heading1"/>
        <w:rPr>
          <w:snapToGrid w:val="0"/>
          <w:kern w:val="2"/>
        </w:rPr>
      </w:pPr>
      <w:r>
        <w:rPr>
          <w:kern w:val="2"/>
        </w:rPr>
        <w:t xml:space="preserve">Monthly record of workplace accidents by cause, </w:t>
      </w:r>
      <w:r>
        <w:rPr>
          <w:snapToGrid w:val="0"/>
          <w:kern w:val="2"/>
        </w:rPr>
        <w:t>1997</w:t>
      </w:r>
      <w:r>
        <w:rPr>
          <w:snapToGrid w:val="0"/>
          <w:kern w:val="2"/>
        </w:rPr>
        <w:noBreakHyphen/>
        <w:t>1999</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205"/>
        <w:gridCol w:w="952"/>
        <w:gridCol w:w="992"/>
        <w:gridCol w:w="992"/>
        <w:gridCol w:w="1174"/>
        <w:gridCol w:w="1333"/>
      </w:tblGrid>
      <w:tr w:rsidR="00000000">
        <w:tblPrEx>
          <w:tblCellMar>
            <w:top w:w="0" w:type="dxa"/>
            <w:bottom w:w="0" w:type="dxa"/>
          </w:tblCellMar>
        </w:tblPrEx>
        <w:trPr>
          <w:cantSplit/>
          <w:jc w:val="center"/>
        </w:trPr>
        <w:tc>
          <w:tcPr>
            <w:tcW w:w="1205" w:type="dxa"/>
            <w:vMerge w:val="restart"/>
            <w:tcBorders>
              <w:top w:val="single" w:sz="4" w:space="0" w:color="auto"/>
              <w:bottom w:val="single" w:sz="4" w:space="0" w:color="auto"/>
            </w:tcBorders>
          </w:tcPr>
          <w:p w:rsidR="00000000" w:rsidRDefault="00000000">
            <w:pPr>
              <w:rPr>
                <w:snapToGrid w:val="0"/>
                <w:sz w:val="22"/>
              </w:rPr>
            </w:pPr>
          </w:p>
          <w:p w:rsidR="00000000" w:rsidRDefault="00000000">
            <w:pPr>
              <w:rPr>
                <w:snapToGrid w:val="0"/>
                <w:sz w:val="22"/>
              </w:rPr>
            </w:pPr>
          </w:p>
          <w:p w:rsidR="00000000" w:rsidRDefault="00000000">
            <w:pPr>
              <w:jc w:val="center"/>
              <w:rPr>
                <w:snapToGrid w:val="0"/>
                <w:sz w:val="22"/>
              </w:rPr>
            </w:pPr>
            <w:r>
              <w:rPr>
                <w:snapToGrid w:val="0"/>
                <w:sz w:val="22"/>
              </w:rPr>
              <w:t>Months</w:t>
            </w:r>
          </w:p>
        </w:tc>
        <w:tc>
          <w:tcPr>
            <w:tcW w:w="952" w:type="dxa"/>
            <w:vMerge w:val="restart"/>
            <w:tcBorders>
              <w:top w:val="single" w:sz="4" w:space="0" w:color="auto"/>
              <w:bottom w:val="single" w:sz="4" w:space="0" w:color="auto"/>
            </w:tcBorders>
          </w:tcPr>
          <w:p w:rsidR="00000000" w:rsidRDefault="00000000">
            <w:pPr>
              <w:jc w:val="center"/>
              <w:rPr>
                <w:snapToGrid w:val="0"/>
                <w:sz w:val="22"/>
              </w:rPr>
            </w:pPr>
          </w:p>
          <w:p w:rsidR="00000000" w:rsidRDefault="00000000">
            <w:pPr>
              <w:jc w:val="center"/>
              <w:rPr>
                <w:snapToGrid w:val="0"/>
                <w:sz w:val="22"/>
              </w:rPr>
            </w:pPr>
          </w:p>
          <w:p w:rsidR="00000000" w:rsidRDefault="00000000">
            <w:pPr>
              <w:jc w:val="center"/>
              <w:rPr>
                <w:snapToGrid w:val="0"/>
                <w:sz w:val="22"/>
              </w:rPr>
            </w:pPr>
            <w:r>
              <w:rPr>
                <w:snapToGrid w:val="0"/>
                <w:sz w:val="22"/>
              </w:rPr>
              <w:t>Years</w:t>
            </w:r>
          </w:p>
        </w:tc>
        <w:tc>
          <w:tcPr>
            <w:tcW w:w="4491" w:type="dxa"/>
            <w:gridSpan w:val="4"/>
            <w:tcBorders>
              <w:top w:val="single" w:sz="4" w:space="0" w:color="auto"/>
              <w:bottom w:val="single" w:sz="4" w:space="0" w:color="auto"/>
            </w:tcBorders>
          </w:tcPr>
          <w:p w:rsidR="00000000" w:rsidRDefault="00000000">
            <w:pPr>
              <w:jc w:val="center"/>
              <w:rPr>
                <w:snapToGrid w:val="0"/>
                <w:sz w:val="22"/>
              </w:rPr>
            </w:pPr>
            <w:r>
              <w:rPr>
                <w:snapToGrid w:val="0"/>
                <w:sz w:val="22"/>
              </w:rPr>
              <w:t>Number of workplace accidents recorded</w:t>
            </w:r>
          </w:p>
        </w:tc>
      </w:tr>
      <w:tr w:rsidR="00000000">
        <w:tblPrEx>
          <w:tblCellMar>
            <w:top w:w="0" w:type="dxa"/>
            <w:bottom w:w="0" w:type="dxa"/>
          </w:tblCellMar>
        </w:tblPrEx>
        <w:trPr>
          <w:cantSplit/>
          <w:jc w:val="center"/>
        </w:trPr>
        <w:tc>
          <w:tcPr>
            <w:tcW w:w="1205" w:type="dxa"/>
            <w:vMerge/>
            <w:tcBorders>
              <w:top w:val="single" w:sz="4" w:space="0" w:color="auto"/>
              <w:bottom w:val="single" w:sz="4" w:space="0" w:color="auto"/>
            </w:tcBorders>
          </w:tcPr>
          <w:p w:rsidR="00000000" w:rsidRDefault="00000000">
            <w:pPr>
              <w:rPr>
                <w:snapToGrid w:val="0"/>
                <w:sz w:val="22"/>
              </w:rPr>
            </w:pPr>
          </w:p>
        </w:tc>
        <w:tc>
          <w:tcPr>
            <w:tcW w:w="952" w:type="dxa"/>
            <w:vMerge/>
            <w:tcBorders>
              <w:top w:val="single" w:sz="4" w:space="0" w:color="auto"/>
              <w:bottom w:val="single" w:sz="4" w:space="0" w:color="auto"/>
            </w:tcBorders>
          </w:tcPr>
          <w:p w:rsidR="00000000" w:rsidRDefault="00000000">
            <w:pPr>
              <w:jc w:val="center"/>
              <w:rPr>
                <w:snapToGrid w:val="0"/>
                <w:sz w:val="22"/>
              </w:rPr>
            </w:pPr>
          </w:p>
        </w:tc>
        <w:tc>
          <w:tcPr>
            <w:tcW w:w="992" w:type="dxa"/>
            <w:vMerge w:val="restart"/>
            <w:tcBorders>
              <w:top w:val="single" w:sz="4" w:space="0" w:color="auto"/>
              <w:bottom w:val="single" w:sz="4" w:space="0" w:color="auto"/>
            </w:tcBorders>
          </w:tcPr>
          <w:p w:rsidR="00000000" w:rsidRDefault="00000000">
            <w:pPr>
              <w:jc w:val="center"/>
              <w:rPr>
                <w:snapToGrid w:val="0"/>
                <w:sz w:val="22"/>
              </w:rPr>
            </w:pPr>
          </w:p>
          <w:p w:rsidR="00000000" w:rsidRDefault="00000000">
            <w:pPr>
              <w:jc w:val="center"/>
              <w:rPr>
                <w:snapToGrid w:val="0"/>
                <w:sz w:val="22"/>
              </w:rPr>
            </w:pPr>
            <w:r>
              <w:rPr>
                <w:snapToGrid w:val="0"/>
                <w:sz w:val="22"/>
              </w:rPr>
              <w:t>Total</w:t>
            </w:r>
          </w:p>
        </w:tc>
        <w:tc>
          <w:tcPr>
            <w:tcW w:w="3499" w:type="dxa"/>
            <w:gridSpan w:val="3"/>
            <w:tcBorders>
              <w:top w:val="single" w:sz="4" w:space="0" w:color="auto"/>
              <w:bottom w:val="single" w:sz="4" w:space="0" w:color="auto"/>
            </w:tcBorders>
          </w:tcPr>
          <w:p w:rsidR="00000000" w:rsidRDefault="00000000">
            <w:pPr>
              <w:jc w:val="center"/>
              <w:rPr>
                <w:snapToGrid w:val="0"/>
                <w:sz w:val="22"/>
              </w:rPr>
            </w:pPr>
            <w:r>
              <w:rPr>
                <w:snapToGrid w:val="0"/>
                <w:sz w:val="22"/>
              </w:rPr>
              <w:t>Cause</w:t>
            </w:r>
          </w:p>
        </w:tc>
      </w:tr>
      <w:tr w:rsidR="00000000">
        <w:tblPrEx>
          <w:tblCellMar>
            <w:top w:w="0" w:type="dxa"/>
            <w:bottom w:w="0" w:type="dxa"/>
          </w:tblCellMar>
        </w:tblPrEx>
        <w:trPr>
          <w:cantSplit/>
          <w:jc w:val="center"/>
        </w:trPr>
        <w:tc>
          <w:tcPr>
            <w:tcW w:w="1205" w:type="dxa"/>
            <w:vMerge/>
            <w:tcBorders>
              <w:top w:val="single" w:sz="4" w:space="0" w:color="auto"/>
              <w:bottom w:val="single" w:sz="4" w:space="0" w:color="auto"/>
            </w:tcBorders>
          </w:tcPr>
          <w:p w:rsidR="00000000" w:rsidRDefault="00000000">
            <w:pPr>
              <w:rPr>
                <w:snapToGrid w:val="0"/>
                <w:sz w:val="22"/>
              </w:rPr>
            </w:pPr>
          </w:p>
        </w:tc>
        <w:tc>
          <w:tcPr>
            <w:tcW w:w="952" w:type="dxa"/>
            <w:vMerge/>
            <w:tcBorders>
              <w:top w:val="single" w:sz="4" w:space="0" w:color="auto"/>
              <w:bottom w:val="single" w:sz="4" w:space="0" w:color="auto"/>
            </w:tcBorders>
          </w:tcPr>
          <w:p w:rsidR="00000000" w:rsidRDefault="00000000">
            <w:pPr>
              <w:rPr>
                <w:snapToGrid w:val="0"/>
                <w:sz w:val="22"/>
              </w:rPr>
            </w:pPr>
          </w:p>
        </w:tc>
        <w:tc>
          <w:tcPr>
            <w:tcW w:w="992" w:type="dxa"/>
            <w:vMerge/>
            <w:tcBorders>
              <w:top w:val="single" w:sz="4" w:space="0" w:color="auto"/>
              <w:bottom w:val="single" w:sz="4" w:space="0" w:color="auto"/>
            </w:tcBorders>
          </w:tcPr>
          <w:p w:rsidR="00000000" w:rsidRDefault="00000000">
            <w:pPr>
              <w:rPr>
                <w:snapToGrid w:val="0"/>
                <w:sz w:val="22"/>
              </w:rPr>
            </w:pPr>
          </w:p>
        </w:tc>
        <w:tc>
          <w:tcPr>
            <w:tcW w:w="992" w:type="dxa"/>
            <w:tcBorders>
              <w:top w:val="single" w:sz="4" w:space="0" w:color="auto"/>
              <w:bottom w:val="single" w:sz="4" w:space="0" w:color="auto"/>
            </w:tcBorders>
          </w:tcPr>
          <w:p w:rsidR="00000000" w:rsidRDefault="00000000">
            <w:pPr>
              <w:rPr>
                <w:snapToGrid w:val="0"/>
                <w:sz w:val="22"/>
              </w:rPr>
            </w:pPr>
            <w:r>
              <w:rPr>
                <w:snapToGrid w:val="0"/>
                <w:sz w:val="22"/>
              </w:rPr>
              <w:t>Typical</w:t>
            </w:r>
          </w:p>
        </w:tc>
        <w:tc>
          <w:tcPr>
            <w:tcW w:w="1174" w:type="dxa"/>
            <w:tcBorders>
              <w:top w:val="single" w:sz="4" w:space="0" w:color="auto"/>
              <w:bottom w:val="single" w:sz="4" w:space="0" w:color="auto"/>
            </w:tcBorders>
          </w:tcPr>
          <w:p w:rsidR="00000000" w:rsidRDefault="00000000">
            <w:pPr>
              <w:rPr>
                <w:snapToGrid w:val="0"/>
                <w:sz w:val="22"/>
              </w:rPr>
            </w:pPr>
            <w:r>
              <w:rPr>
                <w:snapToGrid w:val="0"/>
                <w:sz w:val="22"/>
              </w:rPr>
              <w:t>On the way</w:t>
            </w:r>
          </w:p>
          <w:p w:rsidR="00000000" w:rsidRDefault="00000000">
            <w:pPr>
              <w:jc w:val="center"/>
              <w:rPr>
                <w:snapToGrid w:val="0"/>
                <w:sz w:val="22"/>
              </w:rPr>
            </w:pPr>
            <w:r>
              <w:rPr>
                <w:snapToGrid w:val="0"/>
                <w:sz w:val="22"/>
              </w:rPr>
              <w:t>to work</w:t>
            </w:r>
          </w:p>
        </w:tc>
        <w:tc>
          <w:tcPr>
            <w:tcW w:w="1333" w:type="dxa"/>
            <w:tcBorders>
              <w:top w:val="single" w:sz="4" w:space="0" w:color="auto"/>
              <w:bottom w:val="single" w:sz="4" w:space="0" w:color="auto"/>
            </w:tcBorders>
          </w:tcPr>
          <w:p w:rsidR="00000000" w:rsidRDefault="00000000">
            <w:pPr>
              <w:rPr>
                <w:snapToGrid w:val="0"/>
                <w:sz w:val="22"/>
              </w:rPr>
            </w:pPr>
            <w:r>
              <w:rPr>
                <w:snapToGrid w:val="0"/>
                <w:sz w:val="22"/>
              </w:rPr>
              <w:t>Occupational</w:t>
            </w:r>
          </w:p>
          <w:p w:rsidR="00000000" w:rsidRDefault="00000000">
            <w:pPr>
              <w:jc w:val="center"/>
              <w:rPr>
                <w:snapToGrid w:val="0"/>
                <w:sz w:val="22"/>
              </w:rPr>
            </w:pPr>
            <w:r>
              <w:rPr>
                <w:snapToGrid w:val="0"/>
                <w:sz w:val="22"/>
              </w:rPr>
              <w:t>diseases</w:t>
            </w:r>
          </w:p>
        </w:tc>
      </w:tr>
      <w:tr w:rsidR="00000000">
        <w:tblPrEx>
          <w:tblCellMar>
            <w:top w:w="0" w:type="dxa"/>
            <w:bottom w:w="0" w:type="dxa"/>
          </w:tblCellMar>
        </w:tblPrEx>
        <w:trPr>
          <w:cantSplit/>
          <w:jc w:val="center"/>
        </w:trPr>
        <w:tc>
          <w:tcPr>
            <w:tcW w:w="1205" w:type="dxa"/>
            <w:tcBorders>
              <w:top w:val="single" w:sz="4" w:space="0" w:color="auto"/>
            </w:tcBorders>
          </w:tcPr>
          <w:p w:rsidR="00000000" w:rsidRDefault="00000000">
            <w:pPr>
              <w:rPr>
                <w:b/>
                <w:snapToGrid w:val="0"/>
                <w:sz w:val="22"/>
              </w:rPr>
            </w:pPr>
          </w:p>
        </w:tc>
        <w:tc>
          <w:tcPr>
            <w:tcW w:w="952" w:type="dxa"/>
            <w:tcBorders>
              <w:top w:val="single" w:sz="4" w:space="0" w:color="auto"/>
            </w:tcBorders>
          </w:tcPr>
          <w:p w:rsidR="00000000" w:rsidRDefault="00000000">
            <w:pPr>
              <w:jc w:val="center"/>
              <w:rPr>
                <w:b/>
                <w:snapToGrid w:val="0"/>
                <w:sz w:val="22"/>
              </w:rPr>
            </w:pPr>
            <w:r>
              <w:rPr>
                <w:b/>
                <w:snapToGrid w:val="0"/>
                <w:sz w:val="22"/>
              </w:rPr>
              <w:t>1997</w:t>
            </w:r>
          </w:p>
        </w:tc>
        <w:tc>
          <w:tcPr>
            <w:tcW w:w="992" w:type="dxa"/>
            <w:tcBorders>
              <w:top w:val="single" w:sz="4" w:space="0" w:color="auto"/>
            </w:tcBorders>
          </w:tcPr>
          <w:p w:rsidR="00000000" w:rsidRDefault="00000000">
            <w:pPr>
              <w:jc w:val="center"/>
              <w:rPr>
                <w:b/>
                <w:snapToGrid w:val="0"/>
                <w:sz w:val="22"/>
              </w:rPr>
            </w:pPr>
            <w:r>
              <w:rPr>
                <w:b/>
                <w:snapToGrid w:val="0"/>
                <w:sz w:val="22"/>
              </w:rPr>
              <w:t>421 343</w:t>
            </w:r>
          </w:p>
        </w:tc>
        <w:tc>
          <w:tcPr>
            <w:tcW w:w="992" w:type="dxa"/>
            <w:tcBorders>
              <w:top w:val="single" w:sz="4" w:space="0" w:color="auto"/>
            </w:tcBorders>
          </w:tcPr>
          <w:p w:rsidR="00000000" w:rsidRDefault="00000000">
            <w:pPr>
              <w:jc w:val="center"/>
              <w:rPr>
                <w:b/>
                <w:snapToGrid w:val="0"/>
                <w:sz w:val="22"/>
              </w:rPr>
            </w:pPr>
            <w:r>
              <w:rPr>
                <w:b/>
                <w:snapToGrid w:val="0"/>
                <w:sz w:val="22"/>
              </w:rPr>
              <w:t>347 482</w:t>
            </w:r>
          </w:p>
        </w:tc>
        <w:tc>
          <w:tcPr>
            <w:tcW w:w="1174" w:type="dxa"/>
            <w:tcBorders>
              <w:top w:val="single" w:sz="4" w:space="0" w:color="auto"/>
            </w:tcBorders>
          </w:tcPr>
          <w:p w:rsidR="00000000" w:rsidRDefault="00000000">
            <w:pPr>
              <w:jc w:val="center"/>
              <w:rPr>
                <w:b/>
                <w:snapToGrid w:val="0"/>
                <w:sz w:val="22"/>
              </w:rPr>
            </w:pPr>
            <w:r>
              <w:rPr>
                <w:b/>
                <w:snapToGrid w:val="0"/>
                <w:sz w:val="22"/>
              </w:rPr>
              <w:t>37 213</w:t>
            </w:r>
          </w:p>
        </w:tc>
        <w:tc>
          <w:tcPr>
            <w:tcW w:w="1333" w:type="dxa"/>
            <w:tcBorders>
              <w:top w:val="single" w:sz="4" w:space="0" w:color="auto"/>
            </w:tcBorders>
          </w:tcPr>
          <w:p w:rsidR="00000000" w:rsidRDefault="00000000">
            <w:pPr>
              <w:jc w:val="center"/>
              <w:rPr>
                <w:b/>
                <w:snapToGrid w:val="0"/>
                <w:sz w:val="22"/>
              </w:rPr>
            </w:pPr>
            <w:r>
              <w:rPr>
                <w:b/>
                <w:snapToGrid w:val="0"/>
                <w:sz w:val="22"/>
              </w:rPr>
              <w:t>36 648</w:t>
            </w:r>
          </w:p>
        </w:tc>
      </w:tr>
      <w:tr w:rsidR="00000000">
        <w:tblPrEx>
          <w:tblCellMar>
            <w:top w:w="0" w:type="dxa"/>
            <w:bottom w:w="0" w:type="dxa"/>
          </w:tblCellMar>
        </w:tblPrEx>
        <w:trPr>
          <w:cantSplit/>
          <w:jc w:val="center"/>
        </w:trPr>
        <w:tc>
          <w:tcPr>
            <w:tcW w:w="1205" w:type="dxa"/>
          </w:tcPr>
          <w:p w:rsidR="00000000" w:rsidRDefault="00000000">
            <w:pPr>
              <w:rPr>
                <w:b/>
                <w:snapToGrid w:val="0"/>
                <w:sz w:val="22"/>
              </w:rPr>
            </w:pPr>
            <w:r>
              <w:rPr>
                <w:b/>
                <w:snapToGrid w:val="0"/>
                <w:sz w:val="22"/>
              </w:rPr>
              <w:t>Total</w:t>
            </w:r>
          </w:p>
        </w:tc>
        <w:tc>
          <w:tcPr>
            <w:tcW w:w="952" w:type="dxa"/>
          </w:tcPr>
          <w:p w:rsidR="00000000" w:rsidRDefault="00000000">
            <w:pPr>
              <w:jc w:val="center"/>
              <w:rPr>
                <w:b/>
                <w:snapToGrid w:val="0"/>
                <w:sz w:val="22"/>
              </w:rPr>
            </w:pPr>
            <w:r>
              <w:rPr>
                <w:b/>
                <w:snapToGrid w:val="0"/>
                <w:sz w:val="22"/>
              </w:rPr>
              <w:t>1998</w:t>
            </w:r>
          </w:p>
        </w:tc>
        <w:tc>
          <w:tcPr>
            <w:tcW w:w="992" w:type="dxa"/>
          </w:tcPr>
          <w:p w:rsidR="00000000" w:rsidRDefault="00000000">
            <w:pPr>
              <w:jc w:val="center"/>
              <w:rPr>
                <w:b/>
                <w:snapToGrid w:val="0"/>
                <w:sz w:val="22"/>
              </w:rPr>
            </w:pPr>
            <w:r>
              <w:rPr>
                <w:b/>
                <w:snapToGrid w:val="0"/>
                <w:sz w:val="22"/>
              </w:rPr>
              <w:t>414 341</w:t>
            </w:r>
          </w:p>
        </w:tc>
        <w:tc>
          <w:tcPr>
            <w:tcW w:w="992" w:type="dxa"/>
          </w:tcPr>
          <w:p w:rsidR="00000000" w:rsidRDefault="00000000">
            <w:pPr>
              <w:jc w:val="center"/>
              <w:rPr>
                <w:b/>
                <w:snapToGrid w:val="0"/>
                <w:sz w:val="22"/>
              </w:rPr>
            </w:pPr>
            <w:r>
              <w:rPr>
                <w:b/>
                <w:snapToGrid w:val="0"/>
                <w:sz w:val="22"/>
              </w:rPr>
              <w:t>347 738</w:t>
            </w:r>
          </w:p>
        </w:tc>
        <w:tc>
          <w:tcPr>
            <w:tcW w:w="1174" w:type="dxa"/>
          </w:tcPr>
          <w:p w:rsidR="00000000" w:rsidRDefault="00000000">
            <w:pPr>
              <w:jc w:val="center"/>
              <w:rPr>
                <w:b/>
                <w:snapToGrid w:val="0"/>
                <w:sz w:val="22"/>
              </w:rPr>
            </w:pPr>
            <w:r>
              <w:rPr>
                <w:b/>
                <w:snapToGrid w:val="0"/>
                <w:sz w:val="22"/>
              </w:rPr>
              <w:t>36 114</w:t>
            </w:r>
          </w:p>
        </w:tc>
        <w:tc>
          <w:tcPr>
            <w:tcW w:w="1333" w:type="dxa"/>
          </w:tcPr>
          <w:p w:rsidR="00000000" w:rsidRDefault="00000000">
            <w:pPr>
              <w:jc w:val="center"/>
              <w:rPr>
                <w:b/>
                <w:snapToGrid w:val="0"/>
                <w:sz w:val="22"/>
              </w:rPr>
            </w:pPr>
            <w:r>
              <w:rPr>
                <w:b/>
                <w:snapToGrid w:val="0"/>
                <w:sz w:val="22"/>
              </w:rPr>
              <w:t>30 489</w:t>
            </w:r>
          </w:p>
        </w:tc>
      </w:tr>
      <w:tr w:rsidR="00000000">
        <w:tblPrEx>
          <w:tblCellMar>
            <w:top w:w="0" w:type="dxa"/>
            <w:bottom w:w="0" w:type="dxa"/>
          </w:tblCellMar>
        </w:tblPrEx>
        <w:trPr>
          <w:cantSplit/>
          <w:jc w:val="center"/>
        </w:trPr>
        <w:tc>
          <w:tcPr>
            <w:tcW w:w="1205" w:type="dxa"/>
            <w:tcBorders>
              <w:bottom w:val="single" w:sz="4" w:space="0" w:color="auto"/>
            </w:tcBorders>
          </w:tcPr>
          <w:p w:rsidR="00000000" w:rsidRDefault="00000000">
            <w:pPr>
              <w:rPr>
                <w:b/>
                <w:snapToGrid w:val="0"/>
                <w:sz w:val="22"/>
              </w:rPr>
            </w:pPr>
          </w:p>
        </w:tc>
        <w:tc>
          <w:tcPr>
            <w:tcW w:w="952" w:type="dxa"/>
            <w:tcBorders>
              <w:bottom w:val="single" w:sz="4" w:space="0" w:color="auto"/>
            </w:tcBorders>
          </w:tcPr>
          <w:p w:rsidR="00000000" w:rsidRDefault="00000000">
            <w:pPr>
              <w:jc w:val="center"/>
              <w:rPr>
                <w:b/>
                <w:snapToGrid w:val="0"/>
                <w:sz w:val="22"/>
              </w:rPr>
            </w:pPr>
            <w:r>
              <w:rPr>
                <w:b/>
                <w:snapToGrid w:val="0"/>
                <w:sz w:val="22"/>
              </w:rPr>
              <w:t>1999</w:t>
            </w:r>
          </w:p>
        </w:tc>
        <w:tc>
          <w:tcPr>
            <w:tcW w:w="992" w:type="dxa"/>
            <w:tcBorders>
              <w:bottom w:val="single" w:sz="4" w:space="0" w:color="auto"/>
            </w:tcBorders>
          </w:tcPr>
          <w:p w:rsidR="00000000" w:rsidRDefault="00000000">
            <w:pPr>
              <w:jc w:val="center"/>
              <w:rPr>
                <w:b/>
                <w:snapToGrid w:val="0"/>
                <w:sz w:val="22"/>
              </w:rPr>
            </w:pPr>
            <w:r>
              <w:rPr>
                <w:b/>
                <w:snapToGrid w:val="0"/>
                <w:sz w:val="22"/>
              </w:rPr>
              <w:t>378 365</w:t>
            </w:r>
          </w:p>
        </w:tc>
        <w:tc>
          <w:tcPr>
            <w:tcW w:w="992" w:type="dxa"/>
            <w:tcBorders>
              <w:bottom w:val="single" w:sz="4" w:space="0" w:color="auto"/>
            </w:tcBorders>
          </w:tcPr>
          <w:p w:rsidR="00000000" w:rsidRDefault="00000000">
            <w:pPr>
              <w:jc w:val="center"/>
              <w:rPr>
                <w:b/>
                <w:snapToGrid w:val="0"/>
                <w:sz w:val="22"/>
              </w:rPr>
            </w:pPr>
            <w:r>
              <w:rPr>
                <w:b/>
                <w:snapToGrid w:val="0"/>
                <w:sz w:val="22"/>
              </w:rPr>
              <w:t>319 617</w:t>
            </w:r>
          </w:p>
        </w:tc>
        <w:tc>
          <w:tcPr>
            <w:tcW w:w="1174" w:type="dxa"/>
            <w:tcBorders>
              <w:bottom w:val="single" w:sz="4" w:space="0" w:color="auto"/>
            </w:tcBorders>
          </w:tcPr>
          <w:p w:rsidR="00000000" w:rsidRDefault="00000000">
            <w:pPr>
              <w:jc w:val="center"/>
              <w:rPr>
                <w:b/>
                <w:snapToGrid w:val="0"/>
                <w:sz w:val="22"/>
              </w:rPr>
            </w:pPr>
            <w:r>
              <w:rPr>
                <w:b/>
                <w:snapToGrid w:val="0"/>
                <w:sz w:val="22"/>
              </w:rPr>
              <w:t>36 716</w:t>
            </w:r>
          </w:p>
        </w:tc>
        <w:tc>
          <w:tcPr>
            <w:tcW w:w="1333" w:type="dxa"/>
            <w:tcBorders>
              <w:bottom w:val="single" w:sz="4" w:space="0" w:color="auto"/>
            </w:tcBorders>
          </w:tcPr>
          <w:p w:rsidR="00000000" w:rsidRDefault="00000000">
            <w:pPr>
              <w:jc w:val="center"/>
              <w:rPr>
                <w:b/>
                <w:snapToGrid w:val="0"/>
                <w:sz w:val="22"/>
              </w:rPr>
            </w:pPr>
            <w:r>
              <w:rPr>
                <w:b/>
                <w:snapToGrid w:val="0"/>
                <w:sz w:val="22"/>
              </w:rPr>
              <w:t>22 032</w:t>
            </w:r>
          </w:p>
        </w:tc>
      </w:tr>
      <w:tr w:rsidR="00000000">
        <w:tblPrEx>
          <w:tblCellMar>
            <w:top w:w="0" w:type="dxa"/>
            <w:bottom w:w="0" w:type="dxa"/>
          </w:tblCellMar>
        </w:tblPrEx>
        <w:trPr>
          <w:cantSplit/>
          <w:jc w:val="center"/>
        </w:trPr>
        <w:tc>
          <w:tcPr>
            <w:tcW w:w="1205" w:type="dxa"/>
            <w:tcBorders>
              <w:top w:val="single" w:sz="4" w:space="0" w:color="auto"/>
              <w:bottom w:val="nil"/>
            </w:tcBorders>
          </w:tcPr>
          <w:p w:rsidR="00000000" w:rsidRDefault="00000000">
            <w:pPr>
              <w:rPr>
                <w:b/>
                <w:snapToGrid w:val="0"/>
                <w:sz w:val="22"/>
              </w:rPr>
            </w:pPr>
          </w:p>
        </w:tc>
        <w:tc>
          <w:tcPr>
            <w:tcW w:w="952" w:type="dxa"/>
            <w:tcBorders>
              <w:top w:val="single" w:sz="4" w:space="0" w:color="auto"/>
              <w:bottom w:val="nil"/>
            </w:tcBorders>
          </w:tcPr>
          <w:p w:rsidR="00000000" w:rsidRDefault="00000000">
            <w:pPr>
              <w:jc w:val="center"/>
              <w:rPr>
                <w:snapToGrid w:val="0"/>
                <w:sz w:val="22"/>
              </w:rPr>
            </w:pPr>
            <w:r>
              <w:rPr>
                <w:snapToGrid w:val="0"/>
                <w:sz w:val="22"/>
              </w:rPr>
              <w:t>1997</w:t>
            </w:r>
          </w:p>
        </w:tc>
        <w:tc>
          <w:tcPr>
            <w:tcW w:w="992" w:type="dxa"/>
            <w:tcBorders>
              <w:top w:val="single" w:sz="4" w:space="0" w:color="auto"/>
              <w:bottom w:val="nil"/>
            </w:tcBorders>
          </w:tcPr>
          <w:p w:rsidR="00000000" w:rsidRDefault="00000000">
            <w:pPr>
              <w:jc w:val="center"/>
              <w:rPr>
                <w:snapToGrid w:val="0"/>
                <w:sz w:val="22"/>
              </w:rPr>
            </w:pPr>
            <w:r>
              <w:rPr>
                <w:snapToGrid w:val="0"/>
                <w:sz w:val="22"/>
              </w:rPr>
              <w:t xml:space="preserve"> 33 386</w:t>
            </w:r>
          </w:p>
        </w:tc>
        <w:tc>
          <w:tcPr>
            <w:tcW w:w="992" w:type="dxa"/>
            <w:tcBorders>
              <w:top w:val="single" w:sz="4" w:space="0" w:color="auto"/>
              <w:bottom w:val="nil"/>
            </w:tcBorders>
          </w:tcPr>
          <w:p w:rsidR="00000000" w:rsidRDefault="00000000">
            <w:pPr>
              <w:jc w:val="center"/>
              <w:rPr>
                <w:snapToGrid w:val="0"/>
                <w:sz w:val="22"/>
              </w:rPr>
            </w:pPr>
            <w:r>
              <w:rPr>
                <w:snapToGrid w:val="0"/>
                <w:sz w:val="22"/>
              </w:rPr>
              <w:t>27 116</w:t>
            </w:r>
          </w:p>
        </w:tc>
        <w:tc>
          <w:tcPr>
            <w:tcW w:w="1174" w:type="dxa"/>
            <w:tcBorders>
              <w:top w:val="single" w:sz="4" w:space="0" w:color="auto"/>
              <w:bottom w:val="nil"/>
            </w:tcBorders>
          </w:tcPr>
          <w:p w:rsidR="00000000" w:rsidRDefault="00000000">
            <w:pPr>
              <w:jc w:val="center"/>
              <w:rPr>
                <w:snapToGrid w:val="0"/>
                <w:sz w:val="22"/>
              </w:rPr>
            </w:pPr>
            <w:r>
              <w:rPr>
                <w:snapToGrid w:val="0"/>
                <w:sz w:val="22"/>
              </w:rPr>
              <w:t>3 013</w:t>
            </w:r>
          </w:p>
        </w:tc>
        <w:tc>
          <w:tcPr>
            <w:tcW w:w="1333" w:type="dxa"/>
            <w:tcBorders>
              <w:top w:val="single" w:sz="4" w:space="0" w:color="auto"/>
              <w:bottom w:val="nil"/>
            </w:tcBorders>
          </w:tcPr>
          <w:p w:rsidR="00000000" w:rsidRDefault="00000000">
            <w:pPr>
              <w:jc w:val="center"/>
              <w:rPr>
                <w:snapToGrid w:val="0"/>
                <w:sz w:val="22"/>
              </w:rPr>
            </w:pPr>
            <w:r>
              <w:rPr>
                <w:snapToGrid w:val="0"/>
                <w:sz w:val="22"/>
              </w:rPr>
              <w:t xml:space="preserve"> 3 257</w:t>
            </w:r>
          </w:p>
        </w:tc>
      </w:tr>
      <w:tr w:rsidR="00000000">
        <w:tblPrEx>
          <w:tblCellMar>
            <w:top w:w="0" w:type="dxa"/>
            <w:bottom w:w="0" w:type="dxa"/>
          </w:tblCellMar>
        </w:tblPrEx>
        <w:trPr>
          <w:cantSplit/>
          <w:jc w:val="center"/>
        </w:trPr>
        <w:tc>
          <w:tcPr>
            <w:tcW w:w="1205" w:type="dxa"/>
            <w:tcBorders>
              <w:top w:val="nil"/>
            </w:tcBorders>
          </w:tcPr>
          <w:p w:rsidR="00000000" w:rsidRDefault="00000000">
            <w:pPr>
              <w:rPr>
                <w:snapToGrid w:val="0"/>
                <w:sz w:val="22"/>
              </w:rPr>
            </w:pPr>
            <w:r>
              <w:rPr>
                <w:snapToGrid w:val="0"/>
                <w:sz w:val="22"/>
              </w:rPr>
              <w:t xml:space="preserve">January </w:t>
            </w:r>
          </w:p>
        </w:tc>
        <w:tc>
          <w:tcPr>
            <w:tcW w:w="952" w:type="dxa"/>
            <w:tcBorders>
              <w:top w:val="nil"/>
            </w:tcBorders>
          </w:tcPr>
          <w:p w:rsidR="00000000" w:rsidRDefault="00000000">
            <w:pPr>
              <w:jc w:val="center"/>
              <w:rPr>
                <w:snapToGrid w:val="0"/>
                <w:sz w:val="22"/>
              </w:rPr>
            </w:pPr>
            <w:r>
              <w:rPr>
                <w:snapToGrid w:val="0"/>
                <w:sz w:val="22"/>
              </w:rPr>
              <w:t>1998</w:t>
            </w:r>
          </w:p>
        </w:tc>
        <w:tc>
          <w:tcPr>
            <w:tcW w:w="992" w:type="dxa"/>
            <w:tcBorders>
              <w:top w:val="nil"/>
            </w:tcBorders>
          </w:tcPr>
          <w:p w:rsidR="00000000" w:rsidRDefault="00000000">
            <w:pPr>
              <w:jc w:val="center"/>
              <w:rPr>
                <w:snapToGrid w:val="0"/>
                <w:sz w:val="22"/>
              </w:rPr>
            </w:pPr>
            <w:r>
              <w:rPr>
                <w:snapToGrid w:val="0"/>
                <w:sz w:val="22"/>
              </w:rPr>
              <w:t xml:space="preserve"> 31 652</w:t>
            </w:r>
          </w:p>
        </w:tc>
        <w:tc>
          <w:tcPr>
            <w:tcW w:w="992" w:type="dxa"/>
            <w:tcBorders>
              <w:top w:val="nil"/>
            </w:tcBorders>
          </w:tcPr>
          <w:p w:rsidR="00000000" w:rsidRDefault="00000000">
            <w:pPr>
              <w:jc w:val="center"/>
              <w:rPr>
                <w:snapToGrid w:val="0"/>
                <w:sz w:val="22"/>
              </w:rPr>
            </w:pPr>
            <w:r>
              <w:rPr>
                <w:snapToGrid w:val="0"/>
                <w:sz w:val="22"/>
              </w:rPr>
              <w:t>26 381</w:t>
            </w:r>
          </w:p>
        </w:tc>
        <w:tc>
          <w:tcPr>
            <w:tcW w:w="1174" w:type="dxa"/>
            <w:tcBorders>
              <w:top w:val="nil"/>
            </w:tcBorders>
          </w:tcPr>
          <w:p w:rsidR="00000000" w:rsidRDefault="00000000">
            <w:pPr>
              <w:jc w:val="center"/>
              <w:rPr>
                <w:snapToGrid w:val="0"/>
                <w:sz w:val="22"/>
              </w:rPr>
            </w:pPr>
            <w:r>
              <w:rPr>
                <w:snapToGrid w:val="0"/>
                <w:sz w:val="22"/>
              </w:rPr>
              <w:t>2 718</w:t>
            </w:r>
          </w:p>
        </w:tc>
        <w:tc>
          <w:tcPr>
            <w:tcW w:w="1333" w:type="dxa"/>
            <w:tcBorders>
              <w:top w:val="nil"/>
            </w:tcBorders>
          </w:tcPr>
          <w:p w:rsidR="00000000" w:rsidRDefault="00000000">
            <w:pPr>
              <w:jc w:val="center"/>
              <w:rPr>
                <w:snapToGrid w:val="0"/>
                <w:sz w:val="22"/>
              </w:rPr>
            </w:pPr>
            <w:r>
              <w:rPr>
                <w:snapToGrid w:val="0"/>
                <w:sz w:val="22"/>
              </w:rPr>
              <w:t xml:space="preserve"> 2 553</w:t>
            </w:r>
          </w:p>
        </w:tc>
      </w:tr>
      <w:tr w:rsidR="00000000">
        <w:tblPrEx>
          <w:tblCellMar>
            <w:top w:w="0" w:type="dxa"/>
            <w:bottom w:w="0" w:type="dxa"/>
          </w:tblCellMar>
        </w:tblPrEx>
        <w:trPr>
          <w:jc w:val="center"/>
        </w:trPr>
        <w:tc>
          <w:tcPr>
            <w:tcW w:w="1205" w:type="dxa"/>
            <w:tcBorders>
              <w:bottom w:val="single" w:sz="4" w:space="0" w:color="auto"/>
            </w:tcBorders>
          </w:tcPr>
          <w:p w:rsidR="00000000" w:rsidRDefault="00000000">
            <w:pPr>
              <w:rPr>
                <w:snapToGrid w:val="0"/>
                <w:sz w:val="22"/>
              </w:rPr>
            </w:pPr>
          </w:p>
        </w:tc>
        <w:tc>
          <w:tcPr>
            <w:tcW w:w="952" w:type="dxa"/>
            <w:tcBorders>
              <w:bottom w:val="single" w:sz="4" w:space="0" w:color="auto"/>
            </w:tcBorders>
          </w:tcPr>
          <w:p w:rsidR="00000000" w:rsidRDefault="00000000">
            <w:pPr>
              <w:jc w:val="center"/>
              <w:rPr>
                <w:snapToGrid w:val="0"/>
                <w:sz w:val="22"/>
              </w:rPr>
            </w:pPr>
            <w:r>
              <w:rPr>
                <w:snapToGrid w:val="0"/>
                <w:sz w:val="22"/>
              </w:rPr>
              <w:t>1999</w:t>
            </w:r>
          </w:p>
        </w:tc>
        <w:tc>
          <w:tcPr>
            <w:tcW w:w="992" w:type="dxa"/>
            <w:tcBorders>
              <w:bottom w:val="single" w:sz="4" w:space="0" w:color="auto"/>
            </w:tcBorders>
          </w:tcPr>
          <w:p w:rsidR="00000000" w:rsidRDefault="00000000">
            <w:pPr>
              <w:jc w:val="center"/>
              <w:rPr>
                <w:snapToGrid w:val="0"/>
                <w:sz w:val="22"/>
              </w:rPr>
            </w:pPr>
            <w:r>
              <w:rPr>
                <w:snapToGrid w:val="0"/>
                <w:sz w:val="22"/>
              </w:rPr>
              <w:t xml:space="preserve"> 29 639</w:t>
            </w:r>
          </w:p>
        </w:tc>
        <w:tc>
          <w:tcPr>
            <w:tcW w:w="992" w:type="dxa"/>
            <w:tcBorders>
              <w:bottom w:val="single" w:sz="4" w:space="0" w:color="auto"/>
            </w:tcBorders>
          </w:tcPr>
          <w:p w:rsidR="00000000" w:rsidRDefault="00000000">
            <w:pPr>
              <w:jc w:val="center"/>
              <w:rPr>
                <w:snapToGrid w:val="0"/>
                <w:sz w:val="22"/>
              </w:rPr>
            </w:pPr>
            <w:r>
              <w:rPr>
                <w:snapToGrid w:val="0"/>
                <w:sz w:val="22"/>
              </w:rPr>
              <w:t>24 866</w:t>
            </w:r>
          </w:p>
        </w:tc>
        <w:tc>
          <w:tcPr>
            <w:tcW w:w="1174" w:type="dxa"/>
            <w:tcBorders>
              <w:bottom w:val="single" w:sz="4" w:space="0" w:color="auto"/>
            </w:tcBorders>
          </w:tcPr>
          <w:p w:rsidR="00000000" w:rsidRDefault="00000000">
            <w:pPr>
              <w:jc w:val="center"/>
              <w:rPr>
                <w:snapToGrid w:val="0"/>
                <w:sz w:val="22"/>
              </w:rPr>
            </w:pPr>
            <w:r>
              <w:rPr>
                <w:snapToGrid w:val="0"/>
                <w:sz w:val="22"/>
              </w:rPr>
              <w:t>2 872</w:t>
            </w:r>
          </w:p>
        </w:tc>
        <w:tc>
          <w:tcPr>
            <w:tcW w:w="1333" w:type="dxa"/>
            <w:tcBorders>
              <w:bottom w:val="single" w:sz="4" w:space="0" w:color="auto"/>
            </w:tcBorders>
          </w:tcPr>
          <w:p w:rsidR="00000000" w:rsidRDefault="00000000">
            <w:pPr>
              <w:jc w:val="center"/>
              <w:rPr>
                <w:snapToGrid w:val="0"/>
                <w:sz w:val="22"/>
              </w:rPr>
            </w:pPr>
            <w:r>
              <w:rPr>
                <w:snapToGrid w:val="0"/>
                <w:sz w:val="22"/>
              </w:rPr>
              <w:t xml:space="preserve"> 1 901</w:t>
            </w:r>
          </w:p>
        </w:tc>
      </w:tr>
      <w:tr w:rsidR="00000000">
        <w:tblPrEx>
          <w:tblCellMar>
            <w:top w:w="0" w:type="dxa"/>
            <w:bottom w:w="0" w:type="dxa"/>
          </w:tblCellMar>
        </w:tblPrEx>
        <w:trPr>
          <w:jc w:val="center"/>
        </w:trPr>
        <w:tc>
          <w:tcPr>
            <w:tcW w:w="1205" w:type="dxa"/>
            <w:tcBorders>
              <w:top w:val="single" w:sz="4" w:space="0" w:color="auto"/>
              <w:bottom w:val="nil"/>
            </w:tcBorders>
          </w:tcPr>
          <w:p w:rsidR="00000000" w:rsidRDefault="00000000">
            <w:pPr>
              <w:rPr>
                <w:snapToGrid w:val="0"/>
                <w:sz w:val="22"/>
              </w:rPr>
            </w:pPr>
          </w:p>
        </w:tc>
        <w:tc>
          <w:tcPr>
            <w:tcW w:w="952" w:type="dxa"/>
            <w:tcBorders>
              <w:top w:val="single" w:sz="4" w:space="0" w:color="auto"/>
              <w:bottom w:val="nil"/>
            </w:tcBorders>
          </w:tcPr>
          <w:p w:rsidR="00000000" w:rsidRDefault="00000000">
            <w:pPr>
              <w:jc w:val="center"/>
              <w:rPr>
                <w:snapToGrid w:val="0"/>
                <w:sz w:val="22"/>
              </w:rPr>
            </w:pPr>
            <w:r>
              <w:rPr>
                <w:snapToGrid w:val="0"/>
                <w:sz w:val="22"/>
              </w:rPr>
              <w:t>1997</w:t>
            </w:r>
          </w:p>
        </w:tc>
        <w:tc>
          <w:tcPr>
            <w:tcW w:w="992" w:type="dxa"/>
            <w:tcBorders>
              <w:top w:val="single" w:sz="4" w:space="0" w:color="auto"/>
              <w:bottom w:val="nil"/>
            </w:tcBorders>
          </w:tcPr>
          <w:p w:rsidR="00000000" w:rsidRDefault="00000000">
            <w:pPr>
              <w:jc w:val="center"/>
              <w:rPr>
                <w:snapToGrid w:val="0"/>
                <w:sz w:val="22"/>
              </w:rPr>
            </w:pPr>
            <w:r>
              <w:rPr>
                <w:snapToGrid w:val="0"/>
                <w:sz w:val="22"/>
              </w:rPr>
              <w:t xml:space="preserve"> 30 095</w:t>
            </w:r>
          </w:p>
        </w:tc>
        <w:tc>
          <w:tcPr>
            <w:tcW w:w="992" w:type="dxa"/>
            <w:tcBorders>
              <w:top w:val="single" w:sz="4" w:space="0" w:color="auto"/>
              <w:bottom w:val="nil"/>
            </w:tcBorders>
          </w:tcPr>
          <w:p w:rsidR="00000000" w:rsidRDefault="00000000">
            <w:pPr>
              <w:jc w:val="center"/>
              <w:rPr>
                <w:snapToGrid w:val="0"/>
                <w:sz w:val="22"/>
              </w:rPr>
            </w:pPr>
            <w:r>
              <w:rPr>
                <w:snapToGrid w:val="0"/>
                <w:sz w:val="22"/>
              </w:rPr>
              <w:t>24 612</w:t>
            </w:r>
          </w:p>
        </w:tc>
        <w:tc>
          <w:tcPr>
            <w:tcW w:w="1174" w:type="dxa"/>
            <w:tcBorders>
              <w:top w:val="single" w:sz="4" w:space="0" w:color="auto"/>
              <w:bottom w:val="nil"/>
            </w:tcBorders>
          </w:tcPr>
          <w:p w:rsidR="00000000" w:rsidRDefault="00000000">
            <w:pPr>
              <w:jc w:val="center"/>
              <w:rPr>
                <w:snapToGrid w:val="0"/>
                <w:sz w:val="22"/>
              </w:rPr>
            </w:pPr>
            <w:r>
              <w:rPr>
                <w:snapToGrid w:val="0"/>
                <w:sz w:val="22"/>
              </w:rPr>
              <w:t>2 567</w:t>
            </w:r>
          </w:p>
        </w:tc>
        <w:tc>
          <w:tcPr>
            <w:tcW w:w="1333" w:type="dxa"/>
            <w:tcBorders>
              <w:top w:val="single" w:sz="4" w:space="0" w:color="auto"/>
              <w:bottom w:val="nil"/>
            </w:tcBorders>
          </w:tcPr>
          <w:p w:rsidR="00000000" w:rsidRDefault="00000000">
            <w:pPr>
              <w:jc w:val="center"/>
              <w:rPr>
                <w:snapToGrid w:val="0"/>
                <w:sz w:val="22"/>
              </w:rPr>
            </w:pPr>
            <w:r>
              <w:rPr>
                <w:snapToGrid w:val="0"/>
                <w:sz w:val="22"/>
              </w:rPr>
              <w:t xml:space="preserve"> 2 916</w:t>
            </w:r>
          </w:p>
        </w:tc>
      </w:tr>
      <w:tr w:rsidR="00000000">
        <w:tblPrEx>
          <w:tblCellMar>
            <w:top w:w="0" w:type="dxa"/>
            <w:bottom w:w="0" w:type="dxa"/>
          </w:tblCellMar>
        </w:tblPrEx>
        <w:trPr>
          <w:jc w:val="center"/>
        </w:trPr>
        <w:tc>
          <w:tcPr>
            <w:tcW w:w="1205" w:type="dxa"/>
            <w:tcBorders>
              <w:top w:val="nil"/>
            </w:tcBorders>
          </w:tcPr>
          <w:p w:rsidR="00000000" w:rsidRDefault="00000000">
            <w:pPr>
              <w:rPr>
                <w:snapToGrid w:val="0"/>
                <w:sz w:val="22"/>
              </w:rPr>
            </w:pPr>
            <w:r>
              <w:rPr>
                <w:snapToGrid w:val="0"/>
                <w:sz w:val="22"/>
              </w:rPr>
              <w:t xml:space="preserve">February </w:t>
            </w:r>
          </w:p>
        </w:tc>
        <w:tc>
          <w:tcPr>
            <w:tcW w:w="952" w:type="dxa"/>
            <w:tcBorders>
              <w:top w:val="nil"/>
            </w:tcBorders>
          </w:tcPr>
          <w:p w:rsidR="00000000" w:rsidRDefault="00000000">
            <w:pPr>
              <w:jc w:val="center"/>
              <w:rPr>
                <w:snapToGrid w:val="0"/>
                <w:sz w:val="22"/>
              </w:rPr>
            </w:pPr>
            <w:r>
              <w:rPr>
                <w:snapToGrid w:val="0"/>
                <w:sz w:val="22"/>
              </w:rPr>
              <w:t>1998</w:t>
            </w:r>
          </w:p>
        </w:tc>
        <w:tc>
          <w:tcPr>
            <w:tcW w:w="992" w:type="dxa"/>
            <w:tcBorders>
              <w:top w:val="nil"/>
            </w:tcBorders>
          </w:tcPr>
          <w:p w:rsidR="00000000" w:rsidRDefault="00000000">
            <w:pPr>
              <w:jc w:val="center"/>
              <w:rPr>
                <w:snapToGrid w:val="0"/>
                <w:sz w:val="22"/>
              </w:rPr>
            </w:pPr>
            <w:r>
              <w:rPr>
                <w:snapToGrid w:val="0"/>
                <w:sz w:val="22"/>
              </w:rPr>
              <w:t xml:space="preserve"> 30 983</w:t>
            </w:r>
          </w:p>
        </w:tc>
        <w:tc>
          <w:tcPr>
            <w:tcW w:w="992" w:type="dxa"/>
            <w:tcBorders>
              <w:top w:val="nil"/>
            </w:tcBorders>
          </w:tcPr>
          <w:p w:rsidR="00000000" w:rsidRDefault="00000000">
            <w:pPr>
              <w:jc w:val="center"/>
              <w:rPr>
                <w:snapToGrid w:val="0"/>
                <w:sz w:val="22"/>
              </w:rPr>
            </w:pPr>
            <w:r>
              <w:rPr>
                <w:snapToGrid w:val="0"/>
                <w:sz w:val="22"/>
              </w:rPr>
              <w:t>25 908</w:t>
            </w:r>
          </w:p>
        </w:tc>
        <w:tc>
          <w:tcPr>
            <w:tcW w:w="1174" w:type="dxa"/>
            <w:tcBorders>
              <w:top w:val="nil"/>
            </w:tcBorders>
          </w:tcPr>
          <w:p w:rsidR="00000000" w:rsidRDefault="00000000">
            <w:pPr>
              <w:jc w:val="center"/>
              <w:rPr>
                <w:snapToGrid w:val="0"/>
                <w:sz w:val="22"/>
              </w:rPr>
            </w:pPr>
            <w:r>
              <w:rPr>
                <w:snapToGrid w:val="0"/>
                <w:sz w:val="22"/>
              </w:rPr>
              <w:t>2 591</w:t>
            </w:r>
          </w:p>
        </w:tc>
        <w:tc>
          <w:tcPr>
            <w:tcW w:w="1333" w:type="dxa"/>
            <w:tcBorders>
              <w:top w:val="nil"/>
            </w:tcBorders>
          </w:tcPr>
          <w:p w:rsidR="00000000" w:rsidRDefault="00000000">
            <w:pPr>
              <w:jc w:val="center"/>
              <w:rPr>
                <w:snapToGrid w:val="0"/>
                <w:sz w:val="22"/>
              </w:rPr>
            </w:pPr>
            <w:r>
              <w:rPr>
                <w:snapToGrid w:val="0"/>
                <w:sz w:val="22"/>
              </w:rPr>
              <w:t xml:space="preserve"> 2 484</w:t>
            </w:r>
          </w:p>
        </w:tc>
      </w:tr>
      <w:tr w:rsidR="00000000">
        <w:tblPrEx>
          <w:tblCellMar>
            <w:top w:w="0" w:type="dxa"/>
            <w:bottom w:w="0" w:type="dxa"/>
          </w:tblCellMar>
        </w:tblPrEx>
        <w:trPr>
          <w:jc w:val="center"/>
        </w:trPr>
        <w:tc>
          <w:tcPr>
            <w:tcW w:w="1205" w:type="dxa"/>
            <w:tcBorders>
              <w:bottom w:val="single" w:sz="4" w:space="0" w:color="auto"/>
            </w:tcBorders>
          </w:tcPr>
          <w:p w:rsidR="00000000" w:rsidRDefault="00000000">
            <w:pPr>
              <w:rPr>
                <w:snapToGrid w:val="0"/>
                <w:sz w:val="22"/>
              </w:rPr>
            </w:pPr>
          </w:p>
        </w:tc>
        <w:tc>
          <w:tcPr>
            <w:tcW w:w="952" w:type="dxa"/>
            <w:tcBorders>
              <w:bottom w:val="single" w:sz="4" w:space="0" w:color="auto"/>
            </w:tcBorders>
          </w:tcPr>
          <w:p w:rsidR="00000000" w:rsidRDefault="00000000">
            <w:pPr>
              <w:jc w:val="center"/>
              <w:rPr>
                <w:snapToGrid w:val="0"/>
                <w:sz w:val="22"/>
              </w:rPr>
            </w:pPr>
            <w:r>
              <w:rPr>
                <w:snapToGrid w:val="0"/>
                <w:sz w:val="22"/>
              </w:rPr>
              <w:t>1999</w:t>
            </w:r>
          </w:p>
        </w:tc>
        <w:tc>
          <w:tcPr>
            <w:tcW w:w="992" w:type="dxa"/>
            <w:tcBorders>
              <w:bottom w:val="single" w:sz="4" w:space="0" w:color="auto"/>
            </w:tcBorders>
          </w:tcPr>
          <w:p w:rsidR="00000000" w:rsidRDefault="00000000">
            <w:pPr>
              <w:jc w:val="center"/>
              <w:rPr>
                <w:snapToGrid w:val="0"/>
                <w:sz w:val="22"/>
              </w:rPr>
            </w:pPr>
            <w:r>
              <w:rPr>
                <w:snapToGrid w:val="0"/>
                <w:sz w:val="22"/>
              </w:rPr>
              <w:t xml:space="preserve"> 26 323</w:t>
            </w:r>
          </w:p>
        </w:tc>
        <w:tc>
          <w:tcPr>
            <w:tcW w:w="992" w:type="dxa"/>
            <w:tcBorders>
              <w:bottom w:val="single" w:sz="4" w:space="0" w:color="auto"/>
            </w:tcBorders>
          </w:tcPr>
          <w:p w:rsidR="00000000" w:rsidRDefault="00000000">
            <w:pPr>
              <w:jc w:val="center"/>
              <w:rPr>
                <w:snapToGrid w:val="0"/>
                <w:sz w:val="22"/>
              </w:rPr>
            </w:pPr>
            <w:r>
              <w:rPr>
                <w:snapToGrid w:val="0"/>
                <w:sz w:val="22"/>
              </w:rPr>
              <w:t>21 987</w:t>
            </w:r>
          </w:p>
        </w:tc>
        <w:tc>
          <w:tcPr>
            <w:tcW w:w="1174" w:type="dxa"/>
            <w:tcBorders>
              <w:bottom w:val="single" w:sz="4" w:space="0" w:color="auto"/>
            </w:tcBorders>
          </w:tcPr>
          <w:p w:rsidR="00000000" w:rsidRDefault="00000000">
            <w:pPr>
              <w:jc w:val="center"/>
              <w:rPr>
                <w:snapToGrid w:val="0"/>
                <w:sz w:val="22"/>
              </w:rPr>
            </w:pPr>
            <w:r>
              <w:rPr>
                <w:snapToGrid w:val="0"/>
                <w:sz w:val="22"/>
              </w:rPr>
              <w:t>2 600</w:t>
            </w:r>
          </w:p>
        </w:tc>
        <w:tc>
          <w:tcPr>
            <w:tcW w:w="1333" w:type="dxa"/>
            <w:tcBorders>
              <w:bottom w:val="single" w:sz="4" w:space="0" w:color="auto"/>
            </w:tcBorders>
          </w:tcPr>
          <w:p w:rsidR="00000000" w:rsidRDefault="00000000">
            <w:pPr>
              <w:jc w:val="center"/>
              <w:rPr>
                <w:snapToGrid w:val="0"/>
                <w:sz w:val="22"/>
              </w:rPr>
            </w:pPr>
            <w:r>
              <w:rPr>
                <w:snapToGrid w:val="0"/>
                <w:sz w:val="22"/>
              </w:rPr>
              <w:t xml:space="preserve"> 1 736</w:t>
            </w:r>
          </w:p>
        </w:tc>
      </w:tr>
      <w:tr w:rsidR="00000000">
        <w:tblPrEx>
          <w:tblCellMar>
            <w:top w:w="0" w:type="dxa"/>
            <w:bottom w:w="0" w:type="dxa"/>
          </w:tblCellMar>
        </w:tblPrEx>
        <w:trPr>
          <w:jc w:val="center"/>
        </w:trPr>
        <w:tc>
          <w:tcPr>
            <w:tcW w:w="1205" w:type="dxa"/>
            <w:tcBorders>
              <w:top w:val="single" w:sz="4" w:space="0" w:color="auto"/>
              <w:bottom w:val="nil"/>
            </w:tcBorders>
          </w:tcPr>
          <w:p w:rsidR="00000000" w:rsidRDefault="00000000">
            <w:pPr>
              <w:rPr>
                <w:snapToGrid w:val="0"/>
                <w:sz w:val="22"/>
              </w:rPr>
            </w:pPr>
          </w:p>
        </w:tc>
        <w:tc>
          <w:tcPr>
            <w:tcW w:w="952" w:type="dxa"/>
            <w:tcBorders>
              <w:top w:val="single" w:sz="4" w:space="0" w:color="auto"/>
              <w:bottom w:val="nil"/>
            </w:tcBorders>
          </w:tcPr>
          <w:p w:rsidR="00000000" w:rsidRDefault="00000000">
            <w:pPr>
              <w:jc w:val="center"/>
              <w:rPr>
                <w:snapToGrid w:val="0"/>
                <w:sz w:val="22"/>
              </w:rPr>
            </w:pPr>
            <w:r>
              <w:rPr>
                <w:snapToGrid w:val="0"/>
                <w:sz w:val="22"/>
              </w:rPr>
              <w:t>1997</w:t>
            </w:r>
          </w:p>
        </w:tc>
        <w:tc>
          <w:tcPr>
            <w:tcW w:w="992" w:type="dxa"/>
            <w:tcBorders>
              <w:top w:val="single" w:sz="4" w:space="0" w:color="auto"/>
              <w:bottom w:val="nil"/>
            </w:tcBorders>
          </w:tcPr>
          <w:p w:rsidR="00000000" w:rsidRDefault="00000000">
            <w:pPr>
              <w:jc w:val="center"/>
              <w:rPr>
                <w:snapToGrid w:val="0"/>
                <w:sz w:val="22"/>
              </w:rPr>
            </w:pPr>
            <w:r>
              <w:rPr>
                <w:snapToGrid w:val="0"/>
                <w:sz w:val="22"/>
              </w:rPr>
              <w:t xml:space="preserve"> 34 692</w:t>
            </w:r>
          </w:p>
        </w:tc>
        <w:tc>
          <w:tcPr>
            <w:tcW w:w="992" w:type="dxa"/>
            <w:tcBorders>
              <w:top w:val="single" w:sz="4" w:space="0" w:color="auto"/>
              <w:bottom w:val="nil"/>
            </w:tcBorders>
          </w:tcPr>
          <w:p w:rsidR="00000000" w:rsidRDefault="00000000">
            <w:pPr>
              <w:jc w:val="center"/>
              <w:rPr>
                <w:snapToGrid w:val="0"/>
                <w:sz w:val="22"/>
              </w:rPr>
            </w:pPr>
            <w:r>
              <w:rPr>
                <w:snapToGrid w:val="0"/>
                <w:sz w:val="22"/>
              </w:rPr>
              <w:t>28 273</w:t>
            </w:r>
          </w:p>
        </w:tc>
        <w:tc>
          <w:tcPr>
            <w:tcW w:w="1174" w:type="dxa"/>
            <w:tcBorders>
              <w:top w:val="single" w:sz="4" w:space="0" w:color="auto"/>
              <w:bottom w:val="nil"/>
            </w:tcBorders>
          </w:tcPr>
          <w:p w:rsidR="00000000" w:rsidRDefault="00000000">
            <w:pPr>
              <w:jc w:val="center"/>
              <w:rPr>
                <w:snapToGrid w:val="0"/>
                <w:sz w:val="22"/>
              </w:rPr>
            </w:pPr>
            <w:r>
              <w:rPr>
                <w:snapToGrid w:val="0"/>
                <w:sz w:val="22"/>
              </w:rPr>
              <w:t>2 882</w:t>
            </w:r>
          </w:p>
        </w:tc>
        <w:tc>
          <w:tcPr>
            <w:tcW w:w="1333" w:type="dxa"/>
            <w:tcBorders>
              <w:top w:val="single" w:sz="4" w:space="0" w:color="auto"/>
              <w:bottom w:val="nil"/>
            </w:tcBorders>
          </w:tcPr>
          <w:p w:rsidR="00000000" w:rsidRDefault="00000000">
            <w:pPr>
              <w:jc w:val="center"/>
              <w:rPr>
                <w:snapToGrid w:val="0"/>
                <w:sz w:val="22"/>
              </w:rPr>
            </w:pPr>
            <w:r>
              <w:rPr>
                <w:snapToGrid w:val="0"/>
                <w:sz w:val="22"/>
              </w:rPr>
              <w:t xml:space="preserve"> 3 537</w:t>
            </w:r>
          </w:p>
        </w:tc>
      </w:tr>
      <w:tr w:rsidR="00000000">
        <w:tblPrEx>
          <w:tblCellMar>
            <w:top w:w="0" w:type="dxa"/>
            <w:bottom w:w="0" w:type="dxa"/>
          </w:tblCellMar>
        </w:tblPrEx>
        <w:trPr>
          <w:jc w:val="center"/>
        </w:trPr>
        <w:tc>
          <w:tcPr>
            <w:tcW w:w="1205" w:type="dxa"/>
            <w:tcBorders>
              <w:top w:val="nil"/>
            </w:tcBorders>
          </w:tcPr>
          <w:p w:rsidR="00000000" w:rsidRDefault="00000000">
            <w:pPr>
              <w:rPr>
                <w:snapToGrid w:val="0"/>
                <w:sz w:val="22"/>
              </w:rPr>
            </w:pPr>
            <w:r>
              <w:rPr>
                <w:snapToGrid w:val="0"/>
                <w:sz w:val="22"/>
              </w:rPr>
              <w:t xml:space="preserve">March </w:t>
            </w:r>
          </w:p>
        </w:tc>
        <w:tc>
          <w:tcPr>
            <w:tcW w:w="952" w:type="dxa"/>
            <w:tcBorders>
              <w:top w:val="nil"/>
            </w:tcBorders>
          </w:tcPr>
          <w:p w:rsidR="00000000" w:rsidRDefault="00000000">
            <w:pPr>
              <w:jc w:val="center"/>
              <w:rPr>
                <w:snapToGrid w:val="0"/>
                <w:sz w:val="22"/>
              </w:rPr>
            </w:pPr>
            <w:r>
              <w:rPr>
                <w:snapToGrid w:val="0"/>
                <w:sz w:val="22"/>
              </w:rPr>
              <w:t>1998</w:t>
            </w:r>
          </w:p>
        </w:tc>
        <w:tc>
          <w:tcPr>
            <w:tcW w:w="992" w:type="dxa"/>
            <w:tcBorders>
              <w:top w:val="nil"/>
            </w:tcBorders>
          </w:tcPr>
          <w:p w:rsidR="00000000" w:rsidRDefault="00000000">
            <w:pPr>
              <w:jc w:val="center"/>
              <w:rPr>
                <w:snapToGrid w:val="0"/>
                <w:sz w:val="22"/>
              </w:rPr>
            </w:pPr>
            <w:r>
              <w:rPr>
                <w:snapToGrid w:val="0"/>
                <w:sz w:val="22"/>
              </w:rPr>
              <w:t xml:space="preserve"> 37 743</w:t>
            </w:r>
          </w:p>
        </w:tc>
        <w:tc>
          <w:tcPr>
            <w:tcW w:w="992" w:type="dxa"/>
            <w:tcBorders>
              <w:top w:val="nil"/>
            </w:tcBorders>
          </w:tcPr>
          <w:p w:rsidR="00000000" w:rsidRDefault="00000000">
            <w:pPr>
              <w:jc w:val="center"/>
              <w:rPr>
                <w:snapToGrid w:val="0"/>
                <w:sz w:val="22"/>
              </w:rPr>
            </w:pPr>
            <w:r>
              <w:rPr>
                <w:snapToGrid w:val="0"/>
                <w:sz w:val="22"/>
              </w:rPr>
              <w:t>31 538</w:t>
            </w:r>
          </w:p>
        </w:tc>
        <w:tc>
          <w:tcPr>
            <w:tcW w:w="1174" w:type="dxa"/>
            <w:tcBorders>
              <w:top w:val="nil"/>
            </w:tcBorders>
          </w:tcPr>
          <w:p w:rsidR="00000000" w:rsidRDefault="00000000">
            <w:pPr>
              <w:jc w:val="center"/>
              <w:rPr>
                <w:snapToGrid w:val="0"/>
                <w:sz w:val="22"/>
              </w:rPr>
            </w:pPr>
            <w:r>
              <w:rPr>
                <w:snapToGrid w:val="0"/>
                <w:sz w:val="22"/>
              </w:rPr>
              <w:t>3 080</w:t>
            </w:r>
          </w:p>
        </w:tc>
        <w:tc>
          <w:tcPr>
            <w:tcW w:w="1333" w:type="dxa"/>
            <w:tcBorders>
              <w:top w:val="nil"/>
            </w:tcBorders>
          </w:tcPr>
          <w:p w:rsidR="00000000" w:rsidRDefault="00000000">
            <w:pPr>
              <w:jc w:val="center"/>
              <w:rPr>
                <w:snapToGrid w:val="0"/>
                <w:sz w:val="22"/>
              </w:rPr>
            </w:pPr>
            <w:r>
              <w:rPr>
                <w:snapToGrid w:val="0"/>
                <w:sz w:val="22"/>
              </w:rPr>
              <w:t xml:space="preserve"> 3 125</w:t>
            </w:r>
          </w:p>
        </w:tc>
      </w:tr>
      <w:tr w:rsidR="00000000">
        <w:tblPrEx>
          <w:tblCellMar>
            <w:top w:w="0" w:type="dxa"/>
            <w:bottom w:w="0" w:type="dxa"/>
          </w:tblCellMar>
        </w:tblPrEx>
        <w:trPr>
          <w:jc w:val="center"/>
        </w:trPr>
        <w:tc>
          <w:tcPr>
            <w:tcW w:w="1205" w:type="dxa"/>
            <w:tcBorders>
              <w:bottom w:val="single" w:sz="4" w:space="0" w:color="auto"/>
            </w:tcBorders>
          </w:tcPr>
          <w:p w:rsidR="00000000" w:rsidRDefault="00000000">
            <w:pPr>
              <w:rPr>
                <w:snapToGrid w:val="0"/>
                <w:sz w:val="22"/>
              </w:rPr>
            </w:pPr>
          </w:p>
        </w:tc>
        <w:tc>
          <w:tcPr>
            <w:tcW w:w="952" w:type="dxa"/>
            <w:tcBorders>
              <w:bottom w:val="single" w:sz="4" w:space="0" w:color="auto"/>
            </w:tcBorders>
          </w:tcPr>
          <w:p w:rsidR="00000000" w:rsidRDefault="00000000">
            <w:pPr>
              <w:jc w:val="center"/>
              <w:rPr>
                <w:snapToGrid w:val="0"/>
                <w:sz w:val="22"/>
              </w:rPr>
            </w:pPr>
            <w:r>
              <w:rPr>
                <w:snapToGrid w:val="0"/>
                <w:sz w:val="22"/>
              </w:rPr>
              <w:t>1999</w:t>
            </w:r>
          </w:p>
        </w:tc>
        <w:tc>
          <w:tcPr>
            <w:tcW w:w="992" w:type="dxa"/>
            <w:tcBorders>
              <w:bottom w:val="single" w:sz="4" w:space="0" w:color="auto"/>
            </w:tcBorders>
          </w:tcPr>
          <w:p w:rsidR="00000000" w:rsidRDefault="00000000">
            <w:pPr>
              <w:jc w:val="center"/>
              <w:rPr>
                <w:snapToGrid w:val="0"/>
                <w:sz w:val="22"/>
              </w:rPr>
            </w:pPr>
            <w:r>
              <w:rPr>
                <w:snapToGrid w:val="0"/>
                <w:sz w:val="22"/>
              </w:rPr>
              <w:t xml:space="preserve"> 32 948</w:t>
            </w:r>
          </w:p>
        </w:tc>
        <w:tc>
          <w:tcPr>
            <w:tcW w:w="992" w:type="dxa"/>
            <w:tcBorders>
              <w:bottom w:val="single" w:sz="4" w:space="0" w:color="auto"/>
            </w:tcBorders>
          </w:tcPr>
          <w:p w:rsidR="00000000" w:rsidRDefault="00000000">
            <w:pPr>
              <w:jc w:val="center"/>
              <w:rPr>
                <w:snapToGrid w:val="0"/>
                <w:sz w:val="22"/>
              </w:rPr>
            </w:pPr>
            <w:r>
              <w:rPr>
                <w:snapToGrid w:val="0"/>
                <w:sz w:val="22"/>
              </w:rPr>
              <w:t>27 439</w:t>
            </w:r>
          </w:p>
        </w:tc>
        <w:tc>
          <w:tcPr>
            <w:tcW w:w="1174" w:type="dxa"/>
            <w:tcBorders>
              <w:bottom w:val="single" w:sz="4" w:space="0" w:color="auto"/>
            </w:tcBorders>
          </w:tcPr>
          <w:p w:rsidR="00000000" w:rsidRDefault="00000000">
            <w:pPr>
              <w:jc w:val="center"/>
              <w:rPr>
                <w:snapToGrid w:val="0"/>
                <w:sz w:val="22"/>
              </w:rPr>
            </w:pPr>
            <w:r>
              <w:rPr>
                <w:snapToGrid w:val="0"/>
                <w:sz w:val="22"/>
              </w:rPr>
              <w:t>3 124</w:t>
            </w:r>
          </w:p>
        </w:tc>
        <w:tc>
          <w:tcPr>
            <w:tcW w:w="1333" w:type="dxa"/>
            <w:tcBorders>
              <w:bottom w:val="single" w:sz="4" w:space="0" w:color="auto"/>
            </w:tcBorders>
          </w:tcPr>
          <w:p w:rsidR="00000000" w:rsidRDefault="00000000">
            <w:pPr>
              <w:jc w:val="center"/>
              <w:rPr>
                <w:snapToGrid w:val="0"/>
                <w:sz w:val="22"/>
              </w:rPr>
            </w:pPr>
            <w:r>
              <w:rPr>
                <w:snapToGrid w:val="0"/>
                <w:sz w:val="22"/>
              </w:rPr>
              <w:t xml:space="preserve"> 2 385</w:t>
            </w:r>
          </w:p>
        </w:tc>
      </w:tr>
      <w:tr w:rsidR="00000000">
        <w:tblPrEx>
          <w:tblCellMar>
            <w:top w:w="0" w:type="dxa"/>
            <w:bottom w:w="0" w:type="dxa"/>
          </w:tblCellMar>
        </w:tblPrEx>
        <w:trPr>
          <w:jc w:val="center"/>
        </w:trPr>
        <w:tc>
          <w:tcPr>
            <w:tcW w:w="1205" w:type="dxa"/>
            <w:tcBorders>
              <w:top w:val="single" w:sz="4" w:space="0" w:color="auto"/>
              <w:bottom w:val="nil"/>
            </w:tcBorders>
          </w:tcPr>
          <w:p w:rsidR="00000000" w:rsidRDefault="00000000">
            <w:pPr>
              <w:rPr>
                <w:snapToGrid w:val="0"/>
                <w:sz w:val="22"/>
              </w:rPr>
            </w:pPr>
          </w:p>
        </w:tc>
        <w:tc>
          <w:tcPr>
            <w:tcW w:w="952" w:type="dxa"/>
            <w:tcBorders>
              <w:top w:val="single" w:sz="4" w:space="0" w:color="auto"/>
              <w:bottom w:val="nil"/>
            </w:tcBorders>
          </w:tcPr>
          <w:p w:rsidR="00000000" w:rsidRDefault="00000000">
            <w:pPr>
              <w:jc w:val="center"/>
              <w:rPr>
                <w:snapToGrid w:val="0"/>
                <w:sz w:val="22"/>
              </w:rPr>
            </w:pPr>
            <w:r>
              <w:rPr>
                <w:snapToGrid w:val="0"/>
                <w:sz w:val="22"/>
              </w:rPr>
              <w:t>1997</w:t>
            </w:r>
          </w:p>
        </w:tc>
        <w:tc>
          <w:tcPr>
            <w:tcW w:w="992" w:type="dxa"/>
            <w:tcBorders>
              <w:top w:val="single" w:sz="4" w:space="0" w:color="auto"/>
              <w:bottom w:val="nil"/>
            </w:tcBorders>
          </w:tcPr>
          <w:p w:rsidR="00000000" w:rsidRDefault="00000000">
            <w:pPr>
              <w:jc w:val="center"/>
              <w:rPr>
                <w:snapToGrid w:val="0"/>
                <w:sz w:val="22"/>
              </w:rPr>
            </w:pPr>
            <w:r>
              <w:rPr>
                <w:snapToGrid w:val="0"/>
                <w:sz w:val="22"/>
              </w:rPr>
              <w:t xml:space="preserve"> 34 986</w:t>
            </w:r>
          </w:p>
        </w:tc>
        <w:tc>
          <w:tcPr>
            <w:tcW w:w="992" w:type="dxa"/>
            <w:tcBorders>
              <w:top w:val="single" w:sz="4" w:space="0" w:color="auto"/>
              <w:bottom w:val="nil"/>
            </w:tcBorders>
          </w:tcPr>
          <w:p w:rsidR="00000000" w:rsidRDefault="00000000">
            <w:pPr>
              <w:jc w:val="center"/>
              <w:rPr>
                <w:snapToGrid w:val="0"/>
                <w:sz w:val="22"/>
              </w:rPr>
            </w:pPr>
            <w:r>
              <w:rPr>
                <w:snapToGrid w:val="0"/>
                <w:sz w:val="22"/>
              </w:rPr>
              <w:t>28 374</w:t>
            </w:r>
          </w:p>
        </w:tc>
        <w:tc>
          <w:tcPr>
            <w:tcW w:w="1174" w:type="dxa"/>
            <w:tcBorders>
              <w:top w:val="single" w:sz="4" w:space="0" w:color="auto"/>
              <w:bottom w:val="nil"/>
            </w:tcBorders>
          </w:tcPr>
          <w:p w:rsidR="00000000" w:rsidRDefault="00000000">
            <w:pPr>
              <w:jc w:val="center"/>
              <w:rPr>
                <w:snapToGrid w:val="0"/>
                <w:sz w:val="22"/>
              </w:rPr>
            </w:pPr>
            <w:r>
              <w:rPr>
                <w:snapToGrid w:val="0"/>
                <w:sz w:val="22"/>
              </w:rPr>
              <w:t>2 921</w:t>
            </w:r>
          </w:p>
        </w:tc>
        <w:tc>
          <w:tcPr>
            <w:tcW w:w="1333" w:type="dxa"/>
            <w:tcBorders>
              <w:top w:val="single" w:sz="4" w:space="0" w:color="auto"/>
              <w:bottom w:val="nil"/>
            </w:tcBorders>
          </w:tcPr>
          <w:p w:rsidR="00000000" w:rsidRDefault="00000000">
            <w:pPr>
              <w:jc w:val="center"/>
              <w:rPr>
                <w:snapToGrid w:val="0"/>
                <w:sz w:val="22"/>
              </w:rPr>
            </w:pPr>
            <w:r>
              <w:rPr>
                <w:snapToGrid w:val="0"/>
                <w:sz w:val="22"/>
              </w:rPr>
              <w:t xml:space="preserve"> 3 691</w:t>
            </w:r>
          </w:p>
        </w:tc>
      </w:tr>
      <w:tr w:rsidR="00000000">
        <w:tblPrEx>
          <w:tblCellMar>
            <w:top w:w="0" w:type="dxa"/>
            <w:bottom w:w="0" w:type="dxa"/>
          </w:tblCellMar>
        </w:tblPrEx>
        <w:trPr>
          <w:jc w:val="center"/>
        </w:trPr>
        <w:tc>
          <w:tcPr>
            <w:tcW w:w="1205" w:type="dxa"/>
            <w:tcBorders>
              <w:top w:val="nil"/>
            </w:tcBorders>
          </w:tcPr>
          <w:p w:rsidR="00000000" w:rsidRDefault="00000000">
            <w:pPr>
              <w:rPr>
                <w:snapToGrid w:val="0"/>
                <w:sz w:val="22"/>
              </w:rPr>
            </w:pPr>
            <w:r>
              <w:rPr>
                <w:snapToGrid w:val="0"/>
                <w:sz w:val="22"/>
              </w:rPr>
              <w:t>April</w:t>
            </w:r>
          </w:p>
        </w:tc>
        <w:tc>
          <w:tcPr>
            <w:tcW w:w="952" w:type="dxa"/>
            <w:tcBorders>
              <w:top w:val="nil"/>
            </w:tcBorders>
          </w:tcPr>
          <w:p w:rsidR="00000000" w:rsidRDefault="00000000">
            <w:pPr>
              <w:jc w:val="center"/>
              <w:rPr>
                <w:snapToGrid w:val="0"/>
                <w:sz w:val="22"/>
              </w:rPr>
            </w:pPr>
            <w:r>
              <w:rPr>
                <w:snapToGrid w:val="0"/>
                <w:sz w:val="22"/>
              </w:rPr>
              <w:t>1998</w:t>
            </w:r>
          </w:p>
        </w:tc>
        <w:tc>
          <w:tcPr>
            <w:tcW w:w="992" w:type="dxa"/>
            <w:tcBorders>
              <w:top w:val="nil"/>
            </w:tcBorders>
          </w:tcPr>
          <w:p w:rsidR="00000000" w:rsidRDefault="00000000">
            <w:pPr>
              <w:jc w:val="center"/>
              <w:rPr>
                <w:snapToGrid w:val="0"/>
                <w:sz w:val="22"/>
              </w:rPr>
            </w:pPr>
            <w:r>
              <w:rPr>
                <w:snapToGrid w:val="0"/>
                <w:sz w:val="22"/>
              </w:rPr>
              <w:t xml:space="preserve"> 31 879</w:t>
            </w:r>
          </w:p>
        </w:tc>
        <w:tc>
          <w:tcPr>
            <w:tcW w:w="992" w:type="dxa"/>
            <w:tcBorders>
              <w:top w:val="nil"/>
            </w:tcBorders>
          </w:tcPr>
          <w:p w:rsidR="00000000" w:rsidRDefault="00000000">
            <w:pPr>
              <w:jc w:val="center"/>
              <w:rPr>
                <w:snapToGrid w:val="0"/>
                <w:sz w:val="22"/>
              </w:rPr>
            </w:pPr>
            <w:r>
              <w:rPr>
                <w:snapToGrid w:val="0"/>
                <w:sz w:val="22"/>
              </w:rPr>
              <w:t>26 495</w:t>
            </w:r>
          </w:p>
        </w:tc>
        <w:tc>
          <w:tcPr>
            <w:tcW w:w="1174" w:type="dxa"/>
            <w:tcBorders>
              <w:top w:val="nil"/>
            </w:tcBorders>
          </w:tcPr>
          <w:p w:rsidR="00000000" w:rsidRDefault="00000000">
            <w:pPr>
              <w:jc w:val="center"/>
              <w:rPr>
                <w:snapToGrid w:val="0"/>
                <w:sz w:val="22"/>
              </w:rPr>
            </w:pPr>
            <w:r>
              <w:rPr>
                <w:snapToGrid w:val="0"/>
                <w:sz w:val="22"/>
              </w:rPr>
              <w:t>2 748</w:t>
            </w:r>
          </w:p>
        </w:tc>
        <w:tc>
          <w:tcPr>
            <w:tcW w:w="1333" w:type="dxa"/>
            <w:tcBorders>
              <w:top w:val="nil"/>
            </w:tcBorders>
          </w:tcPr>
          <w:p w:rsidR="00000000" w:rsidRDefault="00000000">
            <w:pPr>
              <w:jc w:val="center"/>
              <w:rPr>
                <w:snapToGrid w:val="0"/>
                <w:sz w:val="22"/>
              </w:rPr>
            </w:pPr>
            <w:r>
              <w:rPr>
                <w:snapToGrid w:val="0"/>
                <w:sz w:val="22"/>
              </w:rPr>
              <w:t xml:space="preserve"> 2 636</w:t>
            </w:r>
          </w:p>
        </w:tc>
      </w:tr>
      <w:tr w:rsidR="00000000">
        <w:tblPrEx>
          <w:tblCellMar>
            <w:top w:w="0" w:type="dxa"/>
            <w:bottom w:w="0" w:type="dxa"/>
          </w:tblCellMar>
        </w:tblPrEx>
        <w:trPr>
          <w:jc w:val="center"/>
        </w:trPr>
        <w:tc>
          <w:tcPr>
            <w:tcW w:w="1205" w:type="dxa"/>
            <w:tcBorders>
              <w:bottom w:val="single" w:sz="4" w:space="0" w:color="auto"/>
            </w:tcBorders>
          </w:tcPr>
          <w:p w:rsidR="00000000" w:rsidRDefault="00000000">
            <w:pPr>
              <w:rPr>
                <w:snapToGrid w:val="0"/>
                <w:sz w:val="22"/>
              </w:rPr>
            </w:pPr>
          </w:p>
        </w:tc>
        <w:tc>
          <w:tcPr>
            <w:tcW w:w="952" w:type="dxa"/>
            <w:tcBorders>
              <w:bottom w:val="single" w:sz="4" w:space="0" w:color="auto"/>
            </w:tcBorders>
          </w:tcPr>
          <w:p w:rsidR="00000000" w:rsidRDefault="00000000">
            <w:pPr>
              <w:jc w:val="center"/>
              <w:rPr>
                <w:snapToGrid w:val="0"/>
                <w:sz w:val="22"/>
              </w:rPr>
            </w:pPr>
            <w:r>
              <w:rPr>
                <w:snapToGrid w:val="0"/>
                <w:sz w:val="22"/>
              </w:rPr>
              <w:t>1999</w:t>
            </w:r>
          </w:p>
        </w:tc>
        <w:tc>
          <w:tcPr>
            <w:tcW w:w="992" w:type="dxa"/>
            <w:tcBorders>
              <w:bottom w:val="single" w:sz="4" w:space="0" w:color="auto"/>
            </w:tcBorders>
          </w:tcPr>
          <w:p w:rsidR="00000000" w:rsidRDefault="00000000">
            <w:pPr>
              <w:jc w:val="center"/>
              <w:rPr>
                <w:snapToGrid w:val="0"/>
                <w:sz w:val="22"/>
              </w:rPr>
            </w:pPr>
            <w:r>
              <w:rPr>
                <w:snapToGrid w:val="0"/>
                <w:sz w:val="22"/>
              </w:rPr>
              <w:t xml:space="preserve"> 30 157</w:t>
            </w:r>
          </w:p>
        </w:tc>
        <w:tc>
          <w:tcPr>
            <w:tcW w:w="992" w:type="dxa"/>
            <w:tcBorders>
              <w:bottom w:val="single" w:sz="4" w:space="0" w:color="auto"/>
            </w:tcBorders>
          </w:tcPr>
          <w:p w:rsidR="00000000" w:rsidRDefault="00000000">
            <w:pPr>
              <w:jc w:val="center"/>
              <w:rPr>
                <w:snapToGrid w:val="0"/>
                <w:sz w:val="22"/>
              </w:rPr>
            </w:pPr>
            <w:r>
              <w:rPr>
                <w:snapToGrid w:val="0"/>
                <w:sz w:val="22"/>
              </w:rPr>
              <w:t>25 400</w:t>
            </w:r>
          </w:p>
        </w:tc>
        <w:tc>
          <w:tcPr>
            <w:tcW w:w="1174" w:type="dxa"/>
            <w:tcBorders>
              <w:bottom w:val="single" w:sz="4" w:space="0" w:color="auto"/>
            </w:tcBorders>
          </w:tcPr>
          <w:p w:rsidR="00000000" w:rsidRDefault="00000000">
            <w:pPr>
              <w:jc w:val="center"/>
              <w:rPr>
                <w:snapToGrid w:val="0"/>
                <w:sz w:val="22"/>
              </w:rPr>
            </w:pPr>
            <w:r>
              <w:rPr>
                <w:snapToGrid w:val="0"/>
                <w:sz w:val="22"/>
              </w:rPr>
              <w:t>2 964</w:t>
            </w:r>
          </w:p>
        </w:tc>
        <w:tc>
          <w:tcPr>
            <w:tcW w:w="1333" w:type="dxa"/>
            <w:tcBorders>
              <w:bottom w:val="single" w:sz="4" w:space="0" w:color="auto"/>
            </w:tcBorders>
          </w:tcPr>
          <w:p w:rsidR="00000000" w:rsidRDefault="00000000">
            <w:pPr>
              <w:jc w:val="center"/>
              <w:rPr>
                <w:snapToGrid w:val="0"/>
                <w:sz w:val="22"/>
              </w:rPr>
            </w:pPr>
            <w:r>
              <w:rPr>
                <w:snapToGrid w:val="0"/>
                <w:sz w:val="22"/>
              </w:rPr>
              <w:t xml:space="preserve"> 1 793</w:t>
            </w:r>
          </w:p>
        </w:tc>
      </w:tr>
      <w:tr w:rsidR="00000000">
        <w:tblPrEx>
          <w:tblCellMar>
            <w:top w:w="0" w:type="dxa"/>
            <w:bottom w:w="0" w:type="dxa"/>
          </w:tblCellMar>
        </w:tblPrEx>
        <w:trPr>
          <w:jc w:val="center"/>
        </w:trPr>
        <w:tc>
          <w:tcPr>
            <w:tcW w:w="1205" w:type="dxa"/>
            <w:tcBorders>
              <w:top w:val="single" w:sz="4" w:space="0" w:color="auto"/>
              <w:bottom w:val="nil"/>
            </w:tcBorders>
          </w:tcPr>
          <w:p w:rsidR="00000000" w:rsidRDefault="00000000">
            <w:pPr>
              <w:rPr>
                <w:snapToGrid w:val="0"/>
                <w:sz w:val="22"/>
              </w:rPr>
            </w:pPr>
          </w:p>
        </w:tc>
        <w:tc>
          <w:tcPr>
            <w:tcW w:w="952" w:type="dxa"/>
            <w:tcBorders>
              <w:top w:val="single" w:sz="4" w:space="0" w:color="auto"/>
              <w:bottom w:val="nil"/>
            </w:tcBorders>
          </w:tcPr>
          <w:p w:rsidR="00000000" w:rsidRDefault="00000000">
            <w:pPr>
              <w:jc w:val="center"/>
              <w:rPr>
                <w:snapToGrid w:val="0"/>
                <w:sz w:val="22"/>
              </w:rPr>
            </w:pPr>
            <w:r>
              <w:rPr>
                <w:snapToGrid w:val="0"/>
                <w:sz w:val="22"/>
              </w:rPr>
              <w:t>1997</w:t>
            </w:r>
          </w:p>
        </w:tc>
        <w:tc>
          <w:tcPr>
            <w:tcW w:w="992" w:type="dxa"/>
            <w:tcBorders>
              <w:top w:val="single" w:sz="4" w:space="0" w:color="auto"/>
              <w:bottom w:val="nil"/>
            </w:tcBorders>
          </w:tcPr>
          <w:p w:rsidR="00000000" w:rsidRDefault="00000000">
            <w:pPr>
              <w:jc w:val="center"/>
              <w:rPr>
                <w:snapToGrid w:val="0"/>
                <w:sz w:val="22"/>
              </w:rPr>
            </w:pPr>
            <w:r>
              <w:rPr>
                <w:snapToGrid w:val="0"/>
                <w:sz w:val="22"/>
              </w:rPr>
              <w:t xml:space="preserve"> 35 032</w:t>
            </w:r>
          </w:p>
        </w:tc>
        <w:tc>
          <w:tcPr>
            <w:tcW w:w="992" w:type="dxa"/>
            <w:tcBorders>
              <w:top w:val="single" w:sz="4" w:space="0" w:color="auto"/>
              <w:bottom w:val="nil"/>
            </w:tcBorders>
          </w:tcPr>
          <w:p w:rsidR="00000000" w:rsidRDefault="00000000">
            <w:pPr>
              <w:jc w:val="center"/>
              <w:rPr>
                <w:snapToGrid w:val="0"/>
                <w:sz w:val="22"/>
              </w:rPr>
            </w:pPr>
            <w:r>
              <w:rPr>
                <w:snapToGrid w:val="0"/>
                <w:sz w:val="22"/>
              </w:rPr>
              <w:t>28 997</w:t>
            </w:r>
          </w:p>
        </w:tc>
        <w:tc>
          <w:tcPr>
            <w:tcW w:w="1174" w:type="dxa"/>
            <w:tcBorders>
              <w:top w:val="single" w:sz="4" w:space="0" w:color="auto"/>
              <w:bottom w:val="nil"/>
            </w:tcBorders>
          </w:tcPr>
          <w:p w:rsidR="00000000" w:rsidRDefault="00000000">
            <w:pPr>
              <w:jc w:val="center"/>
              <w:rPr>
                <w:snapToGrid w:val="0"/>
                <w:sz w:val="22"/>
              </w:rPr>
            </w:pPr>
            <w:r>
              <w:rPr>
                <w:snapToGrid w:val="0"/>
                <w:sz w:val="22"/>
              </w:rPr>
              <w:t>3 105</w:t>
            </w:r>
          </w:p>
        </w:tc>
        <w:tc>
          <w:tcPr>
            <w:tcW w:w="1333" w:type="dxa"/>
            <w:tcBorders>
              <w:top w:val="single" w:sz="4" w:space="0" w:color="auto"/>
              <w:bottom w:val="nil"/>
            </w:tcBorders>
          </w:tcPr>
          <w:p w:rsidR="00000000" w:rsidRDefault="00000000">
            <w:pPr>
              <w:jc w:val="center"/>
              <w:rPr>
                <w:snapToGrid w:val="0"/>
                <w:sz w:val="22"/>
              </w:rPr>
            </w:pPr>
            <w:r>
              <w:rPr>
                <w:snapToGrid w:val="0"/>
                <w:sz w:val="22"/>
              </w:rPr>
              <w:t xml:space="preserve"> 2 930</w:t>
            </w:r>
          </w:p>
        </w:tc>
      </w:tr>
      <w:tr w:rsidR="00000000">
        <w:tblPrEx>
          <w:tblCellMar>
            <w:top w:w="0" w:type="dxa"/>
            <w:bottom w:w="0" w:type="dxa"/>
          </w:tblCellMar>
        </w:tblPrEx>
        <w:trPr>
          <w:jc w:val="center"/>
        </w:trPr>
        <w:tc>
          <w:tcPr>
            <w:tcW w:w="1205" w:type="dxa"/>
            <w:tcBorders>
              <w:top w:val="nil"/>
            </w:tcBorders>
          </w:tcPr>
          <w:p w:rsidR="00000000" w:rsidRDefault="00000000">
            <w:pPr>
              <w:rPr>
                <w:snapToGrid w:val="0"/>
                <w:sz w:val="22"/>
              </w:rPr>
            </w:pPr>
            <w:r>
              <w:rPr>
                <w:snapToGrid w:val="0"/>
                <w:sz w:val="22"/>
              </w:rPr>
              <w:t xml:space="preserve">May </w:t>
            </w:r>
          </w:p>
        </w:tc>
        <w:tc>
          <w:tcPr>
            <w:tcW w:w="952" w:type="dxa"/>
            <w:tcBorders>
              <w:top w:val="nil"/>
            </w:tcBorders>
          </w:tcPr>
          <w:p w:rsidR="00000000" w:rsidRDefault="00000000">
            <w:pPr>
              <w:jc w:val="center"/>
              <w:rPr>
                <w:snapToGrid w:val="0"/>
                <w:sz w:val="22"/>
              </w:rPr>
            </w:pPr>
            <w:r>
              <w:rPr>
                <w:snapToGrid w:val="0"/>
                <w:sz w:val="22"/>
              </w:rPr>
              <w:t>1998</w:t>
            </w:r>
          </w:p>
        </w:tc>
        <w:tc>
          <w:tcPr>
            <w:tcW w:w="992" w:type="dxa"/>
            <w:tcBorders>
              <w:top w:val="nil"/>
            </w:tcBorders>
          </w:tcPr>
          <w:p w:rsidR="00000000" w:rsidRDefault="00000000">
            <w:pPr>
              <w:jc w:val="center"/>
              <w:rPr>
                <w:snapToGrid w:val="0"/>
                <w:sz w:val="22"/>
              </w:rPr>
            </w:pPr>
            <w:r>
              <w:rPr>
                <w:snapToGrid w:val="0"/>
                <w:sz w:val="22"/>
              </w:rPr>
              <w:t xml:space="preserve"> 36 033</w:t>
            </w:r>
          </w:p>
        </w:tc>
        <w:tc>
          <w:tcPr>
            <w:tcW w:w="992" w:type="dxa"/>
            <w:tcBorders>
              <w:top w:val="nil"/>
            </w:tcBorders>
          </w:tcPr>
          <w:p w:rsidR="00000000" w:rsidRDefault="00000000">
            <w:pPr>
              <w:jc w:val="center"/>
              <w:rPr>
                <w:snapToGrid w:val="0"/>
                <w:sz w:val="22"/>
              </w:rPr>
            </w:pPr>
            <w:r>
              <w:rPr>
                <w:snapToGrid w:val="0"/>
                <w:sz w:val="22"/>
              </w:rPr>
              <w:t>30 261</w:t>
            </w:r>
          </w:p>
        </w:tc>
        <w:tc>
          <w:tcPr>
            <w:tcW w:w="1174" w:type="dxa"/>
            <w:tcBorders>
              <w:top w:val="nil"/>
            </w:tcBorders>
          </w:tcPr>
          <w:p w:rsidR="00000000" w:rsidRDefault="00000000">
            <w:pPr>
              <w:jc w:val="center"/>
              <w:rPr>
                <w:snapToGrid w:val="0"/>
                <w:sz w:val="22"/>
              </w:rPr>
            </w:pPr>
            <w:r>
              <w:rPr>
                <w:snapToGrid w:val="0"/>
                <w:sz w:val="22"/>
              </w:rPr>
              <w:t>3 123</w:t>
            </w:r>
          </w:p>
        </w:tc>
        <w:tc>
          <w:tcPr>
            <w:tcW w:w="1333" w:type="dxa"/>
            <w:tcBorders>
              <w:top w:val="nil"/>
            </w:tcBorders>
          </w:tcPr>
          <w:p w:rsidR="00000000" w:rsidRDefault="00000000">
            <w:pPr>
              <w:jc w:val="center"/>
              <w:rPr>
                <w:snapToGrid w:val="0"/>
                <w:sz w:val="22"/>
              </w:rPr>
            </w:pPr>
            <w:r>
              <w:rPr>
                <w:snapToGrid w:val="0"/>
                <w:sz w:val="22"/>
              </w:rPr>
              <w:t xml:space="preserve"> 2 649</w:t>
            </w:r>
          </w:p>
        </w:tc>
      </w:tr>
      <w:tr w:rsidR="00000000">
        <w:tblPrEx>
          <w:tblCellMar>
            <w:top w:w="0" w:type="dxa"/>
            <w:bottom w:w="0" w:type="dxa"/>
          </w:tblCellMar>
        </w:tblPrEx>
        <w:trPr>
          <w:jc w:val="center"/>
        </w:trPr>
        <w:tc>
          <w:tcPr>
            <w:tcW w:w="1205" w:type="dxa"/>
            <w:tcBorders>
              <w:bottom w:val="single" w:sz="4" w:space="0" w:color="auto"/>
            </w:tcBorders>
          </w:tcPr>
          <w:p w:rsidR="00000000" w:rsidRDefault="00000000">
            <w:pPr>
              <w:rPr>
                <w:snapToGrid w:val="0"/>
                <w:sz w:val="22"/>
              </w:rPr>
            </w:pPr>
          </w:p>
        </w:tc>
        <w:tc>
          <w:tcPr>
            <w:tcW w:w="952" w:type="dxa"/>
            <w:tcBorders>
              <w:bottom w:val="single" w:sz="4" w:space="0" w:color="auto"/>
            </w:tcBorders>
          </w:tcPr>
          <w:p w:rsidR="00000000" w:rsidRDefault="00000000">
            <w:pPr>
              <w:jc w:val="center"/>
              <w:rPr>
                <w:snapToGrid w:val="0"/>
                <w:sz w:val="22"/>
              </w:rPr>
            </w:pPr>
            <w:r>
              <w:rPr>
                <w:snapToGrid w:val="0"/>
                <w:sz w:val="22"/>
              </w:rPr>
              <w:t>1999</w:t>
            </w:r>
          </w:p>
        </w:tc>
        <w:tc>
          <w:tcPr>
            <w:tcW w:w="992" w:type="dxa"/>
            <w:tcBorders>
              <w:bottom w:val="single" w:sz="4" w:space="0" w:color="auto"/>
            </w:tcBorders>
          </w:tcPr>
          <w:p w:rsidR="00000000" w:rsidRDefault="00000000">
            <w:pPr>
              <w:jc w:val="center"/>
              <w:rPr>
                <w:snapToGrid w:val="0"/>
                <w:sz w:val="22"/>
              </w:rPr>
            </w:pPr>
            <w:r>
              <w:rPr>
                <w:snapToGrid w:val="0"/>
                <w:sz w:val="22"/>
              </w:rPr>
              <w:t xml:space="preserve"> 34 043</w:t>
            </w:r>
          </w:p>
        </w:tc>
        <w:tc>
          <w:tcPr>
            <w:tcW w:w="992" w:type="dxa"/>
            <w:tcBorders>
              <w:bottom w:val="single" w:sz="4" w:space="0" w:color="auto"/>
            </w:tcBorders>
          </w:tcPr>
          <w:p w:rsidR="00000000" w:rsidRDefault="00000000">
            <w:pPr>
              <w:jc w:val="center"/>
              <w:rPr>
                <w:snapToGrid w:val="0"/>
                <w:sz w:val="22"/>
              </w:rPr>
            </w:pPr>
            <w:r>
              <w:rPr>
                <w:snapToGrid w:val="0"/>
                <w:sz w:val="22"/>
              </w:rPr>
              <w:t>28 718</w:t>
            </w:r>
          </w:p>
        </w:tc>
        <w:tc>
          <w:tcPr>
            <w:tcW w:w="1174" w:type="dxa"/>
            <w:tcBorders>
              <w:bottom w:val="single" w:sz="4" w:space="0" w:color="auto"/>
            </w:tcBorders>
          </w:tcPr>
          <w:p w:rsidR="00000000" w:rsidRDefault="00000000">
            <w:pPr>
              <w:jc w:val="center"/>
              <w:rPr>
                <w:snapToGrid w:val="0"/>
                <w:sz w:val="22"/>
              </w:rPr>
            </w:pPr>
            <w:r>
              <w:rPr>
                <w:snapToGrid w:val="0"/>
                <w:sz w:val="22"/>
              </w:rPr>
              <w:t>3 344</w:t>
            </w:r>
          </w:p>
        </w:tc>
        <w:tc>
          <w:tcPr>
            <w:tcW w:w="1333" w:type="dxa"/>
            <w:tcBorders>
              <w:bottom w:val="single" w:sz="4" w:space="0" w:color="auto"/>
            </w:tcBorders>
          </w:tcPr>
          <w:p w:rsidR="00000000" w:rsidRDefault="00000000">
            <w:pPr>
              <w:jc w:val="center"/>
              <w:rPr>
                <w:snapToGrid w:val="0"/>
                <w:sz w:val="22"/>
              </w:rPr>
            </w:pPr>
            <w:r>
              <w:rPr>
                <w:snapToGrid w:val="0"/>
                <w:sz w:val="22"/>
              </w:rPr>
              <w:t xml:space="preserve"> 1 981</w:t>
            </w:r>
          </w:p>
        </w:tc>
      </w:tr>
      <w:tr w:rsidR="00000000">
        <w:tblPrEx>
          <w:tblCellMar>
            <w:top w:w="0" w:type="dxa"/>
            <w:bottom w:w="0" w:type="dxa"/>
          </w:tblCellMar>
        </w:tblPrEx>
        <w:trPr>
          <w:jc w:val="center"/>
        </w:trPr>
        <w:tc>
          <w:tcPr>
            <w:tcW w:w="1205" w:type="dxa"/>
            <w:tcBorders>
              <w:top w:val="single" w:sz="4" w:space="0" w:color="auto"/>
              <w:bottom w:val="nil"/>
            </w:tcBorders>
          </w:tcPr>
          <w:p w:rsidR="00000000" w:rsidRDefault="00000000">
            <w:pPr>
              <w:rPr>
                <w:snapToGrid w:val="0"/>
                <w:sz w:val="22"/>
              </w:rPr>
            </w:pPr>
          </w:p>
        </w:tc>
        <w:tc>
          <w:tcPr>
            <w:tcW w:w="952" w:type="dxa"/>
            <w:tcBorders>
              <w:top w:val="single" w:sz="4" w:space="0" w:color="auto"/>
              <w:bottom w:val="nil"/>
            </w:tcBorders>
          </w:tcPr>
          <w:p w:rsidR="00000000" w:rsidRDefault="00000000">
            <w:pPr>
              <w:jc w:val="center"/>
              <w:rPr>
                <w:snapToGrid w:val="0"/>
                <w:sz w:val="22"/>
              </w:rPr>
            </w:pPr>
            <w:r>
              <w:rPr>
                <w:snapToGrid w:val="0"/>
                <w:sz w:val="22"/>
              </w:rPr>
              <w:t>1997</w:t>
            </w:r>
          </w:p>
        </w:tc>
        <w:tc>
          <w:tcPr>
            <w:tcW w:w="992" w:type="dxa"/>
            <w:tcBorders>
              <w:top w:val="single" w:sz="4" w:space="0" w:color="auto"/>
              <w:bottom w:val="nil"/>
            </w:tcBorders>
          </w:tcPr>
          <w:p w:rsidR="00000000" w:rsidRDefault="00000000">
            <w:pPr>
              <w:jc w:val="center"/>
              <w:rPr>
                <w:snapToGrid w:val="0"/>
                <w:sz w:val="22"/>
              </w:rPr>
            </w:pPr>
            <w:r>
              <w:rPr>
                <w:snapToGrid w:val="0"/>
                <w:sz w:val="22"/>
              </w:rPr>
              <w:t xml:space="preserve"> 36 195</w:t>
            </w:r>
          </w:p>
        </w:tc>
        <w:tc>
          <w:tcPr>
            <w:tcW w:w="992" w:type="dxa"/>
            <w:tcBorders>
              <w:top w:val="single" w:sz="4" w:space="0" w:color="auto"/>
              <w:bottom w:val="nil"/>
            </w:tcBorders>
          </w:tcPr>
          <w:p w:rsidR="00000000" w:rsidRDefault="00000000">
            <w:pPr>
              <w:jc w:val="center"/>
              <w:rPr>
                <w:snapToGrid w:val="0"/>
                <w:sz w:val="22"/>
              </w:rPr>
            </w:pPr>
            <w:r>
              <w:rPr>
                <w:snapToGrid w:val="0"/>
                <w:sz w:val="22"/>
              </w:rPr>
              <w:t>29 573</w:t>
            </w:r>
          </w:p>
        </w:tc>
        <w:tc>
          <w:tcPr>
            <w:tcW w:w="1174" w:type="dxa"/>
            <w:tcBorders>
              <w:top w:val="single" w:sz="4" w:space="0" w:color="auto"/>
              <w:bottom w:val="nil"/>
            </w:tcBorders>
          </w:tcPr>
          <w:p w:rsidR="00000000" w:rsidRDefault="00000000">
            <w:pPr>
              <w:jc w:val="center"/>
              <w:rPr>
                <w:snapToGrid w:val="0"/>
                <w:sz w:val="22"/>
              </w:rPr>
            </w:pPr>
            <w:r>
              <w:rPr>
                <w:snapToGrid w:val="0"/>
                <w:sz w:val="22"/>
              </w:rPr>
              <w:t>3 460</w:t>
            </w:r>
          </w:p>
        </w:tc>
        <w:tc>
          <w:tcPr>
            <w:tcW w:w="1333" w:type="dxa"/>
            <w:tcBorders>
              <w:top w:val="single" w:sz="4" w:space="0" w:color="auto"/>
              <w:bottom w:val="nil"/>
            </w:tcBorders>
          </w:tcPr>
          <w:p w:rsidR="00000000" w:rsidRDefault="00000000">
            <w:pPr>
              <w:jc w:val="center"/>
              <w:rPr>
                <w:snapToGrid w:val="0"/>
                <w:sz w:val="22"/>
              </w:rPr>
            </w:pPr>
            <w:r>
              <w:rPr>
                <w:snapToGrid w:val="0"/>
                <w:sz w:val="22"/>
              </w:rPr>
              <w:t xml:space="preserve"> 3 162</w:t>
            </w:r>
          </w:p>
        </w:tc>
      </w:tr>
      <w:tr w:rsidR="00000000">
        <w:tblPrEx>
          <w:tblCellMar>
            <w:top w:w="0" w:type="dxa"/>
            <w:bottom w:w="0" w:type="dxa"/>
          </w:tblCellMar>
        </w:tblPrEx>
        <w:trPr>
          <w:jc w:val="center"/>
        </w:trPr>
        <w:tc>
          <w:tcPr>
            <w:tcW w:w="1205" w:type="dxa"/>
            <w:tcBorders>
              <w:top w:val="nil"/>
            </w:tcBorders>
          </w:tcPr>
          <w:p w:rsidR="00000000" w:rsidRDefault="00000000">
            <w:pPr>
              <w:rPr>
                <w:snapToGrid w:val="0"/>
                <w:sz w:val="22"/>
              </w:rPr>
            </w:pPr>
            <w:r>
              <w:rPr>
                <w:snapToGrid w:val="0"/>
                <w:sz w:val="22"/>
              </w:rPr>
              <w:t xml:space="preserve">June </w:t>
            </w:r>
          </w:p>
        </w:tc>
        <w:tc>
          <w:tcPr>
            <w:tcW w:w="952" w:type="dxa"/>
            <w:tcBorders>
              <w:top w:val="nil"/>
            </w:tcBorders>
          </w:tcPr>
          <w:p w:rsidR="00000000" w:rsidRDefault="00000000">
            <w:pPr>
              <w:jc w:val="center"/>
              <w:rPr>
                <w:snapToGrid w:val="0"/>
                <w:sz w:val="22"/>
              </w:rPr>
            </w:pPr>
            <w:r>
              <w:rPr>
                <w:snapToGrid w:val="0"/>
                <w:sz w:val="22"/>
              </w:rPr>
              <w:t>1998</w:t>
            </w:r>
          </w:p>
        </w:tc>
        <w:tc>
          <w:tcPr>
            <w:tcW w:w="992" w:type="dxa"/>
            <w:tcBorders>
              <w:top w:val="nil"/>
            </w:tcBorders>
          </w:tcPr>
          <w:p w:rsidR="00000000" w:rsidRDefault="00000000">
            <w:pPr>
              <w:jc w:val="center"/>
              <w:rPr>
                <w:snapToGrid w:val="0"/>
                <w:sz w:val="22"/>
              </w:rPr>
            </w:pPr>
            <w:r>
              <w:rPr>
                <w:snapToGrid w:val="0"/>
                <w:sz w:val="22"/>
              </w:rPr>
              <w:t xml:space="preserve"> 34 623</w:t>
            </w:r>
          </w:p>
        </w:tc>
        <w:tc>
          <w:tcPr>
            <w:tcW w:w="992" w:type="dxa"/>
            <w:tcBorders>
              <w:top w:val="nil"/>
            </w:tcBorders>
          </w:tcPr>
          <w:p w:rsidR="00000000" w:rsidRDefault="00000000">
            <w:pPr>
              <w:jc w:val="center"/>
              <w:rPr>
                <w:snapToGrid w:val="0"/>
                <w:sz w:val="22"/>
              </w:rPr>
            </w:pPr>
            <w:r>
              <w:rPr>
                <w:snapToGrid w:val="0"/>
                <w:sz w:val="22"/>
              </w:rPr>
              <w:t>29 034</w:t>
            </w:r>
          </w:p>
        </w:tc>
        <w:tc>
          <w:tcPr>
            <w:tcW w:w="1174" w:type="dxa"/>
            <w:tcBorders>
              <w:top w:val="nil"/>
            </w:tcBorders>
          </w:tcPr>
          <w:p w:rsidR="00000000" w:rsidRDefault="00000000">
            <w:pPr>
              <w:jc w:val="center"/>
              <w:rPr>
                <w:snapToGrid w:val="0"/>
                <w:sz w:val="22"/>
              </w:rPr>
            </w:pPr>
            <w:r>
              <w:rPr>
                <w:snapToGrid w:val="0"/>
                <w:sz w:val="22"/>
              </w:rPr>
              <w:t>3 099</w:t>
            </w:r>
          </w:p>
        </w:tc>
        <w:tc>
          <w:tcPr>
            <w:tcW w:w="1333" w:type="dxa"/>
            <w:tcBorders>
              <w:top w:val="nil"/>
            </w:tcBorders>
          </w:tcPr>
          <w:p w:rsidR="00000000" w:rsidRDefault="00000000">
            <w:pPr>
              <w:jc w:val="center"/>
              <w:rPr>
                <w:snapToGrid w:val="0"/>
                <w:sz w:val="22"/>
              </w:rPr>
            </w:pPr>
            <w:r>
              <w:rPr>
                <w:snapToGrid w:val="0"/>
                <w:sz w:val="22"/>
              </w:rPr>
              <w:t xml:space="preserve"> 2 490</w:t>
            </w:r>
          </w:p>
        </w:tc>
      </w:tr>
      <w:tr w:rsidR="00000000">
        <w:tblPrEx>
          <w:tblCellMar>
            <w:top w:w="0" w:type="dxa"/>
            <w:bottom w:w="0" w:type="dxa"/>
          </w:tblCellMar>
        </w:tblPrEx>
        <w:trPr>
          <w:jc w:val="center"/>
        </w:trPr>
        <w:tc>
          <w:tcPr>
            <w:tcW w:w="1205" w:type="dxa"/>
            <w:tcBorders>
              <w:bottom w:val="single" w:sz="4" w:space="0" w:color="auto"/>
            </w:tcBorders>
          </w:tcPr>
          <w:p w:rsidR="00000000" w:rsidRDefault="00000000">
            <w:pPr>
              <w:rPr>
                <w:snapToGrid w:val="0"/>
                <w:sz w:val="22"/>
              </w:rPr>
            </w:pPr>
          </w:p>
        </w:tc>
        <w:tc>
          <w:tcPr>
            <w:tcW w:w="952" w:type="dxa"/>
            <w:tcBorders>
              <w:bottom w:val="single" w:sz="4" w:space="0" w:color="auto"/>
            </w:tcBorders>
          </w:tcPr>
          <w:p w:rsidR="00000000" w:rsidRDefault="00000000">
            <w:pPr>
              <w:jc w:val="center"/>
              <w:rPr>
                <w:snapToGrid w:val="0"/>
                <w:sz w:val="22"/>
              </w:rPr>
            </w:pPr>
            <w:r>
              <w:rPr>
                <w:snapToGrid w:val="0"/>
                <w:sz w:val="22"/>
              </w:rPr>
              <w:t>1999</w:t>
            </w:r>
          </w:p>
        </w:tc>
        <w:tc>
          <w:tcPr>
            <w:tcW w:w="992" w:type="dxa"/>
            <w:tcBorders>
              <w:bottom w:val="single" w:sz="4" w:space="0" w:color="auto"/>
            </w:tcBorders>
          </w:tcPr>
          <w:p w:rsidR="00000000" w:rsidRDefault="00000000">
            <w:pPr>
              <w:jc w:val="center"/>
              <w:rPr>
                <w:snapToGrid w:val="0"/>
                <w:sz w:val="22"/>
              </w:rPr>
            </w:pPr>
            <w:r>
              <w:rPr>
                <w:snapToGrid w:val="0"/>
                <w:sz w:val="22"/>
              </w:rPr>
              <w:t xml:space="preserve"> 33 373</w:t>
            </w:r>
          </w:p>
        </w:tc>
        <w:tc>
          <w:tcPr>
            <w:tcW w:w="992" w:type="dxa"/>
            <w:tcBorders>
              <w:bottom w:val="single" w:sz="4" w:space="0" w:color="auto"/>
            </w:tcBorders>
          </w:tcPr>
          <w:p w:rsidR="00000000" w:rsidRDefault="00000000">
            <w:pPr>
              <w:jc w:val="center"/>
              <w:rPr>
                <w:snapToGrid w:val="0"/>
                <w:sz w:val="22"/>
              </w:rPr>
            </w:pPr>
            <w:r>
              <w:rPr>
                <w:snapToGrid w:val="0"/>
                <w:sz w:val="22"/>
              </w:rPr>
              <w:t>28 037</w:t>
            </w:r>
          </w:p>
        </w:tc>
        <w:tc>
          <w:tcPr>
            <w:tcW w:w="1174" w:type="dxa"/>
            <w:tcBorders>
              <w:bottom w:val="single" w:sz="4" w:space="0" w:color="auto"/>
            </w:tcBorders>
          </w:tcPr>
          <w:p w:rsidR="00000000" w:rsidRDefault="00000000">
            <w:pPr>
              <w:jc w:val="center"/>
              <w:rPr>
                <w:snapToGrid w:val="0"/>
                <w:sz w:val="22"/>
              </w:rPr>
            </w:pPr>
            <w:r>
              <w:rPr>
                <w:snapToGrid w:val="0"/>
                <w:sz w:val="22"/>
              </w:rPr>
              <w:t>3 350</w:t>
            </w:r>
          </w:p>
        </w:tc>
        <w:tc>
          <w:tcPr>
            <w:tcW w:w="1333" w:type="dxa"/>
            <w:tcBorders>
              <w:bottom w:val="single" w:sz="4" w:space="0" w:color="auto"/>
            </w:tcBorders>
          </w:tcPr>
          <w:p w:rsidR="00000000" w:rsidRDefault="00000000">
            <w:pPr>
              <w:jc w:val="center"/>
              <w:rPr>
                <w:snapToGrid w:val="0"/>
                <w:sz w:val="22"/>
              </w:rPr>
            </w:pPr>
            <w:r>
              <w:rPr>
                <w:snapToGrid w:val="0"/>
                <w:sz w:val="22"/>
              </w:rPr>
              <w:t xml:space="preserve"> 1 986</w:t>
            </w:r>
          </w:p>
        </w:tc>
      </w:tr>
      <w:tr w:rsidR="00000000">
        <w:tblPrEx>
          <w:tblCellMar>
            <w:top w:w="0" w:type="dxa"/>
            <w:bottom w:w="0" w:type="dxa"/>
          </w:tblCellMar>
        </w:tblPrEx>
        <w:trPr>
          <w:jc w:val="center"/>
        </w:trPr>
        <w:tc>
          <w:tcPr>
            <w:tcW w:w="1205" w:type="dxa"/>
            <w:tcBorders>
              <w:top w:val="single" w:sz="4" w:space="0" w:color="auto"/>
              <w:bottom w:val="nil"/>
            </w:tcBorders>
          </w:tcPr>
          <w:p w:rsidR="00000000" w:rsidRDefault="00000000">
            <w:pPr>
              <w:rPr>
                <w:snapToGrid w:val="0"/>
                <w:sz w:val="22"/>
              </w:rPr>
            </w:pPr>
          </w:p>
        </w:tc>
        <w:tc>
          <w:tcPr>
            <w:tcW w:w="952" w:type="dxa"/>
            <w:tcBorders>
              <w:top w:val="single" w:sz="4" w:space="0" w:color="auto"/>
              <w:bottom w:val="nil"/>
            </w:tcBorders>
          </w:tcPr>
          <w:p w:rsidR="00000000" w:rsidRDefault="00000000">
            <w:pPr>
              <w:jc w:val="center"/>
              <w:rPr>
                <w:snapToGrid w:val="0"/>
                <w:sz w:val="22"/>
              </w:rPr>
            </w:pPr>
            <w:r>
              <w:rPr>
                <w:snapToGrid w:val="0"/>
                <w:sz w:val="22"/>
              </w:rPr>
              <w:t>1997</w:t>
            </w:r>
          </w:p>
        </w:tc>
        <w:tc>
          <w:tcPr>
            <w:tcW w:w="992" w:type="dxa"/>
            <w:tcBorders>
              <w:top w:val="single" w:sz="4" w:space="0" w:color="auto"/>
              <w:bottom w:val="nil"/>
            </w:tcBorders>
          </w:tcPr>
          <w:p w:rsidR="00000000" w:rsidRDefault="00000000">
            <w:pPr>
              <w:jc w:val="center"/>
              <w:rPr>
                <w:snapToGrid w:val="0"/>
                <w:sz w:val="22"/>
              </w:rPr>
            </w:pPr>
            <w:r>
              <w:rPr>
                <w:snapToGrid w:val="0"/>
                <w:sz w:val="22"/>
              </w:rPr>
              <w:t xml:space="preserve"> 38 251</w:t>
            </w:r>
          </w:p>
        </w:tc>
        <w:tc>
          <w:tcPr>
            <w:tcW w:w="992" w:type="dxa"/>
            <w:tcBorders>
              <w:top w:val="single" w:sz="4" w:space="0" w:color="auto"/>
              <w:bottom w:val="nil"/>
            </w:tcBorders>
          </w:tcPr>
          <w:p w:rsidR="00000000" w:rsidRDefault="00000000">
            <w:pPr>
              <w:jc w:val="center"/>
              <w:rPr>
                <w:snapToGrid w:val="0"/>
                <w:sz w:val="22"/>
              </w:rPr>
            </w:pPr>
            <w:r>
              <w:rPr>
                <w:snapToGrid w:val="0"/>
                <w:sz w:val="22"/>
              </w:rPr>
              <w:t>31 815</w:t>
            </w:r>
          </w:p>
        </w:tc>
        <w:tc>
          <w:tcPr>
            <w:tcW w:w="1174" w:type="dxa"/>
            <w:tcBorders>
              <w:top w:val="single" w:sz="4" w:space="0" w:color="auto"/>
              <w:bottom w:val="nil"/>
            </w:tcBorders>
          </w:tcPr>
          <w:p w:rsidR="00000000" w:rsidRDefault="00000000">
            <w:pPr>
              <w:jc w:val="center"/>
              <w:rPr>
                <w:snapToGrid w:val="0"/>
                <w:sz w:val="22"/>
              </w:rPr>
            </w:pPr>
            <w:r>
              <w:rPr>
                <w:snapToGrid w:val="0"/>
                <w:sz w:val="22"/>
              </w:rPr>
              <w:t>3 363</w:t>
            </w:r>
          </w:p>
        </w:tc>
        <w:tc>
          <w:tcPr>
            <w:tcW w:w="1333" w:type="dxa"/>
            <w:tcBorders>
              <w:top w:val="single" w:sz="4" w:space="0" w:color="auto"/>
              <w:bottom w:val="nil"/>
            </w:tcBorders>
          </w:tcPr>
          <w:p w:rsidR="00000000" w:rsidRDefault="00000000">
            <w:pPr>
              <w:jc w:val="center"/>
              <w:rPr>
                <w:snapToGrid w:val="0"/>
                <w:sz w:val="22"/>
              </w:rPr>
            </w:pPr>
            <w:r>
              <w:rPr>
                <w:snapToGrid w:val="0"/>
                <w:sz w:val="22"/>
              </w:rPr>
              <w:t xml:space="preserve"> 3 073</w:t>
            </w:r>
          </w:p>
        </w:tc>
      </w:tr>
      <w:tr w:rsidR="00000000">
        <w:tblPrEx>
          <w:tblCellMar>
            <w:top w:w="0" w:type="dxa"/>
            <w:bottom w:w="0" w:type="dxa"/>
          </w:tblCellMar>
        </w:tblPrEx>
        <w:trPr>
          <w:jc w:val="center"/>
        </w:trPr>
        <w:tc>
          <w:tcPr>
            <w:tcW w:w="1205" w:type="dxa"/>
            <w:tcBorders>
              <w:top w:val="nil"/>
            </w:tcBorders>
          </w:tcPr>
          <w:p w:rsidR="00000000" w:rsidRDefault="00000000">
            <w:pPr>
              <w:rPr>
                <w:snapToGrid w:val="0"/>
                <w:sz w:val="22"/>
              </w:rPr>
            </w:pPr>
            <w:r>
              <w:rPr>
                <w:snapToGrid w:val="0"/>
                <w:sz w:val="22"/>
              </w:rPr>
              <w:t>July</w:t>
            </w:r>
          </w:p>
        </w:tc>
        <w:tc>
          <w:tcPr>
            <w:tcW w:w="952" w:type="dxa"/>
            <w:tcBorders>
              <w:top w:val="nil"/>
            </w:tcBorders>
          </w:tcPr>
          <w:p w:rsidR="00000000" w:rsidRDefault="00000000">
            <w:pPr>
              <w:jc w:val="center"/>
              <w:rPr>
                <w:snapToGrid w:val="0"/>
                <w:sz w:val="22"/>
              </w:rPr>
            </w:pPr>
            <w:r>
              <w:rPr>
                <w:snapToGrid w:val="0"/>
                <w:sz w:val="22"/>
              </w:rPr>
              <w:t>1998</w:t>
            </w:r>
          </w:p>
        </w:tc>
        <w:tc>
          <w:tcPr>
            <w:tcW w:w="992" w:type="dxa"/>
            <w:tcBorders>
              <w:top w:val="nil"/>
            </w:tcBorders>
          </w:tcPr>
          <w:p w:rsidR="00000000" w:rsidRDefault="00000000">
            <w:pPr>
              <w:jc w:val="center"/>
              <w:rPr>
                <w:snapToGrid w:val="0"/>
                <w:sz w:val="22"/>
              </w:rPr>
            </w:pPr>
            <w:r>
              <w:rPr>
                <w:snapToGrid w:val="0"/>
                <w:sz w:val="22"/>
              </w:rPr>
              <w:t xml:space="preserve"> 36 424</w:t>
            </w:r>
          </w:p>
        </w:tc>
        <w:tc>
          <w:tcPr>
            <w:tcW w:w="992" w:type="dxa"/>
            <w:tcBorders>
              <w:top w:val="nil"/>
            </w:tcBorders>
          </w:tcPr>
          <w:p w:rsidR="00000000" w:rsidRDefault="00000000">
            <w:pPr>
              <w:jc w:val="center"/>
              <w:rPr>
                <w:snapToGrid w:val="0"/>
                <w:sz w:val="22"/>
              </w:rPr>
            </w:pPr>
            <w:r>
              <w:rPr>
                <w:snapToGrid w:val="0"/>
                <w:sz w:val="22"/>
              </w:rPr>
              <w:t>30 716</w:t>
            </w:r>
          </w:p>
        </w:tc>
        <w:tc>
          <w:tcPr>
            <w:tcW w:w="1174" w:type="dxa"/>
            <w:tcBorders>
              <w:top w:val="nil"/>
            </w:tcBorders>
          </w:tcPr>
          <w:p w:rsidR="00000000" w:rsidRDefault="00000000">
            <w:pPr>
              <w:jc w:val="center"/>
              <w:rPr>
                <w:snapToGrid w:val="0"/>
                <w:sz w:val="22"/>
              </w:rPr>
            </w:pPr>
            <w:r>
              <w:rPr>
                <w:snapToGrid w:val="0"/>
                <w:sz w:val="22"/>
              </w:rPr>
              <w:t>3 233</w:t>
            </w:r>
          </w:p>
        </w:tc>
        <w:tc>
          <w:tcPr>
            <w:tcW w:w="1333" w:type="dxa"/>
            <w:tcBorders>
              <w:top w:val="nil"/>
            </w:tcBorders>
          </w:tcPr>
          <w:p w:rsidR="00000000" w:rsidRDefault="00000000">
            <w:pPr>
              <w:jc w:val="center"/>
              <w:rPr>
                <w:snapToGrid w:val="0"/>
                <w:sz w:val="22"/>
              </w:rPr>
            </w:pPr>
            <w:r>
              <w:rPr>
                <w:snapToGrid w:val="0"/>
                <w:sz w:val="22"/>
              </w:rPr>
              <w:t xml:space="preserve"> 2 475</w:t>
            </w:r>
          </w:p>
        </w:tc>
      </w:tr>
      <w:tr w:rsidR="00000000">
        <w:tblPrEx>
          <w:tblCellMar>
            <w:top w:w="0" w:type="dxa"/>
            <w:bottom w:w="0" w:type="dxa"/>
          </w:tblCellMar>
        </w:tblPrEx>
        <w:trPr>
          <w:jc w:val="center"/>
        </w:trPr>
        <w:tc>
          <w:tcPr>
            <w:tcW w:w="1205" w:type="dxa"/>
            <w:tcBorders>
              <w:bottom w:val="single" w:sz="4" w:space="0" w:color="auto"/>
            </w:tcBorders>
          </w:tcPr>
          <w:p w:rsidR="00000000" w:rsidRDefault="00000000">
            <w:pPr>
              <w:rPr>
                <w:snapToGrid w:val="0"/>
                <w:sz w:val="22"/>
              </w:rPr>
            </w:pPr>
          </w:p>
        </w:tc>
        <w:tc>
          <w:tcPr>
            <w:tcW w:w="952" w:type="dxa"/>
            <w:tcBorders>
              <w:bottom w:val="single" w:sz="4" w:space="0" w:color="auto"/>
            </w:tcBorders>
          </w:tcPr>
          <w:p w:rsidR="00000000" w:rsidRDefault="00000000">
            <w:pPr>
              <w:jc w:val="center"/>
              <w:rPr>
                <w:snapToGrid w:val="0"/>
                <w:sz w:val="22"/>
              </w:rPr>
            </w:pPr>
            <w:r>
              <w:rPr>
                <w:snapToGrid w:val="0"/>
                <w:sz w:val="22"/>
              </w:rPr>
              <w:t>1999</w:t>
            </w:r>
          </w:p>
        </w:tc>
        <w:tc>
          <w:tcPr>
            <w:tcW w:w="992" w:type="dxa"/>
            <w:tcBorders>
              <w:bottom w:val="single" w:sz="4" w:space="0" w:color="auto"/>
            </w:tcBorders>
          </w:tcPr>
          <w:p w:rsidR="00000000" w:rsidRDefault="00000000">
            <w:pPr>
              <w:jc w:val="center"/>
              <w:rPr>
                <w:snapToGrid w:val="0"/>
                <w:sz w:val="22"/>
              </w:rPr>
            </w:pPr>
            <w:r>
              <w:rPr>
                <w:snapToGrid w:val="0"/>
                <w:sz w:val="22"/>
              </w:rPr>
              <w:t xml:space="preserve"> 34 159</w:t>
            </w:r>
          </w:p>
        </w:tc>
        <w:tc>
          <w:tcPr>
            <w:tcW w:w="992" w:type="dxa"/>
            <w:tcBorders>
              <w:bottom w:val="single" w:sz="4" w:space="0" w:color="auto"/>
            </w:tcBorders>
          </w:tcPr>
          <w:p w:rsidR="00000000" w:rsidRDefault="00000000">
            <w:pPr>
              <w:jc w:val="center"/>
              <w:rPr>
                <w:snapToGrid w:val="0"/>
                <w:sz w:val="22"/>
              </w:rPr>
            </w:pPr>
            <w:r>
              <w:rPr>
                <w:snapToGrid w:val="0"/>
                <w:sz w:val="22"/>
              </w:rPr>
              <w:t>28 968</w:t>
            </w:r>
          </w:p>
        </w:tc>
        <w:tc>
          <w:tcPr>
            <w:tcW w:w="1174" w:type="dxa"/>
            <w:tcBorders>
              <w:bottom w:val="single" w:sz="4" w:space="0" w:color="auto"/>
            </w:tcBorders>
          </w:tcPr>
          <w:p w:rsidR="00000000" w:rsidRDefault="00000000">
            <w:pPr>
              <w:jc w:val="center"/>
              <w:rPr>
                <w:snapToGrid w:val="0"/>
                <w:sz w:val="22"/>
              </w:rPr>
            </w:pPr>
            <w:r>
              <w:rPr>
                <w:snapToGrid w:val="0"/>
                <w:sz w:val="22"/>
              </w:rPr>
              <w:t>3 212</w:t>
            </w:r>
          </w:p>
        </w:tc>
        <w:tc>
          <w:tcPr>
            <w:tcW w:w="1333" w:type="dxa"/>
            <w:tcBorders>
              <w:bottom w:val="single" w:sz="4" w:space="0" w:color="auto"/>
            </w:tcBorders>
          </w:tcPr>
          <w:p w:rsidR="00000000" w:rsidRDefault="00000000">
            <w:pPr>
              <w:jc w:val="center"/>
              <w:rPr>
                <w:snapToGrid w:val="0"/>
                <w:sz w:val="22"/>
              </w:rPr>
            </w:pPr>
            <w:r>
              <w:rPr>
                <w:snapToGrid w:val="0"/>
                <w:sz w:val="22"/>
              </w:rPr>
              <w:t xml:space="preserve"> 1 979</w:t>
            </w:r>
          </w:p>
        </w:tc>
      </w:tr>
      <w:tr w:rsidR="00000000">
        <w:tblPrEx>
          <w:tblCellMar>
            <w:top w:w="0" w:type="dxa"/>
            <w:bottom w:w="0" w:type="dxa"/>
          </w:tblCellMar>
        </w:tblPrEx>
        <w:trPr>
          <w:jc w:val="center"/>
        </w:trPr>
        <w:tc>
          <w:tcPr>
            <w:tcW w:w="1205" w:type="dxa"/>
            <w:tcBorders>
              <w:top w:val="single" w:sz="4" w:space="0" w:color="auto"/>
              <w:bottom w:val="nil"/>
            </w:tcBorders>
          </w:tcPr>
          <w:p w:rsidR="00000000" w:rsidRDefault="00000000">
            <w:pPr>
              <w:rPr>
                <w:snapToGrid w:val="0"/>
                <w:sz w:val="22"/>
              </w:rPr>
            </w:pPr>
          </w:p>
        </w:tc>
        <w:tc>
          <w:tcPr>
            <w:tcW w:w="952" w:type="dxa"/>
            <w:tcBorders>
              <w:top w:val="single" w:sz="4" w:space="0" w:color="auto"/>
              <w:bottom w:val="nil"/>
            </w:tcBorders>
          </w:tcPr>
          <w:p w:rsidR="00000000" w:rsidRDefault="00000000">
            <w:pPr>
              <w:jc w:val="center"/>
              <w:rPr>
                <w:snapToGrid w:val="0"/>
                <w:sz w:val="22"/>
              </w:rPr>
            </w:pPr>
            <w:r>
              <w:rPr>
                <w:snapToGrid w:val="0"/>
                <w:sz w:val="22"/>
              </w:rPr>
              <w:t>1997</w:t>
            </w:r>
          </w:p>
        </w:tc>
        <w:tc>
          <w:tcPr>
            <w:tcW w:w="992" w:type="dxa"/>
            <w:tcBorders>
              <w:top w:val="single" w:sz="4" w:space="0" w:color="auto"/>
              <w:bottom w:val="nil"/>
            </w:tcBorders>
          </w:tcPr>
          <w:p w:rsidR="00000000" w:rsidRDefault="00000000">
            <w:pPr>
              <w:jc w:val="center"/>
              <w:rPr>
                <w:snapToGrid w:val="0"/>
                <w:sz w:val="22"/>
              </w:rPr>
            </w:pPr>
            <w:r>
              <w:rPr>
                <w:snapToGrid w:val="0"/>
                <w:sz w:val="22"/>
              </w:rPr>
              <w:t xml:space="preserve"> 36 742</w:t>
            </w:r>
          </w:p>
        </w:tc>
        <w:tc>
          <w:tcPr>
            <w:tcW w:w="992" w:type="dxa"/>
            <w:tcBorders>
              <w:top w:val="single" w:sz="4" w:space="0" w:color="auto"/>
              <w:bottom w:val="nil"/>
            </w:tcBorders>
          </w:tcPr>
          <w:p w:rsidR="00000000" w:rsidRDefault="00000000">
            <w:pPr>
              <w:jc w:val="center"/>
              <w:rPr>
                <w:snapToGrid w:val="0"/>
                <w:sz w:val="22"/>
              </w:rPr>
            </w:pPr>
            <w:r>
              <w:rPr>
                <w:snapToGrid w:val="0"/>
                <w:sz w:val="22"/>
              </w:rPr>
              <w:t>30 428</w:t>
            </w:r>
          </w:p>
        </w:tc>
        <w:tc>
          <w:tcPr>
            <w:tcW w:w="1174" w:type="dxa"/>
            <w:tcBorders>
              <w:top w:val="single" w:sz="4" w:space="0" w:color="auto"/>
              <w:bottom w:val="nil"/>
            </w:tcBorders>
          </w:tcPr>
          <w:p w:rsidR="00000000" w:rsidRDefault="00000000">
            <w:pPr>
              <w:jc w:val="center"/>
              <w:rPr>
                <w:snapToGrid w:val="0"/>
                <w:sz w:val="22"/>
              </w:rPr>
            </w:pPr>
            <w:r>
              <w:rPr>
                <w:snapToGrid w:val="0"/>
                <w:sz w:val="22"/>
              </w:rPr>
              <w:t>3 246</w:t>
            </w:r>
          </w:p>
        </w:tc>
        <w:tc>
          <w:tcPr>
            <w:tcW w:w="1333" w:type="dxa"/>
            <w:tcBorders>
              <w:top w:val="single" w:sz="4" w:space="0" w:color="auto"/>
              <w:bottom w:val="nil"/>
            </w:tcBorders>
          </w:tcPr>
          <w:p w:rsidR="00000000" w:rsidRDefault="00000000">
            <w:pPr>
              <w:jc w:val="center"/>
              <w:rPr>
                <w:snapToGrid w:val="0"/>
                <w:sz w:val="22"/>
              </w:rPr>
            </w:pPr>
            <w:r>
              <w:rPr>
                <w:snapToGrid w:val="0"/>
                <w:sz w:val="22"/>
              </w:rPr>
              <w:t xml:space="preserve"> 3 068</w:t>
            </w:r>
          </w:p>
        </w:tc>
      </w:tr>
      <w:tr w:rsidR="00000000">
        <w:tblPrEx>
          <w:tblCellMar>
            <w:top w:w="0" w:type="dxa"/>
            <w:bottom w:w="0" w:type="dxa"/>
          </w:tblCellMar>
        </w:tblPrEx>
        <w:trPr>
          <w:jc w:val="center"/>
        </w:trPr>
        <w:tc>
          <w:tcPr>
            <w:tcW w:w="1205" w:type="dxa"/>
            <w:tcBorders>
              <w:top w:val="nil"/>
            </w:tcBorders>
          </w:tcPr>
          <w:p w:rsidR="00000000" w:rsidRDefault="00000000">
            <w:pPr>
              <w:rPr>
                <w:snapToGrid w:val="0"/>
                <w:sz w:val="22"/>
              </w:rPr>
            </w:pPr>
            <w:r>
              <w:rPr>
                <w:snapToGrid w:val="0"/>
                <w:sz w:val="22"/>
              </w:rPr>
              <w:t>August</w:t>
            </w:r>
          </w:p>
        </w:tc>
        <w:tc>
          <w:tcPr>
            <w:tcW w:w="952" w:type="dxa"/>
            <w:tcBorders>
              <w:top w:val="nil"/>
            </w:tcBorders>
          </w:tcPr>
          <w:p w:rsidR="00000000" w:rsidRDefault="00000000">
            <w:pPr>
              <w:jc w:val="center"/>
              <w:rPr>
                <w:snapToGrid w:val="0"/>
                <w:sz w:val="22"/>
              </w:rPr>
            </w:pPr>
            <w:r>
              <w:rPr>
                <w:snapToGrid w:val="0"/>
                <w:sz w:val="22"/>
              </w:rPr>
              <w:t>1998</w:t>
            </w:r>
          </w:p>
        </w:tc>
        <w:tc>
          <w:tcPr>
            <w:tcW w:w="992" w:type="dxa"/>
            <w:tcBorders>
              <w:top w:val="nil"/>
            </w:tcBorders>
          </w:tcPr>
          <w:p w:rsidR="00000000" w:rsidRDefault="00000000">
            <w:pPr>
              <w:jc w:val="center"/>
              <w:rPr>
                <w:snapToGrid w:val="0"/>
                <w:sz w:val="22"/>
              </w:rPr>
            </w:pPr>
            <w:r>
              <w:rPr>
                <w:snapToGrid w:val="0"/>
                <w:sz w:val="22"/>
              </w:rPr>
              <w:t xml:space="preserve"> 38 107</w:t>
            </w:r>
          </w:p>
        </w:tc>
        <w:tc>
          <w:tcPr>
            <w:tcW w:w="992" w:type="dxa"/>
            <w:tcBorders>
              <w:top w:val="nil"/>
            </w:tcBorders>
          </w:tcPr>
          <w:p w:rsidR="00000000" w:rsidRDefault="00000000">
            <w:pPr>
              <w:jc w:val="center"/>
              <w:rPr>
                <w:snapToGrid w:val="0"/>
                <w:sz w:val="22"/>
              </w:rPr>
            </w:pPr>
            <w:r>
              <w:rPr>
                <w:snapToGrid w:val="0"/>
                <w:sz w:val="22"/>
              </w:rPr>
              <w:t>32 069</w:t>
            </w:r>
          </w:p>
        </w:tc>
        <w:tc>
          <w:tcPr>
            <w:tcW w:w="1174" w:type="dxa"/>
            <w:tcBorders>
              <w:top w:val="nil"/>
            </w:tcBorders>
          </w:tcPr>
          <w:p w:rsidR="00000000" w:rsidRDefault="00000000">
            <w:pPr>
              <w:jc w:val="center"/>
              <w:rPr>
                <w:snapToGrid w:val="0"/>
                <w:sz w:val="22"/>
              </w:rPr>
            </w:pPr>
            <w:r>
              <w:rPr>
                <w:snapToGrid w:val="0"/>
                <w:sz w:val="22"/>
              </w:rPr>
              <w:t>3 268</w:t>
            </w:r>
          </w:p>
        </w:tc>
        <w:tc>
          <w:tcPr>
            <w:tcW w:w="1333" w:type="dxa"/>
            <w:tcBorders>
              <w:top w:val="nil"/>
            </w:tcBorders>
          </w:tcPr>
          <w:p w:rsidR="00000000" w:rsidRDefault="00000000">
            <w:pPr>
              <w:jc w:val="center"/>
              <w:rPr>
                <w:snapToGrid w:val="0"/>
                <w:sz w:val="22"/>
              </w:rPr>
            </w:pPr>
            <w:r>
              <w:rPr>
                <w:snapToGrid w:val="0"/>
                <w:sz w:val="22"/>
              </w:rPr>
              <w:t xml:space="preserve"> 2 770</w:t>
            </w:r>
          </w:p>
        </w:tc>
      </w:tr>
      <w:tr w:rsidR="00000000">
        <w:tblPrEx>
          <w:tblCellMar>
            <w:top w:w="0" w:type="dxa"/>
            <w:bottom w:w="0" w:type="dxa"/>
          </w:tblCellMar>
        </w:tblPrEx>
        <w:trPr>
          <w:jc w:val="center"/>
        </w:trPr>
        <w:tc>
          <w:tcPr>
            <w:tcW w:w="1205" w:type="dxa"/>
            <w:tcBorders>
              <w:bottom w:val="single" w:sz="4" w:space="0" w:color="auto"/>
            </w:tcBorders>
          </w:tcPr>
          <w:p w:rsidR="00000000" w:rsidRDefault="00000000">
            <w:pPr>
              <w:rPr>
                <w:snapToGrid w:val="0"/>
                <w:sz w:val="22"/>
              </w:rPr>
            </w:pPr>
          </w:p>
        </w:tc>
        <w:tc>
          <w:tcPr>
            <w:tcW w:w="952" w:type="dxa"/>
            <w:tcBorders>
              <w:bottom w:val="single" w:sz="4" w:space="0" w:color="auto"/>
            </w:tcBorders>
          </w:tcPr>
          <w:p w:rsidR="00000000" w:rsidRDefault="00000000">
            <w:pPr>
              <w:jc w:val="center"/>
              <w:rPr>
                <w:snapToGrid w:val="0"/>
                <w:sz w:val="22"/>
              </w:rPr>
            </w:pPr>
            <w:r>
              <w:rPr>
                <w:snapToGrid w:val="0"/>
                <w:sz w:val="22"/>
              </w:rPr>
              <w:t>1999</w:t>
            </w:r>
          </w:p>
        </w:tc>
        <w:tc>
          <w:tcPr>
            <w:tcW w:w="992" w:type="dxa"/>
            <w:tcBorders>
              <w:bottom w:val="single" w:sz="4" w:space="0" w:color="auto"/>
            </w:tcBorders>
          </w:tcPr>
          <w:p w:rsidR="00000000" w:rsidRDefault="00000000">
            <w:pPr>
              <w:jc w:val="center"/>
              <w:rPr>
                <w:snapToGrid w:val="0"/>
                <w:sz w:val="22"/>
              </w:rPr>
            </w:pPr>
            <w:r>
              <w:rPr>
                <w:snapToGrid w:val="0"/>
                <w:sz w:val="22"/>
              </w:rPr>
              <w:t xml:space="preserve"> 35 566</w:t>
            </w:r>
          </w:p>
        </w:tc>
        <w:tc>
          <w:tcPr>
            <w:tcW w:w="992" w:type="dxa"/>
            <w:tcBorders>
              <w:bottom w:val="single" w:sz="4" w:space="0" w:color="auto"/>
            </w:tcBorders>
          </w:tcPr>
          <w:p w:rsidR="00000000" w:rsidRDefault="00000000">
            <w:pPr>
              <w:jc w:val="center"/>
              <w:rPr>
                <w:snapToGrid w:val="0"/>
                <w:sz w:val="22"/>
              </w:rPr>
            </w:pPr>
            <w:r>
              <w:rPr>
                <w:snapToGrid w:val="0"/>
                <w:sz w:val="22"/>
              </w:rPr>
              <w:t>30 168</w:t>
            </w:r>
          </w:p>
        </w:tc>
        <w:tc>
          <w:tcPr>
            <w:tcW w:w="1174" w:type="dxa"/>
            <w:tcBorders>
              <w:bottom w:val="single" w:sz="4" w:space="0" w:color="auto"/>
            </w:tcBorders>
          </w:tcPr>
          <w:p w:rsidR="00000000" w:rsidRDefault="00000000">
            <w:pPr>
              <w:jc w:val="center"/>
              <w:rPr>
                <w:snapToGrid w:val="0"/>
                <w:sz w:val="22"/>
              </w:rPr>
            </w:pPr>
            <w:r>
              <w:rPr>
                <w:snapToGrid w:val="0"/>
                <w:sz w:val="22"/>
              </w:rPr>
              <w:t>3 306</w:t>
            </w:r>
          </w:p>
        </w:tc>
        <w:tc>
          <w:tcPr>
            <w:tcW w:w="1333" w:type="dxa"/>
            <w:tcBorders>
              <w:bottom w:val="single" w:sz="4" w:space="0" w:color="auto"/>
            </w:tcBorders>
          </w:tcPr>
          <w:p w:rsidR="00000000" w:rsidRDefault="00000000">
            <w:pPr>
              <w:jc w:val="center"/>
              <w:rPr>
                <w:snapToGrid w:val="0"/>
                <w:sz w:val="22"/>
              </w:rPr>
            </w:pPr>
            <w:r>
              <w:rPr>
                <w:snapToGrid w:val="0"/>
                <w:sz w:val="22"/>
              </w:rPr>
              <w:t xml:space="preserve"> 2 092</w:t>
            </w:r>
          </w:p>
        </w:tc>
      </w:tr>
      <w:tr w:rsidR="00000000">
        <w:tblPrEx>
          <w:tblCellMar>
            <w:top w:w="0" w:type="dxa"/>
            <w:bottom w:w="0" w:type="dxa"/>
          </w:tblCellMar>
        </w:tblPrEx>
        <w:trPr>
          <w:jc w:val="center"/>
        </w:trPr>
        <w:tc>
          <w:tcPr>
            <w:tcW w:w="1205" w:type="dxa"/>
            <w:tcBorders>
              <w:top w:val="single" w:sz="4" w:space="0" w:color="auto"/>
              <w:bottom w:val="nil"/>
            </w:tcBorders>
          </w:tcPr>
          <w:p w:rsidR="00000000" w:rsidRDefault="00000000">
            <w:pPr>
              <w:rPr>
                <w:snapToGrid w:val="0"/>
                <w:sz w:val="22"/>
              </w:rPr>
            </w:pPr>
          </w:p>
        </w:tc>
        <w:tc>
          <w:tcPr>
            <w:tcW w:w="952" w:type="dxa"/>
            <w:tcBorders>
              <w:top w:val="single" w:sz="4" w:space="0" w:color="auto"/>
              <w:bottom w:val="nil"/>
            </w:tcBorders>
          </w:tcPr>
          <w:p w:rsidR="00000000" w:rsidRDefault="00000000">
            <w:pPr>
              <w:jc w:val="center"/>
              <w:rPr>
                <w:snapToGrid w:val="0"/>
                <w:sz w:val="22"/>
              </w:rPr>
            </w:pPr>
            <w:r>
              <w:rPr>
                <w:snapToGrid w:val="0"/>
                <w:sz w:val="22"/>
              </w:rPr>
              <w:t>1997</w:t>
            </w:r>
          </w:p>
        </w:tc>
        <w:tc>
          <w:tcPr>
            <w:tcW w:w="992" w:type="dxa"/>
            <w:tcBorders>
              <w:top w:val="single" w:sz="4" w:space="0" w:color="auto"/>
              <w:bottom w:val="nil"/>
            </w:tcBorders>
          </w:tcPr>
          <w:p w:rsidR="00000000" w:rsidRDefault="00000000">
            <w:pPr>
              <w:jc w:val="center"/>
              <w:rPr>
                <w:snapToGrid w:val="0"/>
                <w:sz w:val="22"/>
              </w:rPr>
            </w:pPr>
            <w:r>
              <w:rPr>
                <w:snapToGrid w:val="0"/>
                <w:sz w:val="22"/>
              </w:rPr>
              <w:t xml:space="preserve"> 39 649</w:t>
            </w:r>
          </w:p>
        </w:tc>
        <w:tc>
          <w:tcPr>
            <w:tcW w:w="992" w:type="dxa"/>
            <w:tcBorders>
              <w:top w:val="single" w:sz="4" w:space="0" w:color="auto"/>
              <w:bottom w:val="nil"/>
            </w:tcBorders>
          </w:tcPr>
          <w:p w:rsidR="00000000" w:rsidRDefault="00000000">
            <w:pPr>
              <w:jc w:val="center"/>
              <w:rPr>
                <w:snapToGrid w:val="0"/>
                <w:sz w:val="22"/>
              </w:rPr>
            </w:pPr>
            <w:r>
              <w:rPr>
                <w:snapToGrid w:val="0"/>
                <w:sz w:val="22"/>
              </w:rPr>
              <w:t>32 769</w:t>
            </w:r>
          </w:p>
        </w:tc>
        <w:tc>
          <w:tcPr>
            <w:tcW w:w="1174" w:type="dxa"/>
            <w:tcBorders>
              <w:top w:val="single" w:sz="4" w:space="0" w:color="auto"/>
              <w:bottom w:val="nil"/>
            </w:tcBorders>
          </w:tcPr>
          <w:p w:rsidR="00000000" w:rsidRDefault="00000000">
            <w:pPr>
              <w:jc w:val="center"/>
              <w:rPr>
                <w:snapToGrid w:val="0"/>
                <w:sz w:val="22"/>
              </w:rPr>
            </w:pPr>
            <w:r>
              <w:rPr>
                <w:snapToGrid w:val="0"/>
                <w:sz w:val="22"/>
              </w:rPr>
              <w:t>3 432</w:t>
            </w:r>
          </w:p>
        </w:tc>
        <w:tc>
          <w:tcPr>
            <w:tcW w:w="1333" w:type="dxa"/>
            <w:tcBorders>
              <w:top w:val="single" w:sz="4" w:space="0" w:color="auto"/>
              <w:bottom w:val="nil"/>
            </w:tcBorders>
          </w:tcPr>
          <w:p w:rsidR="00000000" w:rsidRDefault="00000000">
            <w:pPr>
              <w:jc w:val="center"/>
              <w:rPr>
                <w:snapToGrid w:val="0"/>
                <w:sz w:val="22"/>
              </w:rPr>
            </w:pPr>
            <w:r>
              <w:rPr>
                <w:snapToGrid w:val="0"/>
                <w:sz w:val="22"/>
              </w:rPr>
              <w:t xml:space="preserve"> 3 448</w:t>
            </w:r>
          </w:p>
        </w:tc>
      </w:tr>
      <w:tr w:rsidR="00000000">
        <w:tblPrEx>
          <w:tblCellMar>
            <w:top w:w="0" w:type="dxa"/>
            <w:bottom w:w="0" w:type="dxa"/>
          </w:tblCellMar>
        </w:tblPrEx>
        <w:trPr>
          <w:jc w:val="center"/>
        </w:trPr>
        <w:tc>
          <w:tcPr>
            <w:tcW w:w="1205" w:type="dxa"/>
            <w:tcBorders>
              <w:top w:val="nil"/>
            </w:tcBorders>
          </w:tcPr>
          <w:p w:rsidR="00000000" w:rsidRDefault="00000000">
            <w:pPr>
              <w:rPr>
                <w:snapToGrid w:val="0"/>
                <w:sz w:val="22"/>
              </w:rPr>
            </w:pPr>
            <w:r>
              <w:rPr>
                <w:snapToGrid w:val="0"/>
                <w:sz w:val="22"/>
              </w:rPr>
              <w:t>September</w:t>
            </w:r>
          </w:p>
        </w:tc>
        <w:tc>
          <w:tcPr>
            <w:tcW w:w="952" w:type="dxa"/>
            <w:tcBorders>
              <w:top w:val="nil"/>
            </w:tcBorders>
          </w:tcPr>
          <w:p w:rsidR="00000000" w:rsidRDefault="00000000">
            <w:pPr>
              <w:jc w:val="center"/>
              <w:rPr>
                <w:snapToGrid w:val="0"/>
                <w:sz w:val="22"/>
              </w:rPr>
            </w:pPr>
            <w:r>
              <w:rPr>
                <w:snapToGrid w:val="0"/>
                <w:sz w:val="22"/>
              </w:rPr>
              <w:t>1998</w:t>
            </w:r>
          </w:p>
        </w:tc>
        <w:tc>
          <w:tcPr>
            <w:tcW w:w="992" w:type="dxa"/>
            <w:tcBorders>
              <w:top w:val="nil"/>
            </w:tcBorders>
          </w:tcPr>
          <w:p w:rsidR="00000000" w:rsidRDefault="00000000">
            <w:pPr>
              <w:jc w:val="center"/>
              <w:rPr>
                <w:snapToGrid w:val="0"/>
                <w:sz w:val="22"/>
              </w:rPr>
            </w:pPr>
            <w:r>
              <w:rPr>
                <w:snapToGrid w:val="0"/>
                <w:sz w:val="22"/>
              </w:rPr>
              <w:t xml:space="preserve"> 36 674</w:t>
            </w:r>
          </w:p>
        </w:tc>
        <w:tc>
          <w:tcPr>
            <w:tcW w:w="992" w:type="dxa"/>
            <w:tcBorders>
              <w:top w:val="nil"/>
            </w:tcBorders>
          </w:tcPr>
          <w:p w:rsidR="00000000" w:rsidRDefault="00000000">
            <w:pPr>
              <w:jc w:val="center"/>
              <w:rPr>
                <w:snapToGrid w:val="0"/>
                <w:sz w:val="22"/>
              </w:rPr>
            </w:pPr>
            <w:r>
              <w:rPr>
                <w:snapToGrid w:val="0"/>
                <w:sz w:val="22"/>
              </w:rPr>
              <w:t>30 818</w:t>
            </w:r>
          </w:p>
        </w:tc>
        <w:tc>
          <w:tcPr>
            <w:tcW w:w="1174" w:type="dxa"/>
            <w:tcBorders>
              <w:top w:val="nil"/>
            </w:tcBorders>
          </w:tcPr>
          <w:p w:rsidR="00000000" w:rsidRDefault="00000000">
            <w:pPr>
              <w:jc w:val="center"/>
              <w:rPr>
                <w:snapToGrid w:val="0"/>
                <w:sz w:val="22"/>
              </w:rPr>
            </w:pPr>
            <w:r>
              <w:rPr>
                <w:snapToGrid w:val="0"/>
                <w:sz w:val="22"/>
              </w:rPr>
              <w:t>3 211</w:t>
            </w:r>
          </w:p>
        </w:tc>
        <w:tc>
          <w:tcPr>
            <w:tcW w:w="1333" w:type="dxa"/>
            <w:tcBorders>
              <w:top w:val="nil"/>
            </w:tcBorders>
          </w:tcPr>
          <w:p w:rsidR="00000000" w:rsidRDefault="00000000">
            <w:pPr>
              <w:jc w:val="center"/>
              <w:rPr>
                <w:snapToGrid w:val="0"/>
                <w:sz w:val="22"/>
              </w:rPr>
            </w:pPr>
            <w:r>
              <w:rPr>
                <w:snapToGrid w:val="0"/>
                <w:sz w:val="22"/>
              </w:rPr>
              <w:t xml:space="preserve"> 2 645</w:t>
            </w:r>
          </w:p>
        </w:tc>
      </w:tr>
      <w:tr w:rsidR="00000000">
        <w:tblPrEx>
          <w:tblCellMar>
            <w:top w:w="0" w:type="dxa"/>
            <w:bottom w:w="0" w:type="dxa"/>
          </w:tblCellMar>
        </w:tblPrEx>
        <w:trPr>
          <w:jc w:val="center"/>
        </w:trPr>
        <w:tc>
          <w:tcPr>
            <w:tcW w:w="1205" w:type="dxa"/>
            <w:tcBorders>
              <w:bottom w:val="single" w:sz="4" w:space="0" w:color="auto"/>
            </w:tcBorders>
          </w:tcPr>
          <w:p w:rsidR="00000000" w:rsidRDefault="00000000">
            <w:pPr>
              <w:rPr>
                <w:snapToGrid w:val="0"/>
                <w:sz w:val="22"/>
              </w:rPr>
            </w:pPr>
          </w:p>
        </w:tc>
        <w:tc>
          <w:tcPr>
            <w:tcW w:w="952" w:type="dxa"/>
            <w:tcBorders>
              <w:bottom w:val="single" w:sz="4" w:space="0" w:color="auto"/>
            </w:tcBorders>
          </w:tcPr>
          <w:p w:rsidR="00000000" w:rsidRDefault="00000000">
            <w:pPr>
              <w:jc w:val="center"/>
              <w:rPr>
                <w:snapToGrid w:val="0"/>
                <w:sz w:val="22"/>
              </w:rPr>
            </w:pPr>
            <w:r>
              <w:rPr>
                <w:snapToGrid w:val="0"/>
                <w:sz w:val="22"/>
              </w:rPr>
              <w:t>1999</w:t>
            </w:r>
          </w:p>
        </w:tc>
        <w:tc>
          <w:tcPr>
            <w:tcW w:w="992" w:type="dxa"/>
            <w:tcBorders>
              <w:bottom w:val="single" w:sz="4" w:space="0" w:color="auto"/>
            </w:tcBorders>
          </w:tcPr>
          <w:p w:rsidR="00000000" w:rsidRDefault="00000000">
            <w:pPr>
              <w:jc w:val="center"/>
              <w:rPr>
                <w:snapToGrid w:val="0"/>
                <w:sz w:val="22"/>
              </w:rPr>
            </w:pPr>
            <w:r>
              <w:rPr>
                <w:snapToGrid w:val="0"/>
                <w:sz w:val="22"/>
              </w:rPr>
              <w:t xml:space="preserve"> 33 085</w:t>
            </w:r>
          </w:p>
        </w:tc>
        <w:tc>
          <w:tcPr>
            <w:tcW w:w="992" w:type="dxa"/>
            <w:tcBorders>
              <w:bottom w:val="single" w:sz="4" w:space="0" w:color="auto"/>
            </w:tcBorders>
          </w:tcPr>
          <w:p w:rsidR="00000000" w:rsidRDefault="00000000">
            <w:pPr>
              <w:jc w:val="center"/>
              <w:rPr>
                <w:snapToGrid w:val="0"/>
                <w:sz w:val="22"/>
              </w:rPr>
            </w:pPr>
            <w:r>
              <w:rPr>
                <w:snapToGrid w:val="0"/>
                <w:sz w:val="22"/>
              </w:rPr>
              <w:t>28 256</w:t>
            </w:r>
          </w:p>
        </w:tc>
        <w:tc>
          <w:tcPr>
            <w:tcW w:w="1174" w:type="dxa"/>
            <w:tcBorders>
              <w:bottom w:val="single" w:sz="4" w:space="0" w:color="auto"/>
            </w:tcBorders>
          </w:tcPr>
          <w:p w:rsidR="00000000" w:rsidRDefault="00000000">
            <w:pPr>
              <w:jc w:val="center"/>
              <w:rPr>
                <w:snapToGrid w:val="0"/>
                <w:sz w:val="22"/>
              </w:rPr>
            </w:pPr>
            <w:r>
              <w:rPr>
                <w:snapToGrid w:val="0"/>
                <w:sz w:val="22"/>
              </w:rPr>
              <w:t>3 159</w:t>
            </w:r>
          </w:p>
        </w:tc>
        <w:tc>
          <w:tcPr>
            <w:tcW w:w="1333" w:type="dxa"/>
            <w:tcBorders>
              <w:bottom w:val="single" w:sz="4" w:space="0" w:color="auto"/>
            </w:tcBorders>
          </w:tcPr>
          <w:p w:rsidR="00000000" w:rsidRDefault="00000000">
            <w:pPr>
              <w:jc w:val="center"/>
              <w:rPr>
                <w:snapToGrid w:val="0"/>
                <w:sz w:val="22"/>
              </w:rPr>
            </w:pPr>
            <w:r>
              <w:rPr>
                <w:snapToGrid w:val="0"/>
                <w:sz w:val="22"/>
              </w:rPr>
              <w:t xml:space="preserve"> 1 670</w:t>
            </w:r>
          </w:p>
        </w:tc>
      </w:tr>
      <w:tr w:rsidR="00000000">
        <w:tblPrEx>
          <w:tblCellMar>
            <w:top w:w="0" w:type="dxa"/>
            <w:bottom w:w="0" w:type="dxa"/>
          </w:tblCellMar>
        </w:tblPrEx>
        <w:trPr>
          <w:jc w:val="center"/>
        </w:trPr>
        <w:tc>
          <w:tcPr>
            <w:tcW w:w="1205" w:type="dxa"/>
            <w:tcBorders>
              <w:top w:val="single" w:sz="4" w:space="0" w:color="auto"/>
              <w:bottom w:val="nil"/>
            </w:tcBorders>
          </w:tcPr>
          <w:p w:rsidR="00000000" w:rsidRDefault="00000000">
            <w:pPr>
              <w:rPr>
                <w:snapToGrid w:val="0"/>
                <w:sz w:val="22"/>
              </w:rPr>
            </w:pPr>
          </w:p>
        </w:tc>
        <w:tc>
          <w:tcPr>
            <w:tcW w:w="952" w:type="dxa"/>
            <w:tcBorders>
              <w:top w:val="single" w:sz="4" w:space="0" w:color="auto"/>
              <w:bottom w:val="nil"/>
            </w:tcBorders>
          </w:tcPr>
          <w:p w:rsidR="00000000" w:rsidRDefault="00000000">
            <w:pPr>
              <w:jc w:val="center"/>
              <w:rPr>
                <w:snapToGrid w:val="0"/>
                <w:sz w:val="22"/>
              </w:rPr>
            </w:pPr>
            <w:r>
              <w:rPr>
                <w:snapToGrid w:val="0"/>
                <w:sz w:val="22"/>
              </w:rPr>
              <w:t>1997</w:t>
            </w:r>
          </w:p>
        </w:tc>
        <w:tc>
          <w:tcPr>
            <w:tcW w:w="992" w:type="dxa"/>
            <w:tcBorders>
              <w:top w:val="single" w:sz="4" w:space="0" w:color="auto"/>
              <w:bottom w:val="nil"/>
            </w:tcBorders>
          </w:tcPr>
          <w:p w:rsidR="00000000" w:rsidRDefault="00000000">
            <w:pPr>
              <w:jc w:val="center"/>
              <w:rPr>
                <w:snapToGrid w:val="0"/>
                <w:sz w:val="22"/>
              </w:rPr>
            </w:pPr>
            <w:r>
              <w:rPr>
                <w:snapToGrid w:val="0"/>
                <w:sz w:val="22"/>
              </w:rPr>
              <w:t xml:space="preserve"> 40 988</w:t>
            </w:r>
          </w:p>
        </w:tc>
        <w:tc>
          <w:tcPr>
            <w:tcW w:w="992" w:type="dxa"/>
            <w:tcBorders>
              <w:top w:val="single" w:sz="4" w:space="0" w:color="auto"/>
              <w:bottom w:val="nil"/>
            </w:tcBorders>
          </w:tcPr>
          <w:p w:rsidR="00000000" w:rsidRDefault="00000000">
            <w:pPr>
              <w:jc w:val="center"/>
              <w:rPr>
                <w:snapToGrid w:val="0"/>
                <w:sz w:val="22"/>
              </w:rPr>
            </w:pPr>
            <w:r>
              <w:rPr>
                <w:snapToGrid w:val="0"/>
                <w:sz w:val="22"/>
              </w:rPr>
              <w:t>34 336</w:t>
            </w:r>
          </w:p>
        </w:tc>
        <w:tc>
          <w:tcPr>
            <w:tcW w:w="1174" w:type="dxa"/>
            <w:tcBorders>
              <w:top w:val="single" w:sz="4" w:space="0" w:color="auto"/>
              <w:bottom w:val="nil"/>
            </w:tcBorders>
          </w:tcPr>
          <w:p w:rsidR="00000000" w:rsidRDefault="00000000">
            <w:pPr>
              <w:jc w:val="center"/>
              <w:rPr>
                <w:snapToGrid w:val="0"/>
                <w:sz w:val="22"/>
              </w:rPr>
            </w:pPr>
            <w:r>
              <w:rPr>
                <w:snapToGrid w:val="0"/>
                <w:sz w:val="22"/>
              </w:rPr>
              <w:t>3 603</w:t>
            </w:r>
          </w:p>
        </w:tc>
        <w:tc>
          <w:tcPr>
            <w:tcW w:w="1333" w:type="dxa"/>
            <w:tcBorders>
              <w:top w:val="single" w:sz="4" w:space="0" w:color="auto"/>
              <w:bottom w:val="nil"/>
            </w:tcBorders>
          </w:tcPr>
          <w:p w:rsidR="00000000" w:rsidRDefault="00000000">
            <w:pPr>
              <w:jc w:val="center"/>
              <w:rPr>
                <w:snapToGrid w:val="0"/>
                <w:sz w:val="22"/>
              </w:rPr>
            </w:pPr>
            <w:r>
              <w:rPr>
                <w:snapToGrid w:val="0"/>
                <w:sz w:val="22"/>
              </w:rPr>
              <w:t xml:space="preserve"> 3 049</w:t>
            </w:r>
          </w:p>
        </w:tc>
      </w:tr>
      <w:tr w:rsidR="00000000">
        <w:tblPrEx>
          <w:tblCellMar>
            <w:top w:w="0" w:type="dxa"/>
            <w:bottom w:w="0" w:type="dxa"/>
          </w:tblCellMar>
        </w:tblPrEx>
        <w:trPr>
          <w:jc w:val="center"/>
        </w:trPr>
        <w:tc>
          <w:tcPr>
            <w:tcW w:w="1205" w:type="dxa"/>
            <w:tcBorders>
              <w:top w:val="nil"/>
            </w:tcBorders>
          </w:tcPr>
          <w:p w:rsidR="00000000" w:rsidRDefault="00000000">
            <w:pPr>
              <w:rPr>
                <w:snapToGrid w:val="0"/>
                <w:sz w:val="22"/>
              </w:rPr>
            </w:pPr>
            <w:r>
              <w:rPr>
                <w:snapToGrid w:val="0"/>
                <w:sz w:val="22"/>
              </w:rPr>
              <w:t>October</w:t>
            </w:r>
          </w:p>
        </w:tc>
        <w:tc>
          <w:tcPr>
            <w:tcW w:w="952" w:type="dxa"/>
            <w:tcBorders>
              <w:top w:val="nil"/>
            </w:tcBorders>
          </w:tcPr>
          <w:p w:rsidR="00000000" w:rsidRDefault="00000000">
            <w:pPr>
              <w:jc w:val="center"/>
              <w:rPr>
                <w:snapToGrid w:val="0"/>
                <w:sz w:val="22"/>
              </w:rPr>
            </w:pPr>
            <w:r>
              <w:rPr>
                <w:snapToGrid w:val="0"/>
                <w:sz w:val="22"/>
              </w:rPr>
              <w:t>1998</w:t>
            </w:r>
          </w:p>
        </w:tc>
        <w:tc>
          <w:tcPr>
            <w:tcW w:w="992" w:type="dxa"/>
            <w:tcBorders>
              <w:top w:val="nil"/>
            </w:tcBorders>
          </w:tcPr>
          <w:p w:rsidR="00000000" w:rsidRDefault="00000000">
            <w:pPr>
              <w:jc w:val="center"/>
              <w:rPr>
                <w:snapToGrid w:val="0"/>
                <w:sz w:val="22"/>
              </w:rPr>
            </w:pPr>
            <w:r>
              <w:rPr>
                <w:snapToGrid w:val="0"/>
                <w:sz w:val="22"/>
              </w:rPr>
              <w:t xml:space="preserve"> 36 043</w:t>
            </w:r>
          </w:p>
        </w:tc>
        <w:tc>
          <w:tcPr>
            <w:tcW w:w="992" w:type="dxa"/>
            <w:tcBorders>
              <w:top w:val="nil"/>
            </w:tcBorders>
          </w:tcPr>
          <w:p w:rsidR="00000000" w:rsidRDefault="00000000">
            <w:pPr>
              <w:jc w:val="center"/>
              <w:rPr>
                <w:snapToGrid w:val="0"/>
                <w:sz w:val="22"/>
              </w:rPr>
            </w:pPr>
            <w:r>
              <w:rPr>
                <w:snapToGrid w:val="0"/>
                <w:sz w:val="22"/>
              </w:rPr>
              <w:t>30 470</w:t>
            </w:r>
          </w:p>
        </w:tc>
        <w:tc>
          <w:tcPr>
            <w:tcW w:w="1174" w:type="dxa"/>
            <w:tcBorders>
              <w:top w:val="nil"/>
            </w:tcBorders>
          </w:tcPr>
          <w:p w:rsidR="00000000" w:rsidRDefault="00000000">
            <w:pPr>
              <w:jc w:val="center"/>
              <w:rPr>
                <w:snapToGrid w:val="0"/>
                <w:sz w:val="22"/>
              </w:rPr>
            </w:pPr>
            <w:r>
              <w:rPr>
                <w:snapToGrid w:val="0"/>
                <w:sz w:val="22"/>
              </w:rPr>
              <w:t>3 072</w:t>
            </w:r>
          </w:p>
        </w:tc>
        <w:tc>
          <w:tcPr>
            <w:tcW w:w="1333" w:type="dxa"/>
            <w:tcBorders>
              <w:top w:val="nil"/>
            </w:tcBorders>
          </w:tcPr>
          <w:p w:rsidR="00000000" w:rsidRDefault="00000000">
            <w:pPr>
              <w:jc w:val="center"/>
              <w:rPr>
                <w:snapToGrid w:val="0"/>
                <w:sz w:val="22"/>
              </w:rPr>
            </w:pPr>
            <w:r>
              <w:rPr>
                <w:snapToGrid w:val="0"/>
                <w:sz w:val="22"/>
              </w:rPr>
              <w:t xml:space="preserve"> 2 501</w:t>
            </w:r>
          </w:p>
        </w:tc>
      </w:tr>
      <w:tr w:rsidR="00000000">
        <w:tblPrEx>
          <w:tblCellMar>
            <w:top w:w="0" w:type="dxa"/>
            <w:bottom w:w="0" w:type="dxa"/>
          </w:tblCellMar>
        </w:tblPrEx>
        <w:trPr>
          <w:jc w:val="center"/>
        </w:trPr>
        <w:tc>
          <w:tcPr>
            <w:tcW w:w="1205" w:type="dxa"/>
            <w:tcBorders>
              <w:bottom w:val="single" w:sz="4" w:space="0" w:color="auto"/>
            </w:tcBorders>
          </w:tcPr>
          <w:p w:rsidR="00000000" w:rsidRDefault="00000000">
            <w:pPr>
              <w:rPr>
                <w:snapToGrid w:val="0"/>
                <w:sz w:val="22"/>
              </w:rPr>
            </w:pPr>
          </w:p>
        </w:tc>
        <w:tc>
          <w:tcPr>
            <w:tcW w:w="952" w:type="dxa"/>
            <w:tcBorders>
              <w:bottom w:val="single" w:sz="4" w:space="0" w:color="auto"/>
            </w:tcBorders>
          </w:tcPr>
          <w:p w:rsidR="00000000" w:rsidRDefault="00000000">
            <w:pPr>
              <w:jc w:val="center"/>
              <w:rPr>
                <w:snapToGrid w:val="0"/>
                <w:sz w:val="22"/>
              </w:rPr>
            </w:pPr>
            <w:r>
              <w:rPr>
                <w:snapToGrid w:val="0"/>
                <w:sz w:val="22"/>
              </w:rPr>
              <w:t>1999</w:t>
            </w:r>
          </w:p>
        </w:tc>
        <w:tc>
          <w:tcPr>
            <w:tcW w:w="992" w:type="dxa"/>
            <w:tcBorders>
              <w:bottom w:val="single" w:sz="4" w:space="0" w:color="auto"/>
            </w:tcBorders>
          </w:tcPr>
          <w:p w:rsidR="00000000" w:rsidRDefault="00000000">
            <w:pPr>
              <w:jc w:val="center"/>
              <w:rPr>
                <w:snapToGrid w:val="0"/>
                <w:sz w:val="22"/>
              </w:rPr>
            </w:pPr>
            <w:r>
              <w:rPr>
                <w:snapToGrid w:val="0"/>
                <w:sz w:val="22"/>
              </w:rPr>
              <w:t xml:space="preserve"> 31 449</w:t>
            </w:r>
          </w:p>
        </w:tc>
        <w:tc>
          <w:tcPr>
            <w:tcW w:w="992" w:type="dxa"/>
            <w:tcBorders>
              <w:bottom w:val="single" w:sz="4" w:space="0" w:color="auto"/>
            </w:tcBorders>
          </w:tcPr>
          <w:p w:rsidR="00000000" w:rsidRDefault="00000000">
            <w:pPr>
              <w:jc w:val="center"/>
              <w:rPr>
                <w:snapToGrid w:val="0"/>
                <w:sz w:val="22"/>
              </w:rPr>
            </w:pPr>
            <w:r>
              <w:rPr>
                <w:snapToGrid w:val="0"/>
                <w:sz w:val="22"/>
              </w:rPr>
              <w:t>26 879</w:t>
            </w:r>
          </w:p>
        </w:tc>
        <w:tc>
          <w:tcPr>
            <w:tcW w:w="1174" w:type="dxa"/>
            <w:tcBorders>
              <w:bottom w:val="single" w:sz="4" w:space="0" w:color="auto"/>
            </w:tcBorders>
          </w:tcPr>
          <w:p w:rsidR="00000000" w:rsidRDefault="00000000">
            <w:pPr>
              <w:jc w:val="center"/>
              <w:rPr>
                <w:snapToGrid w:val="0"/>
                <w:sz w:val="22"/>
              </w:rPr>
            </w:pPr>
            <w:r>
              <w:rPr>
                <w:snapToGrid w:val="0"/>
                <w:sz w:val="22"/>
              </w:rPr>
              <w:t>2 913</w:t>
            </w:r>
          </w:p>
        </w:tc>
        <w:tc>
          <w:tcPr>
            <w:tcW w:w="1333" w:type="dxa"/>
            <w:tcBorders>
              <w:bottom w:val="single" w:sz="4" w:space="0" w:color="auto"/>
            </w:tcBorders>
          </w:tcPr>
          <w:p w:rsidR="00000000" w:rsidRDefault="00000000">
            <w:pPr>
              <w:jc w:val="center"/>
              <w:rPr>
                <w:snapToGrid w:val="0"/>
                <w:sz w:val="22"/>
              </w:rPr>
            </w:pPr>
            <w:r>
              <w:rPr>
                <w:snapToGrid w:val="0"/>
                <w:sz w:val="22"/>
              </w:rPr>
              <w:t xml:space="preserve"> 1 657</w:t>
            </w:r>
          </w:p>
        </w:tc>
      </w:tr>
      <w:tr w:rsidR="00000000">
        <w:tblPrEx>
          <w:tblCellMar>
            <w:top w:w="0" w:type="dxa"/>
            <w:bottom w:w="0" w:type="dxa"/>
          </w:tblCellMar>
        </w:tblPrEx>
        <w:trPr>
          <w:jc w:val="center"/>
        </w:trPr>
        <w:tc>
          <w:tcPr>
            <w:tcW w:w="1205" w:type="dxa"/>
            <w:tcBorders>
              <w:top w:val="single" w:sz="4" w:space="0" w:color="auto"/>
              <w:bottom w:val="nil"/>
            </w:tcBorders>
          </w:tcPr>
          <w:p w:rsidR="00000000" w:rsidRDefault="00000000">
            <w:pPr>
              <w:rPr>
                <w:snapToGrid w:val="0"/>
                <w:sz w:val="22"/>
              </w:rPr>
            </w:pPr>
          </w:p>
        </w:tc>
        <w:tc>
          <w:tcPr>
            <w:tcW w:w="952" w:type="dxa"/>
            <w:tcBorders>
              <w:top w:val="single" w:sz="4" w:space="0" w:color="auto"/>
              <w:bottom w:val="nil"/>
            </w:tcBorders>
          </w:tcPr>
          <w:p w:rsidR="00000000" w:rsidRDefault="00000000">
            <w:pPr>
              <w:jc w:val="center"/>
              <w:rPr>
                <w:snapToGrid w:val="0"/>
                <w:sz w:val="22"/>
              </w:rPr>
            </w:pPr>
            <w:r>
              <w:rPr>
                <w:snapToGrid w:val="0"/>
                <w:sz w:val="22"/>
              </w:rPr>
              <w:t>1997</w:t>
            </w:r>
          </w:p>
        </w:tc>
        <w:tc>
          <w:tcPr>
            <w:tcW w:w="992" w:type="dxa"/>
            <w:tcBorders>
              <w:top w:val="single" w:sz="4" w:space="0" w:color="auto"/>
              <w:bottom w:val="nil"/>
            </w:tcBorders>
          </w:tcPr>
          <w:p w:rsidR="00000000" w:rsidRDefault="00000000">
            <w:pPr>
              <w:jc w:val="center"/>
              <w:rPr>
                <w:snapToGrid w:val="0"/>
                <w:sz w:val="22"/>
              </w:rPr>
            </w:pPr>
            <w:r>
              <w:rPr>
                <w:snapToGrid w:val="0"/>
                <w:sz w:val="22"/>
              </w:rPr>
              <w:t xml:space="preserve"> 35 353</w:t>
            </w:r>
          </w:p>
        </w:tc>
        <w:tc>
          <w:tcPr>
            <w:tcW w:w="992" w:type="dxa"/>
            <w:tcBorders>
              <w:top w:val="single" w:sz="4" w:space="0" w:color="auto"/>
              <w:bottom w:val="nil"/>
            </w:tcBorders>
          </w:tcPr>
          <w:p w:rsidR="00000000" w:rsidRDefault="00000000">
            <w:pPr>
              <w:jc w:val="center"/>
              <w:rPr>
                <w:snapToGrid w:val="0"/>
                <w:sz w:val="22"/>
              </w:rPr>
            </w:pPr>
            <w:r>
              <w:rPr>
                <w:snapToGrid w:val="0"/>
                <w:sz w:val="22"/>
              </w:rPr>
              <w:t>29 610</w:t>
            </w:r>
          </w:p>
        </w:tc>
        <w:tc>
          <w:tcPr>
            <w:tcW w:w="1174" w:type="dxa"/>
            <w:tcBorders>
              <w:top w:val="single" w:sz="4" w:space="0" w:color="auto"/>
              <w:bottom w:val="nil"/>
            </w:tcBorders>
          </w:tcPr>
          <w:p w:rsidR="00000000" w:rsidRDefault="00000000">
            <w:pPr>
              <w:jc w:val="center"/>
              <w:rPr>
                <w:snapToGrid w:val="0"/>
                <w:sz w:val="22"/>
              </w:rPr>
            </w:pPr>
            <w:r>
              <w:rPr>
                <w:snapToGrid w:val="0"/>
                <w:sz w:val="22"/>
              </w:rPr>
              <w:t>3 129</w:t>
            </w:r>
          </w:p>
        </w:tc>
        <w:tc>
          <w:tcPr>
            <w:tcW w:w="1333" w:type="dxa"/>
            <w:tcBorders>
              <w:top w:val="single" w:sz="4" w:space="0" w:color="auto"/>
              <w:bottom w:val="nil"/>
            </w:tcBorders>
          </w:tcPr>
          <w:p w:rsidR="00000000" w:rsidRDefault="00000000">
            <w:pPr>
              <w:jc w:val="center"/>
              <w:rPr>
                <w:snapToGrid w:val="0"/>
                <w:sz w:val="22"/>
              </w:rPr>
            </w:pPr>
            <w:r>
              <w:rPr>
                <w:snapToGrid w:val="0"/>
                <w:sz w:val="22"/>
              </w:rPr>
              <w:t xml:space="preserve"> 2 614</w:t>
            </w:r>
          </w:p>
        </w:tc>
      </w:tr>
      <w:tr w:rsidR="00000000">
        <w:tblPrEx>
          <w:tblCellMar>
            <w:top w:w="0" w:type="dxa"/>
            <w:bottom w:w="0" w:type="dxa"/>
          </w:tblCellMar>
        </w:tblPrEx>
        <w:trPr>
          <w:jc w:val="center"/>
        </w:trPr>
        <w:tc>
          <w:tcPr>
            <w:tcW w:w="1205" w:type="dxa"/>
            <w:tcBorders>
              <w:top w:val="nil"/>
            </w:tcBorders>
          </w:tcPr>
          <w:p w:rsidR="00000000" w:rsidRDefault="00000000">
            <w:pPr>
              <w:rPr>
                <w:snapToGrid w:val="0"/>
                <w:sz w:val="22"/>
              </w:rPr>
            </w:pPr>
            <w:r>
              <w:rPr>
                <w:snapToGrid w:val="0"/>
                <w:sz w:val="22"/>
              </w:rPr>
              <w:t>November</w:t>
            </w:r>
          </w:p>
        </w:tc>
        <w:tc>
          <w:tcPr>
            <w:tcW w:w="952" w:type="dxa"/>
            <w:tcBorders>
              <w:top w:val="nil"/>
            </w:tcBorders>
          </w:tcPr>
          <w:p w:rsidR="00000000" w:rsidRDefault="00000000">
            <w:pPr>
              <w:jc w:val="center"/>
              <w:rPr>
                <w:snapToGrid w:val="0"/>
                <w:sz w:val="22"/>
              </w:rPr>
            </w:pPr>
            <w:r>
              <w:rPr>
                <w:snapToGrid w:val="0"/>
                <w:sz w:val="22"/>
              </w:rPr>
              <w:t>1998</w:t>
            </w:r>
          </w:p>
        </w:tc>
        <w:tc>
          <w:tcPr>
            <w:tcW w:w="992" w:type="dxa"/>
            <w:tcBorders>
              <w:top w:val="nil"/>
            </w:tcBorders>
          </w:tcPr>
          <w:p w:rsidR="00000000" w:rsidRDefault="00000000">
            <w:pPr>
              <w:jc w:val="center"/>
              <w:rPr>
                <w:snapToGrid w:val="0"/>
                <w:sz w:val="22"/>
              </w:rPr>
            </w:pPr>
            <w:r>
              <w:rPr>
                <w:snapToGrid w:val="0"/>
                <w:sz w:val="22"/>
              </w:rPr>
              <w:t xml:space="preserve"> 35 246</w:t>
            </w:r>
          </w:p>
        </w:tc>
        <w:tc>
          <w:tcPr>
            <w:tcW w:w="992" w:type="dxa"/>
            <w:tcBorders>
              <w:top w:val="nil"/>
            </w:tcBorders>
          </w:tcPr>
          <w:p w:rsidR="00000000" w:rsidRDefault="00000000">
            <w:pPr>
              <w:jc w:val="center"/>
              <w:rPr>
                <w:snapToGrid w:val="0"/>
                <w:sz w:val="22"/>
              </w:rPr>
            </w:pPr>
            <w:r>
              <w:rPr>
                <w:snapToGrid w:val="0"/>
                <w:sz w:val="22"/>
              </w:rPr>
              <w:t>29 700</w:t>
            </w:r>
          </w:p>
        </w:tc>
        <w:tc>
          <w:tcPr>
            <w:tcW w:w="1174" w:type="dxa"/>
            <w:tcBorders>
              <w:top w:val="nil"/>
            </w:tcBorders>
          </w:tcPr>
          <w:p w:rsidR="00000000" w:rsidRDefault="00000000">
            <w:pPr>
              <w:jc w:val="center"/>
              <w:rPr>
                <w:snapToGrid w:val="0"/>
                <w:sz w:val="22"/>
              </w:rPr>
            </w:pPr>
            <w:r>
              <w:rPr>
                <w:snapToGrid w:val="0"/>
                <w:sz w:val="22"/>
              </w:rPr>
              <w:t>3 178</w:t>
            </w:r>
          </w:p>
        </w:tc>
        <w:tc>
          <w:tcPr>
            <w:tcW w:w="1333" w:type="dxa"/>
            <w:tcBorders>
              <w:top w:val="nil"/>
            </w:tcBorders>
          </w:tcPr>
          <w:p w:rsidR="00000000" w:rsidRDefault="00000000">
            <w:pPr>
              <w:jc w:val="center"/>
              <w:rPr>
                <w:snapToGrid w:val="0"/>
                <w:sz w:val="22"/>
              </w:rPr>
            </w:pPr>
            <w:r>
              <w:rPr>
                <w:snapToGrid w:val="0"/>
                <w:sz w:val="22"/>
              </w:rPr>
              <w:t xml:space="preserve"> 2 368</w:t>
            </w:r>
          </w:p>
        </w:tc>
      </w:tr>
      <w:tr w:rsidR="00000000">
        <w:tblPrEx>
          <w:tblCellMar>
            <w:top w:w="0" w:type="dxa"/>
            <w:bottom w:w="0" w:type="dxa"/>
          </w:tblCellMar>
        </w:tblPrEx>
        <w:trPr>
          <w:jc w:val="center"/>
        </w:trPr>
        <w:tc>
          <w:tcPr>
            <w:tcW w:w="1205" w:type="dxa"/>
            <w:tcBorders>
              <w:bottom w:val="single" w:sz="4" w:space="0" w:color="auto"/>
            </w:tcBorders>
          </w:tcPr>
          <w:p w:rsidR="00000000" w:rsidRDefault="00000000">
            <w:pPr>
              <w:rPr>
                <w:snapToGrid w:val="0"/>
                <w:sz w:val="22"/>
              </w:rPr>
            </w:pPr>
          </w:p>
        </w:tc>
        <w:tc>
          <w:tcPr>
            <w:tcW w:w="952" w:type="dxa"/>
            <w:tcBorders>
              <w:bottom w:val="single" w:sz="4" w:space="0" w:color="auto"/>
            </w:tcBorders>
          </w:tcPr>
          <w:p w:rsidR="00000000" w:rsidRDefault="00000000">
            <w:pPr>
              <w:jc w:val="center"/>
              <w:rPr>
                <w:snapToGrid w:val="0"/>
                <w:sz w:val="22"/>
              </w:rPr>
            </w:pPr>
            <w:r>
              <w:rPr>
                <w:snapToGrid w:val="0"/>
                <w:sz w:val="22"/>
              </w:rPr>
              <w:t>1999</w:t>
            </w:r>
          </w:p>
        </w:tc>
        <w:tc>
          <w:tcPr>
            <w:tcW w:w="992" w:type="dxa"/>
            <w:tcBorders>
              <w:bottom w:val="single" w:sz="4" w:space="0" w:color="auto"/>
            </w:tcBorders>
          </w:tcPr>
          <w:p w:rsidR="00000000" w:rsidRDefault="00000000">
            <w:pPr>
              <w:jc w:val="center"/>
              <w:rPr>
                <w:snapToGrid w:val="0"/>
                <w:sz w:val="22"/>
              </w:rPr>
            </w:pPr>
            <w:r>
              <w:rPr>
                <w:snapToGrid w:val="0"/>
                <w:sz w:val="22"/>
              </w:rPr>
              <w:t xml:space="preserve"> 30 542</w:t>
            </w:r>
          </w:p>
        </w:tc>
        <w:tc>
          <w:tcPr>
            <w:tcW w:w="992" w:type="dxa"/>
            <w:tcBorders>
              <w:bottom w:val="single" w:sz="4" w:space="0" w:color="auto"/>
            </w:tcBorders>
          </w:tcPr>
          <w:p w:rsidR="00000000" w:rsidRDefault="00000000">
            <w:pPr>
              <w:jc w:val="center"/>
              <w:rPr>
                <w:snapToGrid w:val="0"/>
                <w:sz w:val="22"/>
              </w:rPr>
            </w:pPr>
            <w:r>
              <w:rPr>
                <w:snapToGrid w:val="0"/>
                <w:sz w:val="22"/>
              </w:rPr>
              <w:t>25 978</w:t>
            </w:r>
          </w:p>
        </w:tc>
        <w:tc>
          <w:tcPr>
            <w:tcW w:w="1174" w:type="dxa"/>
            <w:tcBorders>
              <w:bottom w:val="single" w:sz="4" w:space="0" w:color="auto"/>
            </w:tcBorders>
          </w:tcPr>
          <w:p w:rsidR="00000000" w:rsidRDefault="00000000">
            <w:pPr>
              <w:jc w:val="center"/>
              <w:rPr>
                <w:snapToGrid w:val="0"/>
                <w:sz w:val="22"/>
              </w:rPr>
            </w:pPr>
            <w:r>
              <w:rPr>
                <w:snapToGrid w:val="0"/>
                <w:sz w:val="22"/>
              </w:rPr>
              <w:t>2 993</w:t>
            </w:r>
          </w:p>
        </w:tc>
        <w:tc>
          <w:tcPr>
            <w:tcW w:w="1333" w:type="dxa"/>
            <w:tcBorders>
              <w:bottom w:val="single" w:sz="4" w:space="0" w:color="auto"/>
            </w:tcBorders>
          </w:tcPr>
          <w:p w:rsidR="00000000" w:rsidRDefault="00000000">
            <w:pPr>
              <w:jc w:val="center"/>
              <w:rPr>
                <w:snapToGrid w:val="0"/>
                <w:sz w:val="22"/>
              </w:rPr>
            </w:pPr>
            <w:r>
              <w:rPr>
                <w:snapToGrid w:val="0"/>
                <w:sz w:val="22"/>
              </w:rPr>
              <w:t xml:space="preserve"> 1 571</w:t>
            </w:r>
          </w:p>
        </w:tc>
      </w:tr>
      <w:tr w:rsidR="00000000">
        <w:tblPrEx>
          <w:tblCellMar>
            <w:top w:w="0" w:type="dxa"/>
            <w:bottom w:w="0" w:type="dxa"/>
          </w:tblCellMar>
        </w:tblPrEx>
        <w:trPr>
          <w:jc w:val="center"/>
        </w:trPr>
        <w:tc>
          <w:tcPr>
            <w:tcW w:w="1205" w:type="dxa"/>
            <w:tcBorders>
              <w:top w:val="single" w:sz="4" w:space="0" w:color="auto"/>
              <w:bottom w:val="nil"/>
            </w:tcBorders>
          </w:tcPr>
          <w:p w:rsidR="00000000" w:rsidRDefault="00000000">
            <w:pPr>
              <w:rPr>
                <w:snapToGrid w:val="0"/>
                <w:sz w:val="22"/>
              </w:rPr>
            </w:pPr>
          </w:p>
        </w:tc>
        <w:tc>
          <w:tcPr>
            <w:tcW w:w="952" w:type="dxa"/>
            <w:tcBorders>
              <w:top w:val="single" w:sz="4" w:space="0" w:color="auto"/>
              <w:bottom w:val="nil"/>
            </w:tcBorders>
          </w:tcPr>
          <w:p w:rsidR="00000000" w:rsidRDefault="00000000">
            <w:pPr>
              <w:jc w:val="center"/>
              <w:rPr>
                <w:snapToGrid w:val="0"/>
                <w:sz w:val="22"/>
              </w:rPr>
            </w:pPr>
            <w:r>
              <w:rPr>
                <w:snapToGrid w:val="0"/>
                <w:sz w:val="22"/>
              </w:rPr>
              <w:t>1997</w:t>
            </w:r>
          </w:p>
        </w:tc>
        <w:tc>
          <w:tcPr>
            <w:tcW w:w="992" w:type="dxa"/>
            <w:tcBorders>
              <w:top w:val="single" w:sz="4" w:space="0" w:color="auto"/>
              <w:bottom w:val="nil"/>
            </w:tcBorders>
          </w:tcPr>
          <w:p w:rsidR="00000000" w:rsidRDefault="00000000">
            <w:pPr>
              <w:jc w:val="center"/>
              <w:rPr>
                <w:snapToGrid w:val="0"/>
                <w:sz w:val="22"/>
              </w:rPr>
            </w:pPr>
            <w:r>
              <w:rPr>
                <w:snapToGrid w:val="0"/>
                <w:sz w:val="22"/>
              </w:rPr>
              <w:t xml:space="preserve"> 25 974</w:t>
            </w:r>
          </w:p>
        </w:tc>
        <w:tc>
          <w:tcPr>
            <w:tcW w:w="992" w:type="dxa"/>
            <w:tcBorders>
              <w:top w:val="single" w:sz="4" w:space="0" w:color="auto"/>
              <w:bottom w:val="nil"/>
            </w:tcBorders>
          </w:tcPr>
          <w:p w:rsidR="00000000" w:rsidRDefault="00000000">
            <w:pPr>
              <w:jc w:val="center"/>
              <w:rPr>
                <w:snapToGrid w:val="0"/>
                <w:sz w:val="22"/>
              </w:rPr>
            </w:pPr>
            <w:r>
              <w:rPr>
                <w:snapToGrid w:val="0"/>
                <w:sz w:val="22"/>
              </w:rPr>
              <w:t>21 579</w:t>
            </w:r>
          </w:p>
        </w:tc>
        <w:tc>
          <w:tcPr>
            <w:tcW w:w="1174" w:type="dxa"/>
            <w:tcBorders>
              <w:top w:val="single" w:sz="4" w:space="0" w:color="auto"/>
              <w:bottom w:val="nil"/>
            </w:tcBorders>
          </w:tcPr>
          <w:p w:rsidR="00000000" w:rsidRDefault="00000000">
            <w:pPr>
              <w:jc w:val="center"/>
              <w:rPr>
                <w:snapToGrid w:val="0"/>
                <w:sz w:val="22"/>
              </w:rPr>
            </w:pPr>
            <w:r>
              <w:rPr>
                <w:snapToGrid w:val="0"/>
                <w:sz w:val="22"/>
              </w:rPr>
              <w:t>2 492</w:t>
            </w:r>
          </w:p>
        </w:tc>
        <w:tc>
          <w:tcPr>
            <w:tcW w:w="1333" w:type="dxa"/>
            <w:tcBorders>
              <w:top w:val="single" w:sz="4" w:space="0" w:color="auto"/>
              <w:bottom w:val="nil"/>
            </w:tcBorders>
          </w:tcPr>
          <w:p w:rsidR="00000000" w:rsidRDefault="00000000">
            <w:pPr>
              <w:jc w:val="center"/>
              <w:rPr>
                <w:snapToGrid w:val="0"/>
                <w:sz w:val="22"/>
              </w:rPr>
            </w:pPr>
            <w:r>
              <w:rPr>
                <w:snapToGrid w:val="0"/>
                <w:sz w:val="22"/>
              </w:rPr>
              <w:t xml:space="preserve"> 1 903</w:t>
            </w:r>
          </w:p>
        </w:tc>
      </w:tr>
      <w:tr w:rsidR="00000000">
        <w:tblPrEx>
          <w:tblCellMar>
            <w:top w:w="0" w:type="dxa"/>
            <w:bottom w:w="0" w:type="dxa"/>
          </w:tblCellMar>
        </w:tblPrEx>
        <w:trPr>
          <w:jc w:val="center"/>
        </w:trPr>
        <w:tc>
          <w:tcPr>
            <w:tcW w:w="1205" w:type="dxa"/>
            <w:tcBorders>
              <w:top w:val="nil"/>
            </w:tcBorders>
          </w:tcPr>
          <w:p w:rsidR="00000000" w:rsidRDefault="00000000">
            <w:pPr>
              <w:rPr>
                <w:snapToGrid w:val="0"/>
                <w:sz w:val="22"/>
              </w:rPr>
            </w:pPr>
            <w:r>
              <w:rPr>
                <w:snapToGrid w:val="0"/>
                <w:sz w:val="22"/>
              </w:rPr>
              <w:t>December</w:t>
            </w:r>
          </w:p>
        </w:tc>
        <w:tc>
          <w:tcPr>
            <w:tcW w:w="952" w:type="dxa"/>
            <w:tcBorders>
              <w:top w:val="nil"/>
            </w:tcBorders>
          </w:tcPr>
          <w:p w:rsidR="00000000" w:rsidRDefault="00000000">
            <w:pPr>
              <w:jc w:val="center"/>
              <w:rPr>
                <w:snapToGrid w:val="0"/>
                <w:sz w:val="22"/>
              </w:rPr>
            </w:pPr>
            <w:r>
              <w:rPr>
                <w:snapToGrid w:val="0"/>
                <w:sz w:val="22"/>
              </w:rPr>
              <w:t>1998</w:t>
            </w:r>
          </w:p>
        </w:tc>
        <w:tc>
          <w:tcPr>
            <w:tcW w:w="992" w:type="dxa"/>
            <w:tcBorders>
              <w:top w:val="nil"/>
            </w:tcBorders>
          </w:tcPr>
          <w:p w:rsidR="00000000" w:rsidRDefault="00000000">
            <w:pPr>
              <w:jc w:val="center"/>
              <w:rPr>
                <w:snapToGrid w:val="0"/>
                <w:sz w:val="22"/>
              </w:rPr>
            </w:pPr>
            <w:r>
              <w:rPr>
                <w:snapToGrid w:val="0"/>
                <w:sz w:val="22"/>
              </w:rPr>
              <w:t xml:space="preserve"> 28 934</w:t>
            </w:r>
          </w:p>
        </w:tc>
        <w:tc>
          <w:tcPr>
            <w:tcW w:w="992" w:type="dxa"/>
            <w:tcBorders>
              <w:top w:val="nil"/>
            </w:tcBorders>
          </w:tcPr>
          <w:p w:rsidR="00000000" w:rsidRDefault="00000000">
            <w:pPr>
              <w:jc w:val="center"/>
              <w:rPr>
                <w:snapToGrid w:val="0"/>
                <w:sz w:val="22"/>
              </w:rPr>
            </w:pPr>
            <w:r>
              <w:rPr>
                <w:snapToGrid w:val="0"/>
                <w:sz w:val="22"/>
              </w:rPr>
              <w:t>24 348</w:t>
            </w:r>
          </w:p>
        </w:tc>
        <w:tc>
          <w:tcPr>
            <w:tcW w:w="1174" w:type="dxa"/>
            <w:tcBorders>
              <w:top w:val="nil"/>
            </w:tcBorders>
          </w:tcPr>
          <w:p w:rsidR="00000000" w:rsidRDefault="00000000">
            <w:pPr>
              <w:jc w:val="center"/>
              <w:rPr>
                <w:snapToGrid w:val="0"/>
                <w:sz w:val="22"/>
              </w:rPr>
            </w:pPr>
            <w:r>
              <w:rPr>
                <w:snapToGrid w:val="0"/>
                <w:sz w:val="22"/>
              </w:rPr>
              <w:t>2 793</w:t>
            </w:r>
          </w:p>
        </w:tc>
        <w:tc>
          <w:tcPr>
            <w:tcW w:w="1333" w:type="dxa"/>
            <w:tcBorders>
              <w:top w:val="nil"/>
            </w:tcBorders>
          </w:tcPr>
          <w:p w:rsidR="00000000" w:rsidRDefault="00000000">
            <w:pPr>
              <w:jc w:val="center"/>
              <w:rPr>
                <w:snapToGrid w:val="0"/>
                <w:sz w:val="22"/>
              </w:rPr>
            </w:pPr>
            <w:r>
              <w:rPr>
                <w:snapToGrid w:val="0"/>
                <w:sz w:val="22"/>
              </w:rPr>
              <w:t xml:space="preserve"> 1 793</w:t>
            </w:r>
          </w:p>
        </w:tc>
      </w:tr>
      <w:tr w:rsidR="00000000">
        <w:tblPrEx>
          <w:tblCellMar>
            <w:top w:w="0" w:type="dxa"/>
            <w:bottom w:w="0" w:type="dxa"/>
          </w:tblCellMar>
        </w:tblPrEx>
        <w:trPr>
          <w:jc w:val="center"/>
        </w:trPr>
        <w:tc>
          <w:tcPr>
            <w:tcW w:w="1205" w:type="dxa"/>
          </w:tcPr>
          <w:p w:rsidR="00000000" w:rsidRDefault="00000000">
            <w:pPr>
              <w:rPr>
                <w:snapToGrid w:val="0"/>
                <w:sz w:val="22"/>
              </w:rPr>
            </w:pPr>
          </w:p>
        </w:tc>
        <w:tc>
          <w:tcPr>
            <w:tcW w:w="952" w:type="dxa"/>
          </w:tcPr>
          <w:p w:rsidR="00000000" w:rsidRDefault="00000000">
            <w:pPr>
              <w:jc w:val="center"/>
              <w:rPr>
                <w:snapToGrid w:val="0"/>
                <w:sz w:val="22"/>
              </w:rPr>
            </w:pPr>
            <w:r>
              <w:rPr>
                <w:snapToGrid w:val="0"/>
                <w:sz w:val="22"/>
              </w:rPr>
              <w:t>1999</w:t>
            </w:r>
          </w:p>
        </w:tc>
        <w:tc>
          <w:tcPr>
            <w:tcW w:w="992" w:type="dxa"/>
          </w:tcPr>
          <w:p w:rsidR="00000000" w:rsidRDefault="00000000">
            <w:pPr>
              <w:jc w:val="center"/>
              <w:rPr>
                <w:snapToGrid w:val="0"/>
                <w:sz w:val="22"/>
              </w:rPr>
            </w:pPr>
            <w:r>
              <w:rPr>
                <w:snapToGrid w:val="0"/>
                <w:sz w:val="22"/>
              </w:rPr>
              <w:t xml:space="preserve"> 27 081</w:t>
            </w:r>
          </w:p>
        </w:tc>
        <w:tc>
          <w:tcPr>
            <w:tcW w:w="992" w:type="dxa"/>
          </w:tcPr>
          <w:p w:rsidR="00000000" w:rsidRDefault="00000000">
            <w:pPr>
              <w:jc w:val="center"/>
              <w:rPr>
                <w:snapToGrid w:val="0"/>
                <w:sz w:val="22"/>
              </w:rPr>
            </w:pPr>
            <w:r>
              <w:rPr>
                <w:snapToGrid w:val="0"/>
                <w:sz w:val="22"/>
              </w:rPr>
              <w:t>22 921</w:t>
            </w:r>
          </w:p>
        </w:tc>
        <w:tc>
          <w:tcPr>
            <w:tcW w:w="1174" w:type="dxa"/>
          </w:tcPr>
          <w:p w:rsidR="00000000" w:rsidRDefault="00000000">
            <w:pPr>
              <w:jc w:val="center"/>
              <w:rPr>
                <w:snapToGrid w:val="0"/>
                <w:sz w:val="22"/>
              </w:rPr>
            </w:pPr>
            <w:r>
              <w:rPr>
                <w:snapToGrid w:val="0"/>
                <w:sz w:val="22"/>
              </w:rPr>
              <w:t>2 879</w:t>
            </w:r>
          </w:p>
        </w:tc>
        <w:tc>
          <w:tcPr>
            <w:tcW w:w="1333" w:type="dxa"/>
          </w:tcPr>
          <w:p w:rsidR="00000000" w:rsidRDefault="00000000">
            <w:pPr>
              <w:jc w:val="center"/>
              <w:rPr>
                <w:snapToGrid w:val="0"/>
                <w:sz w:val="22"/>
              </w:rPr>
            </w:pPr>
            <w:r>
              <w:rPr>
                <w:snapToGrid w:val="0"/>
                <w:sz w:val="22"/>
              </w:rPr>
              <w:t xml:space="preserve"> 1 281</w:t>
            </w:r>
          </w:p>
        </w:tc>
      </w:tr>
    </w:tbl>
    <w:p w:rsidR="00000000" w:rsidRDefault="00000000">
      <w:pPr>
        <w:rPr>
          <w:b/>
          <w:snapToGrid w:val="0"/>
          <w:color w:val="000000"/>
          <w:kern w:val="2"/>
        </w:rPr>
      </w:pPr>
    </w:p>
    <w:p w:rsidR="00000000" w:rsidRDefault="00000000">
      <w:pPr>
        <w:spacing w:line="360" w:lineRule="auto"/>
        <w:rPr>
          <w:bCs/>
          <w:snapToGrid w:val="0"/>
          <w:color w:val="000000"/>
          <w:kern w:val="2"/>
        </w:rPr>
      </w:pPr>
      <w:r>
        <w:rPr>
          <w:b/>
          <w:snapToGrid w:val="0"/>
          <w:color w:val="000000"/>
          <w:kern w:val="2"/>
        </w:rPr>
        <w:tab/>
      </w:r>
      <w:r>
        <w:rPr>
          <w:b/>
          <w:snapToGrid w:val="0"/>
          <w:color w:val="000000"/>
          <w:kern w:val="2"/>
        </w:rPr>
        <w:tab/>
        <w:t xml:space="preserve">    </w:t>
      </w:r>
      <w:r>
        <w:rPr>
          <w:bCs/>
          <w:snapToGrid w:val="0"/>
          <w:color w:val="000000"/>
          <w:kern w:val="2"/>
          <w:u w:val="single"/>
        </w:rPr>
        <w:t>Source</w:t>
      </w:r>
      <w:r>
        <w:rPr>
          <w:bCs/>
          <w:snapToGrid w:val="0"/>
          <w:color w:val="000000"/>
          <w:kern w:val="2"/>
        </w:rPr>
        <w:t>:  DATAPREV, CAT.</w:t>
      </w:r>
    </w:p>
    <w:p w:rsidR="00000000" w:rsidRDefault="00000000">
      <w:pPr>
        <w:rPr>
          <w:bCs/>
          <w:snapToGrid w:val="0"/>
          <w:color w:val="000000"/>
          <w:kern w:val="2"/>
        </w:rPr>
      </w:pPr>
      <w:r>
        <w:rPr>
          <w:bCs/>
          <w:snapToGrid w:val="0"/>
          <w:color w:val="000000"/>
          <w:kern w:val="2"/>
        </w:rPr>
        <w:tab/>
      </w:r>
      <w:r>
        <w:rPr>
          <w:bCs/>
          <w:snapToGrid w:val="0"/>
          <w:color w:val="000000"/>
          <w:kern w:val="2"/>
        </w:rPr>
        <w:tab/>
        <w:t xml:space="preserve">    Please note:  These data are incomplete and are subject to correction.</w:t>
      </w:r>
    </w:p>
    <w:p w:rsidR="00000000" w:rsidRDefault="00000000">
      <w:pPr>
        <w:pStyle w:val="Heading1"/>
        <w:rPr>
          <w:snapToGrid w:val="0"/>
          <w:kern w:val="2"/>
        </w:rPr>
      </w:pPr>
      <w:r>
        <w:rPr>
          <w:snapToGrid w:val="0"/>
          <w:kern w:val="2"/>
        </w:rPr>
        <w:t>Table 28</w:t>
      </w:r>
    </w:p>
    <w:p w:rsidR="00000000" w:rsidRDefault="00000000">
      <w:pPr>
        <w:pStyle w:val="Heading1"/>
        <w:rPr>
          <w:snapToGrid w:val="0"/>
          <w:kern w:val="2"/>
        </w:rPr>
      </w:pPr>
    </w:p>
    <w:p w:rsidR="00000000" w:rsidRDefault="00000000">
      <w:pPr>
        <w:pStyle w:val="Heading1"/>
        <w:rPr>
          <w:snapToGrid w:val="0"/>
          <w:kern w:val="2"/>
        </w:rPr>
      </w:pPr>
      <w:r>
        <w:rPr>
          <w:snapToGrid w:val="0"/>
          <w:kern w:val="2"/>
        </w:rPr>
        <w:t>Number of workplace accidents recorded by cause and by region or state,</w:t>
      </w:r>
    </w:p>
    <w:p w:rsidR="00000000" w:rsidRDefault="00000000">
      <w:pPr>
        <w:pStyle w:val="Heading1"/>
        <w:rPr>
          <w:snapToGrid w:val="0"/>
          <w:kern w:val="2"/>
        </w:rPr>
      </w:pPr>
      <w:r>
        <w:rPr>
          <w:snapToGrid w:val="0"/>
          <w:kern w:val="2"/>
        </w:rPr>
        <w:t>1997</w:t>
      </w:r>
      <w:r>
        <w:rPr>
          <w:snapToGrid w:val="0"/>
          <w:kern w:val="2"/>
        </w:rPr>
        <w:noBreakHyphen/>
        <w:t>1999</w:t>
      </w:r>
    </w:p>
    <w:p w:rsidR="00000000" w:rsidRDefault="00000000"/>
    <w:tbl>
      <w:tblPr>
        <w:tblW w:w="0" w:type="auto"/>
        <w:jc w:val="center"/>
        <w:tblInd w:w="53" w:type="dxa"/>
        <w:tblLayout w:type="fixed"/>
        <w:tblCellMar>
          <w:left w:w="30" w:type="dxa"/>
          <w:right w:w="30" w:type="dxa"/>
        </w:tblCellMar>
        <w:tblLook w:val="0000" w:firstRow="0" w:lastRow="0" w:firstColumn="0" w:lastColumn="0" w:noHBand="0" w:noVBand="0"/>
      </w:tblPr>
      <w:tblGrid>
        <w:gridCol w:w="2267"/>
        <w:gridCol w:w="993"/>
        <w:gridCol w:w="1139"/>
        <w:gridCol w:w="993"/>
        <w:gridCol w:w="1271"/>
        <w:gridCol w:w="1610"/>
      </w:tblGrid>
      <w:tr w:rsidR="00000000">
        <w:tblPrEx>
          <w:tblCellMar>
            <w:top w:w="0" w:type="dxa"/>
            <w:bottom w:w="0" w:type="dxa"/>
          </w:tblCellMar>
        </w:tblPrEx>
        <w:trPr>
          <w:cantSplit/>
          <w:trHeight w:val="134"/>
          <w:tblHeader/>
          <w:jc w:val="center"/>
        </w:trPr>
        <w:tc>
          <w:tcPr>
            <w:tcW w:w="2267" w:type="dxa"/>
            <w:vMerge w:val="restart"/>
            <w:tcBorders>
              <w:top w:val="single" w:sz="4" w:space="0" w:color="auto"/>
              <w:left w:val="single" w:sz="4" w:space="0" w:color="auto"/>
              <w:right w:val="single" w:sz="4" w:space="0" w:color="auto"/>
            </w:tcBorders>
          </w:tcPr>
          <w:p w:rsidR="00000000" w:rsidRDefault="00000000">
            <w:pPr>
              <w:rPr>
                <w:snapToGrid w:val="0"/>
              </w:rPr>
            </w:pPr>
          </w:p>
        </w:tc>
        <w:tc>
          <w:tcPr>
            <w:tcW w:w="993" w:type="dxa"/>
            <w:vMerge w:val="restart"/>
            <w:tcBorders>
              <w:top w:val="single" w:sz="4" w:space="0" w:color="auto"/>
              <w:left w:val="single" w:sz="4" w:space="0" w:color="auto"/>
              <w:right w:val="single" w:sz="4" w:space="0" w:color="auto"/>
            </w:tcBorders>
          </w:tcPr>
          <w:p w:rsidR="00000000" w:rsidRDefault="00000000">
            <w:pPr>
              <w:ind w:right="85"/>
              <w:jc w:val="center"/>
              <w:rPr>
                <w:snapToGrid w:val="0"/>
              </w:rPr>
            </w:pPr>
            <w:r>
              <w:rPr>
                <w:snapToGrid w:val="0"/>
              </w:rPr>
              <w:t>Years</w:t>
            </w:r>
          </w:p>
        </w:tc>
        <w:tc>
          <w:tcPr>
            <w:tcW w:w="1139" w:type="dxa"/>
            <w:vMerge w:val="restart"/>
            <w:tcBorders>
              <w:top w:val="single" w:sz="4" w:space="0" w:color="auto"/>
              <w:left w:val="single" w:sz="4" w:space="0" w:color="auto"/>
              <w:right w:val="single" w:sz="4" w:space="0" w:color="auto"/>
            </w:tcBorders>
          </w:tcPr>
          <w:p w:rsidR="00000000" w:rsidRDefault="00000000">
            <w:pPr>
              <w:ind w:right="113"/>
              <w:jc w:val="center"/>
              <w:rPr>
                <w:snapToGrid w:val="0"/>
              </w:rPr>
            </w:pPr>
            <w:r>
              <w:rPr>
                <w:snapToGrid w:val="0"/>
              </w:rPr>
              <w:t>Total</w:t>
            </w:r>
          </w:p>
        </w:tc>
        <w:tc>
          <w:tcPr>
            <w:tcW w:w="3874" w:type="dxa"/>
            <w:gridSpan w:val="3"/>
            <w:tcBorders>
              <w:top w:val="single" w:sz="4" w:space="0" w:color="auto"/>
              <w:left w:val="single" w:sz="4" w:space="0" w:color="auto"/>
              <w:bottom w:val="single" w:sz="4" w:space="0" w:color="auto"/>
              <w:right w:val="single" w:sz="4" w:space="0" w:color="auto"/>
            </w:tcBorders>
          </w:tcPr>
          <w:p w:rsidR="00000000" w:rsidRDefault="00000000">
            <w:pPr>
              <w:ind w:right="113"/>
              <w:jc w:val="center"/>
              <w:rPr>
                <w:b/>
                <w:snapToGrid w:val="0"/>
              </w:rPr>
            </w:pPr>
            <w:r>
              <w:rPr>
                <w:snapToGrid w:val="0"/>
              </w:rPr>
              <w:t>Cause</w:t>
            </w:r>
          </w:p>
        </w:tc>
      </w:tr>
      <w:tr w:rsidR="00000000">
        <w:tblPrEx>
          <w:tblCellMar>
            <w:top w:w="0" w:type="dxa"/>
            <w:bottom w:w="0" w:type="dxa"/>
          </w:tblCellMar>
        </w:tblPrEx>
        <w:trPr>
          <w:cantSplit/>
          <w:trHeight w:val="134"/>
          <w:tblHeader/>
          <w:jc w:val="center"/>
        </w:trPr>
        <w:tc>
          <w:tcPr>
            <w:tcW w:w="2267" w:type="dxa"/>
            <w:vMerge/>
            <w:tcBorders>
              <w:left w:val="single" w:sz="4" w:space="0" w:color="auto"/>
              <w:right w:val="single" w:sz="4" w:space="0" w:color="auto"/>
            </w:tcBorders>
          </w:tcPr>
          <w:p w:rsidR="00000000" w:rsidRDefault="00000000">
            <w:pPr>
              <w:rPr>
                <w:snapToGrid w:val="0"/>
              </w:rPr>
            </w:pPr>
          </w:p>
        </w:tc>
        <w:tc>
          <w:tcPr>
            <w:tcW w:w="993" w:type="dxa"/>
            <w:vMerge/>
            <w:tcBorders>
              <w:left w:val="single" w:sz="4" w:space="0" w:color="auto"/>
              <w:bottom w:val="single" w:sz="4" w:space="0" w:color="auto"/>
              <w:right w:val="single" w:sz="4" w:space="0" w:color="auto"/>
            </w:tcBorders>
          </w:tcPr>
          <w:p w:rsidR="00000000" w:rsidRDefault="00000000">
            <w:pPr>
              <w:ind w:right="284"/>
              <w:jc w:val="center"/>
              <w:rPr>
                <w:snapToGrid w:val="0"/>
              </w:rPr>
            </w:pPr>
          </w:p>
        </w:tc>
        <w:tc>
          <w:tcPr>
            <w:tcW w:w="1139" w:type="dxa"/>
            <w:vMerge/>
            <w:tcBorders>
              <w:left w:val="single" w:sz="4" w:space="0" w:color="auto"/>
              <w:bottom w:val="single" w:sz="4" w:space="0" w:color="auto"/>
              <w:right w:val="single" w:sz="4" w:space="0" w:color="auto"/>
            </w:tcBorders>
          </w:tcPr>
          <w:p w:rsidR="00000000" w:rsidRDefault="00000000">
            <w:pPr>
              <w:ind w:right="113"/>
              <w:jc w:val="center"/>
              <w:rPr>
                <w:snapToGrid w:val="0"/>
              </w:rPr>
            </w:pPr>
          </w:p>
        </w:tc>
        <w:tc>
          <w:tcPr>
            <w:tcW w:w="993" w:type="dxa"/>
            <w:tcBorders>
              <w:top w:val="single" w:sz="4" w:space="0" w:color="auto"/>
              <w:left w:val="single" w:sz="4" w:space="0" w:color="auto"/>
              <w:bottom w:val="single" w:sz="4" w:space="0" w:color="auto"/>
              <w:right w:val="single" w:sz="4" w:space="0" w:color="auto"/>
            </w:tcBorders>
          </w:tcPr>
          <w:p w:rsidR="00000000" w:rsidRDefault="00000000">
            <w:pPr>
              <w:ind w:right="113"/>
              <w:jc w:val="center"/>
              <w:rPr>
                <w:snapToGrid w:val="0"/>
              </w:rPr>
            </w:pPr>
            <w:r>
              <w:rPr>
                <w:snapToGrid w:val="0"/>
              </w:rPr>
              <w:t>Typical</w:t>
            </w:r>
          </w:p>
        </w:tc>
        <w:tc>
          <w:tcPr>
            <w:tcW w:w="1271"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On the way to work</w:t>
            </w:r>
          </w:p>
        </w:tc>
        <w:tc>
          <w:tcPr>
            <w:tcW w:w="1610"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Occupational diseases</w:t>
            </w:r>
          </w:p>
        </w:tc>
      </w:tr>
      <w:tr w:rsidR="00000000">
        <w:tblPrEx>
          <w:tblCellMar>
            <w:top w:w="0" w:type="dxa"/>
            <w:bottom w:w="0" w:type="dxa"/>
          </w:tblCellMar>
        </w:tblPrEx>
        <w:trPr>
          <w:cantSplit/>
          <w:trHeight w:val="134"/>
          <w:jc w:val="center"/>
        </w:trPr>
        <w:tc>
          <w:tcPr>
            <w:tcW w:w="2267" w:type="dxa"/>
            <w:vMerge w:val="restart"/>
            <w:tcBorders>
              <w:top w:val="single" w:sz="4" w:space="0" w:color="auto"/>
              <w:left w:val="single" w:sz="4" w:space="0" w:color="auto"/>
              <w:right w:val="single" w:sz="4" w:space="0" w:color="auto"/>
            </w:tcBorders>
            <w:vAlign w:val="center"/>
          </w:tcPr>
          <w:p w:rsidR="00000000" w:rsidRDefault="00000000">
            <w:pPr>
              <w:rPr>
                <w:b/>
                <w:snapToGrid w:val="0"/>
              </w:rPr>
            </w:pPr>
            <w:r>
              <w:rPr>
                <w:b/>
                <w:snapToGrid w:val="0"/>
              </w:rPr>
              <w:t>Brazil</w:t>
            </w:r>
          </w:p>
        </w:tc>
        <w:tc>
          <w:tcPr>
            <w:tcW w:w="993" w:type="dxa"/>
            <w:tcBorders>
              <w:top w:val="single" w:sz="4" w:space="0" w:color="auto"/>
              <w:left w:val="single" w:sz="4" w:space="0" w:color="auto"/>
              <w:right w:val="single" w:sz="4" w:space="0" w:color="auto"/>
            </w:tcBorders>
          </w:tcPr>
          <w:p w:rsidR="00000000" w:rsidRDefault="00000000">
            <w:pPr>
              <w:ind w:right="284"/>
              <w:jc w:val="right"/>
              <w:rPr>
                <w:b/>
                <w:snapToGrid w:val="0"/>
              </w:rPr>
            </w:pPr>
            <w:r>
              <w:rPr>
                <w:b/>
                <w:snapToGrid w:val="0"/>
              </w:rPr>
              <w:t>1997</w:t>
            </w:r>
          </w:p>
        </w:tc>
        <w:tc>
          <w:tcPr>
            <w:tcW w:w="1139" w:type="dxa"/>
            <w:tcBorders>
              <w:top w:val="single" w:sz="4" w:space="0" w:color="auto"/>
              <w:left w:val="single" w:sz="4" w:space="0" w:color="auto"/>
              <w:right w:val="single" w:sz="4" w:space="0" w:color="auto"/>
            </w:tcBorders>
          </w:tcPr>
          <w:p w:rsidR="00000000" w:rsidRDefault="00000000">
            <w:pPr>
              <w:ind w:right="113"/>
              <w:jc w:val="right"/>
              <w:rPr>
                <w:b/>
                <w:snapToGrid w:val="0"/>
              </w:rPr>
            </w:pPr>
            <w:r>
              <w:rPr>
                <w:b/>
                <w:snapToGrid w:val="0"/>
              </w:rPr>
              <w:t>421 343</w:t>
            </w:r>
          </w:p>
        </w:tc>
        <w:tc>
          <w:tcPr>
            <w:tcW w:w="993" w:type="dxa"/>
            <w:tcBorders>
              <w:top w:val="single" w:sz="4" w:space="0" w:color="auto"/>
              <w:left w:val="single" w:sz="4" w:space="0" w:color="auto"/>
              <w:right w:val="single" w:sz="4" w:space="0" w:color="auto"/>
            </w:tcBorders>
          </w:tcPr>
          <w:p w:rsidR="00000000" w:rsidRDefault="00000000">
            <w:pPr>
              <w:ind w:right="113"/>
              <w:jc w:val="right"/>
              <w:rPr>
                <w:b/>
                <w:snapToGrid w:val="0"/>
              </w:rPr>
            </w:pPr>
            <w:r>
              <w:rPr>
                <w:b/>
                <w:snapToGrid w:val="0"/>
              </w:rPr>
              <w:t>347 482</w:t>
            </w:r>
          </w:p>
        </w:tc>
        <w:tc>
          <w:tcPr>
            <w:tcW w:w="1271" w:type="dxa"/>
            <w:tcBorders>
              <w:top w:val="single" w:sz="4" w:space="0" w:color="auto"/>
              <w:left w:val="single" w:sz="4" w:space="0" w:color="auto"/>
              <w:right w:val="single" w:sz="4" w:space="0" w:color="auto"/>
            </w:tcBorders>
          </w:tcPr>
          <w:p w:rsidR="00000000" w:rsidRDefault="00000000">
            <w:pPr>
              <w:ind w:right="227"/>
              <w:jc w:val="right"/>
              <w:rPr>
                <w:b/>
                <w:snapToGrid w:val="0"/>
              </w:rPr>
            </w:pPr>
            <w:r>
              <w:rPr>
                <w:b/>
                <w:snapToGrid w:val="0"/>
              </w:rPr>
              <w:t>37 213</w:t>
            </w:r>
          </w:p>
        </w:tc>
        <w:tc>
          <w:tcPr>
            <w:tcW w:w="1610" w:type="dxa"/>
            <w:tcBorders>
              <w:top w:val="single" w:sz="4" w:space="0" w:color="auto"/>
              <w:left w:val="single" w:sz="4" w:space="0" w:color="auto"/>
              <w:right w:val="single" w:sz="4" w:space="0" w:color="auto"/>
            </w:tcBorders>
          </w:tcPr>
          <w:p w:rsidR="00000000" w:rsidRDefault="00000000">
            <w:pPr>
              <w:ind w:right="428"/>
              <w:jc w:val="right"/>
              <w:rPr>
                <w:b/>
                <w:snapToGrid w:val="0"/>
              </w:rPr>
            </w:pPr>
            <w:r>
              <w:rPr>
                <w:b/>
                <w:snapToGrid w:val="0"/>
              </w:rPr>
              <w:t>36 648</w:t>
            </w:r>
          </w:p>
        </w:tc>
      </w:tr>
      <w:tr w:rsidR="00000000">
        <w:tblPrEx>
          <w:tblCellMar>
            <w:top w:w="0" w:type="dxa"/>
            <w:bottom w:w="0" w:type="dxa"/>
          </w:tblCellMar>
        </w:tblPrEx>
        <w:trPr>
          <w:cantSplit/>
          <w:trHeight w:val="192"/>
          <w:jc w:val="center"/>
        </w:trPr>
        <w:tc>
          <w:tcPr>
            <w:tcW w:w="2267" w:type="dxa"/>
            <w:vMerge/>
            <w:tcBorders>
              <w:left w:val="single" w:sz="4" w:space="0" w:color="auto"/>
              <w:right w:val="single" w:sz="4" w:space="0" w:color="auto"/>
            </w:tcBorders>
            <w:vAlign w:val="center"/>
          </w:tcPr>
          <w:p w:rsidR="00000000" w:rsidRDefault="00000000">
            <w:pPr>
              <w:rPr>
                <w:b/>
                <w:snapToGrid w:val="0"/>
              </w:rPr>
            </w:pPr>
          </w:p>
        </w:tc>
        <w:tc>
          <w:tcPr>
            <w:tcW w:w="993" w:type="dxa"/>
            <w:tcBorders>
              <w:left w:val="single" w:sz="4" w:space="0" w:color="auto"/>
              <w:right w:val="single" w:sz="4" w:space="0" w:color="auto"/>
            </w:tcBorders>
          </w:tcPr>
          <w:p w:rsidR="00000000" w:rsidRDefault="00000000">
            <w:pPr>
              <w:ind w:right="284"/>
              <w:jc w:val="right"/>
              <w:rPr>
                <w:b/>
                <w:snapToGrid w:val="0"/>
              </w:rPr>
            </w:pPr>
            <w:r>
              <w:rPr>
                <w:b/>
                <w:snapToGrid w:val="0"/>
              </w:rPr>
              <w:t>1998</w:t>
            </w:r>
          </w:p>
        </w:tc>
        <w:tc>
          <w:tcPr>
            <w:tcW w:w="1139" w:type="dxa"/>
            <w:tcBorders>
              <w:left w:val="single" w:sz="4" w:space="0" w:color="auto"/>
              <w:right w:val="single" w:sz="4" w:space="0" w:color="auto"/>
            </w:tcBorders>
          </w:tcPr>
          <w:p w:rsidR="00000000" w:rsidRDefault="00000000">
            <w:pPr>
              <w:ind w:right="113"/>
              <w:jc w:val="right"/>
              <w:rPr>
                <w:b/>
                <w:snapToGrid w:val="0"/>
              </w:rPr>
            </w:pPr>
            <w:r>
              <w:rPr>
                <w:b/>
                <w:snapToGrid w:val="0"/>
              </w:rPr>
              <w:t>414 341</w:t>
            </w:r>
          </w:p>
        </w:tc>
        <w:tc>
          <w:tcPr>
            <w:tcW w:w="993" w:type="dxa"/>
            <w:tcBorders>
              <w:left w:val="single" w:sz="4" w:space="0" w:color="auto"/>
              <w:right w:val="single" w:sz="4" w:space="0" w:color="auto"/>
            </w:tcBorders>
          </w:tcPr>
          <w:p w:rsidR="00000000" w:rsidRDefault="00000000">
            <w:pPr>
              <w:ind w:right="113"/>
              <w:jc w:val="right"/>
              <w:rPr>
                <w:b/>
                <w:snapToGrid w:val="0"/>
              </w:rPr>
            </w:pPr>
            <w:r>
              <w:rPr>
                <w:b/>
                <w:snapToGrid w:val="0"/>
              </w:rPr>
              <w:t>347 738</w:t>
            </w:r>
          </w:p>
        </w:tc>
        <w:tc>
          <w:tcPr>
            <w:tcW w:w="1271" w:type="dxa"/>
            <w:tcBorders>
              <w:left w:val="single" w:sz="4" w:space="0" w:color="auto"/>
              <w:right w:val="single" w:sz="4" w:space="0" w:color="auto"/>
            </w:tcBorders>
          </w:tcPr>
          <w:p w:rsidR="00000000" w:rsidRDefault="00000000">
            <w:pPr>
              <w:ind w:right="227"/>
              <w:jc w:val="right"/>
              <w:rPr>
                <w:b/>
                <w:snapToGrid w:val="0"/>
              </w:rPr>
            </w:pPr>
            <w:r>
              <w:rPr>
                <w:b/>
                <w:snapToGrid w:val="0"/>
              </w:rPr>
              <w:t>36 114</w:t>
            </w:r>
          </w:p>
        </w:tc>
        <w:tc>
          <w:tcPr>
            <w:tcW w:w="1610" w:type="dxa"/>
            <w:tcBorders>
              <w:left w:val="single" w:sz="4" w:space="0" w:color="auto"/>
              <w:right w:val="single" w:sz="4" w:space="0" w:color="auto"/>
            </w:tcBorders>
          </w:tcPr>
          <w:p w:rsidR="00000000" w:rsidRDefault="00000000">
            <w:pPr>
              <w:ind w:right="428"/>
              <w:jc w:val="right"/>
              <w:rPr>
                <w:b/>
                <w:snapToGrid w:val="0"/>
              </w:rPr>
            </w:pPr>
            <w:r>
              <w:rPr>
                <w:b/>
                <w:snapToGrid w:val="0"/>
              </w:rPr>
              <w:t>30 489</w:t>
            </w:r>
          </w:p>
        </w:tc>
      </w:tr>
      <w:tr w:rsidR="00000000">
        <w:tblPrEx>
          <w:tblCellMar>
            <w:top w:w="0" w:type="dxa"/>
            <w:bottom w:w="0" w:type="dxa"/>
          </w:tblCellMar>
        </w:tblPrEx>
        <w:trPr>
          <w:cantSplit/>
          <w:trHeight w:val="192"/>
          <w:jc w:val="center"/>
        </w:trPr>
        <w:tc>
          <w:tcPr>
            <w:tcW w:w="2267" w:type="dxa"/>
            <w:vMerge/>
            <w:tcBorders>
              <w:left w:val="single" w:sz="4" w:space="0" w:color="auto"/>
              <w:right w:val="single" w:sz="4" w:space="0" w:color="auto"/>
            </w:tcBorders>
            <w:vAlign w:val="center"/>
          </w:tcPr>
          <w:p w:rsidR="00000000" w:rsidRDefault="00000000">
            <w:pPr>
              <w:rPr>
                <w:b/>
                <w:snapToGrid w:val="0"/>
              </w:rPr>
            </w:pPr>
          </w:p>
        </w:tc>
        <w:tc>
          <w:tcPr>
            <w:tcW w:w="993" w:type="dxa"/>
            <w:tcBorders>
              <w:left w:val="single" w:sz="4" w:space="0" w:color="auto"/>
              <w:bottom w:val="single" w:sz="4" w:space="0" w:color="auto"/>
              <w:right w:val="single" w:sz="4" w:space="0" w:color="auto"/>
            </w:tcBorders>
          </w:tcPr>
          <w:p w:rsidR="00000000" w:rsidRDefault="00000000">
            <w:pPr>
              <w:ind w:right="284"/>
              <w:jc w:val="right"/>
              <w:rPr>
                <w:b/>
                <w:snapToGrid w:val="0"/>
              </w:rPr>
            </w:pPr>
            <w:r>
              <w:rPr>
                <w:b/>
                <w:snapToGrid w:val="0"/>
              </w:rPr>
              <w:t>1999</w:t>
            </w:r>
          </w:p>
        </w:tc>
        <w:tc>
          <w:tcPr>
            <w:tcW w:w="1139" w:type="dxa"/>
            <w:tcBorders>
              <w:left w:val="single" w:sz="4" w:space="0" w:color="auto"/>
              <w:bottom w:val="single" w:sz="4" w:space="0" w:color="auto"/>
              <w:right w:val="single" w:sz="4" w:space="0" w:color="auto"/>
            </w:tcBorders>
          </w:tcPr>
          <w:p w:rsidR="00000000" w:rsidRDefault="00000000">
            <w:pPr>
              <w:ind w:right="113"/>
              <w:jc w:val="right"/>
              <w:rPr>
                <w:b/>
                <w:snapToGrid w:val="0"/>
              </w:rPr>
            </w:pPr>
            <w:r>
              <w:rPr>
                <w:b/>
                <w:snapToGrid w:val="0"/>
              </w:rPr>
              <w:t>378 365</w:t>
            </w:r>
          </w:p>
        </w:tc>
        <w:tc>
          <w:tcPr>
            <w:tcW w:w="993" w:type="dxa"/>
            <w:tcBorders>
              <w:left w:val="single" w:sz="4" w:space="0" w:color="auto"/>
              <w:bottom w:val="single" w:sz="4" w:space="0" w:color="auto"/>
              <w:right w:val="single" w:sz="4" w:space="0" w:color="auto"/>
            </w:tcBorders>
          </w:tcPr>
          <w:p w:rsidR="00000000" w:rsidRDefault="00000000">
            <w:pPr>
              <w:ind w:right="113"/>
              <w:jc w:val="right"/>
              <w:rPr>
                <w:b/>
                <w:snapToGrid w:val="0"/>
              </w:rPr>
            </w:pPr>
            <w:r>
              <w:rPr>
                <w:b/>
                <w:snapToGrid w:val="0"/>
              </w:rPr>
              <w:t>319 617</w:t>
            </w:r>
          </w:p>
        </w:tc>
        <w:tc>
          <w:tcPr>
            <w:tcW w:w="1271" w:type="dxa"/>
            <w:tcBorders>
              <w:left w:val="single" w:sz="4" w:space="0" w:color="auto"/>
              <w:bottom w:val="single" w:sz="4" w:space="0" w:color="auto"/>
              <w:right w:val="single" w:sz="4" w:space="0" w:color="auto"/>
            </w:tcBorders>
          </w:tcPr>
          <w:p w:rsidR="00000000" w:rsidRDefault="00000000">
            <w:pPr>
              <w:ind w:right="227"/>
              <w:jc w:val="right"/>
              <w:rPr>
                <w:b/>
                <w:snapToGrid w:val="0"/>
              </w:rPr>
            </w:pPr>
            <w:r>
              <w:rPr>
                <w:b/>
                <w:snapToGrid w:val="0"/>
              </w:rPr>
              <w:t>36 716</w:t>
            </w:r>
          </w:p>
        </w:tc>
        <w:tc>
          <w:tcPr>
            <w:tcW w:w="1610" w:type="dxa"/>
            <w:tcBorders>
              <w:left w:val="single" w:sz="4" w:space="0" w:color="auto"/>
              <w:bottom w:val="single" w:sz="4" w:space="0" w:color="auto"/>
              <w:right w:val="single" w:sz="4" w:space="0" w:color="auto"/>
            </w:tcBorders>
          </w:tcPr>
          <w:p w:rsidR="00000000" w:rsidRDefault="00000000">
            <w:pPr>
              <w:ind w:right="428"/>
              <w:jc w:val="right"/>
              <w:rPr>
                <w:b/>
                <w:snapToGrid w:val="0"/>
              </w:rPr>
            </w:pPr>
            <w:r>
              <w:rPr>
                <w:b/>
                <w:snapToGrid w:val="0"/>
              </w:rPr>
              <w:t>22 032</w:t>
            </w:r>
          </w:p>
        </w:tc>
      </w:tr>
      <w:tr w:rsidR="00000000">
        <w:tblPrEx>
          <w:tblCellMar>
            <w:top w:w="0" w:type="dxa"/>
            <w:bottom w:w="0" w:type="dxa"/>
          </w:tblCellMar>
        </w:tblPrEx>
        <w:trPr>
          <w:cantSplit/>
          <w:trHeight w:val="192"/>
          <w:jc w:val="center"/>
        </w:trPr>
        <w:tc>
          <w:tcPr>
            <w:tcW w:w="2267" w:type="dxa"/>
            <w:vMerge w:val="restart"/>
            <w:tcBorders>
              <w:top w:val="single" w:sz="4" w:space="0" w:color="auto"/>
              <w:left w:val="single" w:sz="4" w:space="0" w:color="auto"/>
              <w:right w:val="single" w:sz="4" w:space="0" w:color="auto"/>
            </w:tcBorders>
            <w:vAlign w:val="center"/>
          </w:tcPr>
          <w:p w:rsidR="00000000" w:rsidRDefault="00000000">
            <w:pPr>
              <w:rPr>
                <w:b/>
                <w:snapToGrid w:val="0"/>
              </w:rPr>
            </w:pPr>
            <w:r>
              <w:rPr>
                <w:b/>
                <w:snapToGrid w:val="0"/>
              </w:rPr>
              <w:t>Northern Region</w:t>
            </w:r>
          </w:p>
        </w:tc>
        <w:tc>
          <w:tcPr>
            <w:tcW w:w="993" w:type="dxa"/>
            <w:tcBorders>
              <w:top w:val="single" w:sz="4" w:space="0" w:color="auto"/>
              <w:left w:val="single" w:sz="4" w:space="0" w:color="auto"/>
              <w:right w:val="single" w:sz="4" w:space="0" w:color="auto"/>
            </w:tcBorders>
          </w:tcPr>
          <w:p w:rsidR="00000000" w:rsidRDefault="00000000">
            <w:pPr>
              <w:ind w:right="284"/>
              <w:jc w:val="right"/>
              <w:rPr>
                <w:b/>
                <w:snapToGrid w:val="0"/>
              </w:rPr>
            </w:pPr>
            <w:r>
              <w:rPr>
                <w:b/>
                <w:snapToGrid w:val="0"/>
              </w:rPr>
              <w:t>1997</w:t>
            </w:r>
          </w:p>
        </w:tc>
        <w:tc>
          <w:tcPr>
            <w:tcW w:w="1139" w:type="dxa"/>
            <w:tcBorders>
              <w:top w:val="single" w:sz="4" w:space="0" w:color="auto"/>
              <w:left w:val="single" w:sz="4" w:space="0" w:color="auto"/>
              <w:right w:val="single" w:sz="4" w:space="0" w:color="auto"/>
            </w:tcBorders>
          </w:tcPr>
          <w:p w:rsidR="00000000" w:rsidRDefault="00000000">
            <w:pPr>
              <w:ind w:right="113"/>
              <w:jc w:val="right"/>
              <w:rPr>
                <w:b/>
                <w:snapToGrid w:val="0"/>
              </w:rPr>
            </w:pPr>
            <w:r>
              <w:rPr>
                <w:b/>
                <w:snapToGrid w:val="0"/>
              </w:rPr>
              <w:t xml:space="preserve">  7 334</w:t>
            </w:r>
          </w:p>
        </w:tc>
        <w:tc>
          <w:tcPr>
            <w:tcW w:w="993" w:type="dxa"/>
            <w:tcBorders>
              <w:top w:val="single" w:sz="4" w:space="0" w:color="auto"/>
              <w:left w:val="single" w:sz="4" w:space="0" w:color="auto"/>
              <w:right w:val="single" w:sz="4" w:space="0" w:color="auto"/>
            </w:tcBorders>
          </w:tcPr>
          <w:p w:rsidR="00000000" w:rsidRDefault="00000000">
            <w:pPr>
              <w:ind w:right="113"/>
              <w:jc w:val="right"/>
              <w:rPr>
                <w:b/>
                <w:snapToGrid w:val="0"/>
              </w:rPr>
            </w:pPr>
            <w:r>
              <w:rPr>
                <w:b/>
                <w:snapToGrid w:val="0"/>
              </w:rPr>
              <w:t xml:space="preserve">  6 104</w:t>
            </w:r>
          </w:p>
        </w:tc>
        <w:tc>
          <w:tcPr>
            <w:tcW w:w="1271" w:type="dxa"/>
            <w:tcBorders>
              <w:top w:val="single" w:sz="4" w:space="0" w:color="auto"/>
              <w:left w:val="single" w:sz="4" w:space="0" w:color="auto"/>
              <w:right w:val="single" w:sz="4" w:space="0" w:color="auto"/>
            </w:tcBorders>
          </w:tcPr>
          <w:p w:rsidR="00000000" w:rsidRDefault="00000000">
            <w:pPr>
              <w:ind w:right="227"/>
              <w:jc w:val="right"/>
              <w:rPr>
                <w:b/>
                <w:snapToGrid w:val="0"/>
              </w:rPr>
            </w:pPr>
            <w:r>
              <w:rPr>
                <w:snapToGrid w:val="0"/>
              </w:rPr>
              <w:t xml:space="preserve">   </w:t>
            </w:r>
            <w:r>
              <w:rPr>
                <w:b/>
                <w:snapToGrid w:val="0"/>
              </w:rPr>
              <w:t>799</w:t>
            </w:r>
          </w:p>
        </w:tc>
        <w:tc>
          <w:tcPr>
            <w:tcW w:w="1610" w:type="dxa"/>
            <w:tcBorders>
              <w:top w:val="single" w:sz="4" w:space="0" w:color="auto"/>
              <w:left w:val="single" w:sz="4" w:space="0" w:color="auto"/>
              <w:right w:val="single" w:sz="4" w:space="0" w:color="auto"/>
            </w:tcBorders>
          </w:tcPr>
          <w:p w:rsidR="00000000" w:rsidRDefault="00000000">
            <w:pPr>
              <w:ind w:right="428"/>
              <w:jc w:val="right"/>
              <w:rPr>
                <w:b/>
                <w:snapToGrid w:val="0"/>
              </w:rPr>
            </w:pPr>
            <w:r>
              <w:rPr>
                <w:b/>
                <w:snapToGrid w:val="0"/>
              </w:rPr>
              <w:t xml:space="preserve">    431</w:t>
            </w:r>
          </w:p>
        </w:tc>
      </w:tr>
      <w:tr w:rsidR="00000000">
        <w:tblPrEx>
          <w:tblCellMar>
            <w:top w:w="0" w:type="dxa"/>
            <w:bottom w:w="0" w:type="dxa"/>
          </w:tblCellMar>
        </w:tblPrEx>
        <w:trPr>
          <w:cantSplit/>
          <w:trHeight w:val="192"/>
          <w:jc w:val="center"/>
        </w:trPr>
        <w:tc>
          <w:tcPr>
            <w:tcW w:w="2267" w:type="dxa"/>
            <w:vMerge/>
            <w:tcBorders>
              <w:left w:val="single" w:sz="4" w:space="0" w:color="auto"/>
              <w:right w:val="single" w:sz="4" w:space="0" w:color="auto"/>
            </w:tcBorders>
            <w:vAlign w:val="center"/>
          </w:tcPr>
          <w:p w:rsidR="00000000" w:rsidRDefault="00000000">
            <w:pPr>
              <w:rPr>
                <w:b/>
                <w:snapToGrid w:val="0"/>
              </w:rPr>
            </w:pPr>
          </w:p>
        </w:tc>
        <w:tc>
          <w:tcPr>
            <w:tcW w:w="993" w:type="dxa"/>
            <w:tcBorders>
              <w:left w:val="single" w:sz="4" w:space="0" w:color="auto"/>
              <w:right w:val="single" w:sz="4" w:space="0" w:color="auto"/>
            </w:tcBorders>
          </w:tcPr>
          <w:p w:rsidR="00000000" w:rsidRDefault="00000000">
            <w:pPr>
              <w:ind w:right="284"/>
              <w:jc w:val="right"/>
              <w:rPr>
                <w:b/>
                <w:snapToGrid w:val="0"/>
              </w:rPr>
            </w:pPr>
            <w:r>
              <w:rPr>
                <w:b/>
                <w:snapToGrid w:val="0"/>
              </w:rPr>
              <w:t>1998</w:t>
            </w:r>
          </w:p>
        </w:tc>
        <w:tc>
          <w:tcPr>
            <w:tcW w:w="1139" w:type="dxa"/>
            <w:tcBorders>
              <w:left w:val="single" w:sz="4" w:space="0" w:color="auto"/>
              <w:right w:val="single" w:sz="4" w:space="0" w:color="auto"/>
            </w:tcBorders>
          </w:tcPr>
          <w:p w:rsidR="00000000" w:rsidRDefault="00000000">
            <w:pPr>
              <w:ind w:right="113"/>
              <w:jc w:val="right"/>
              <w:rPr>
                <w:b/>
                <w:snapToGrid w:val="0"/>
              </w:rPr>
            </w:pPr>
            <w:r>
              <w:rPr>
                <w:b/>
                <w:snapToGrid w:val="0"/>
              </w:rPr>
              <w:t xml:space="preserve">  8 582</w:t>
            </w:r>
          </w:p>
        </w:tc>
        <w:tc>
          <w:tcPr>
            <w:tcW w:w="993" w:type="dxa"/>
            <w:tcBorders>
              <w:left w:val="single" w:sz="4" w:space="0" w:color="auto"/>
              <w:right w:val="single" w:sz="4" w:space="0" w:color="auto"/>
            </w:tcBorders>
          </w:tcPr>
          <w:p w:rsidR="00000000" w:rsidRDefault="00000000">
            <w:pPr>
              <w:ind w:right="113"/>
              <w:jc w:val="right"/>
              <w:rPr>
                <w:b/>
                <w:snapToGrid w:val="0"/>
              </w:rPr>
            </w:pPr>
            <w:r>
              <w:rPr>
                <w:b/>
                <w:snapToGrid w:val="0"/>
              </w:rPr>
              <w:t xml:space="preserve">  6 838</w:t>
            </w:r>
          </w:p>
        </w:tc>
        <w:tc>
          <w:tcPr>
            <w:tcW w:w="1271" w:type="dxa"/>
            <w:tcBorders>
              <w:left w:val="single" w:sz="4" w:space="0" w:color="auto"/>
              <w:right w:val="single" w:sz="4" w:space="0" w:color="auto"/>
            </w:tcBorders>
          </w:tcPr>
          <w:p w:rsidR="00000000" w:rsidRDefault="00000000">
            <w:pPr>
              <w:ind w:right="227"/>
              <w:jc w:val="right"/>
              <w:rPr>
                <w:b/>
                <w:snapToGrid w:val="0"/>
              </w:rPr>
            </w:pPr>
            <w:r>
              <w:rPr>
                <w:snapToGrid w:val="0"/>
              </w:rPr>
              <w:t xml:space="preserve">   </w:t>
            </w:r>
            <w:r>
              <w:rPr>
                <w:b/>
                <w:snapToGrid w:val="0"/>
              </w:rPr>
              <w:t>954</w:t>
            </w:r>
          </w:p>
        </w:tc>
        <w:tc>
          <w:tcPr>
            <w:tcW w:w="1610" w:type="dxa"/>
            <w:tcBorders>
              <w:left w:val="single" w:sz="4" w:space="0" w:color="auto"/>
              <w:right w:val="single" w:sz="4" w:space="0" w:color="auto"/>
            </w:tcBorders>
          </w:tcPr>
          <w:p w:rsidR="00000000" w:rsidRDefault="00000000">
            <w:pPr>
              <w:ind w:right="428"/>
              <w:jc w:val="right"/>
              <w:rPr>
                <w:b/>
                <w:snapToGrid w:val="0"/>
              </w:rPr>
            </w:pPr>
            <w:r>
              <w:rPr>
                <w:b/>
                <w:snapToGrid w:val="0"/>
              </w:rPr>
              <w:t xml:space="preserve">    790</w:t>
            </w:r>
          </w:p>
        </w:tc>
      </w:tr>
      <w:tr w:rsidR="00000000">
        <w:tblPrEx>
          <w:tblCellMar>
            <w:top w:w="0" w:type="dxa"/>
            <w:bottom w:w="0" w:type="dxa"/>
          </w:tblCellMar>
        </w:tblPrEx>
        <w:trPr>
          <w:cantSplit/>
          <w:trHeight w:val="192"/>
          <w:jc w:val="center"/>
        </w:trPr>
        <w:tc>
          <w:tcPr>
            <w:tcW w:w="2267" w:type="dxa"/>
            <w:vMerge/>
            <w:tcBorders>
              <w:left w:val="single" w:sz="4" w:space="0" w:color="auto"/>
              <w:right w:val="single" w:sz="4" w:space="0" w:color="auto"/>
            </w:tcBorders>
            <w:vAlign w:val="center"/>
          </w:tcPr>
          <w:p w:rsidR="00000000" w:rsidRDefault="00000000">
            <w:pPr>
              <w:rPr>
                <w:b/>
                <w:snapToGrid w:val="0"/>
              </w:rPr>
            </w:pPr>
          </w:p>
        </w:tc>
        <w:tc>
          <w:tcPr>
            <w:tcW w:w="993" w:type="dxa"/>
            <w:tcBorders>
              <w:left w:val="single" w:sz="4" w:space="0" w:color="auto"/>
              <w:bottom w:val="single" w:sz="4" w:space="0" w:color="auto"/>
              <w:right w:val="single" w:sz="4" w:space="0" w:color="auto"/>
            </w:tcBorders>
          </w:tcPr>
          <w:p w:rsidR="00000000" w:rsidRDefault="00000000">
            <w:pPr>
              <w:ind w:right="284"/>
              <w:jc w:val="right"/>
              <w:rPr>
                <w:b/>
                <w:snapToGrid w:val="0"/>
              </w:rPr>
            </w:pPr>
            <w:r>
              <w:rPr>
                <w:b/>
                <w:snapToGrid w:val="0"/>
              </w:rPr>
              <w:t>1999</w:t>
            </w:r>
          </w:p>
        </w:tc>
        <w:tc>
          <w:tcPr>
            <w:tcW w:w="1139" w:type="dxa"/>
            <w:tcBorders>
              <w:left w:val="single" w:sz="4" w:space="0" w:color="auto"/>
              <w:bottom w:val="single" w:sz="4" w:space="0" w:color="auto"/>
              <w:right w:val="single" w:sz="4" w:space="0" w:color="auto"/>
            </w:tcBorders>
          </w:tcPr>
          <w:p w:rsidR="00000000" w:rsidRDefault="00000000">
            <w:pPr>
              <w:ind w:right="113"/>
              <w:jc w:val="right"/>
              <w:rPr>
                <w:b/>
                <w:snapToGrid w:val="0"/>
              </w:rPr>
            </w:pPr>
            <w:r>
              <w:rPr>
                <w:b/>
                <w:snapToGrid w:val="0"/>
              </w:rPr>
              <w:t xml:space="preserve">  8 837</w:t>
            </w:r>
          </w:p>
        </w:tc>
        <w:tc>
          <w:tcPr>
            <w:tcW w:w="993" w:type="dxa"/>
            <w:tcBorders>
              <w:left w:val="single" w:sz="4" w:space="0" w:color="auto"/>
              <w:bottom w:val="single" w:sz="4" w:space="0" w:color="auto"/>
              <w:right w:val="single" w:sz="4" w:space="0" w:color="auto"/>
            </w:tcBorders>
          </w:tcPr>
          <w:p w:rsidR="00000000" w:rsidRDefault="00000000">
            <w:pPr>
              <w:ind w:right="113"/>
              <w:jc w:val="right"/>
              <w:rPr>
                <w:b/>
                <w:snapToGrid w:val="0"/>
              </w:rPr>
            </w:pPr>
            <w:r>
              <w:rPr>
                <w:b/>
                <w:snapToGrid w:val="0"/>
              </w:rPr>
              <w:t xml:space="preserve">  7 276</w:t>
            </w:r>
          </w:p>
        </w:tc>
        <w:tc>
          <w:tcPr>
            <w:tcW w:w="1271" w:type="dxa"/>
            <w:tcBorders>
              <w:left w:val="single" w:sz="4" w:space="0" w:color="auto"/>
              <w:bottom w:val="single" w:sz="4" w:space="0" w:color="auto"/>
              <w:right w:val="single" w:sz="4" w:space="0" w:color="auto"/>
            </w:tcBorders>
          </w:tcPr>
          <w:p w:rsidR="00000000" w:rsidRDefault="00000000">
            <w:pPr>
              <w:ind w:right="227"/>
              <w:jc w:val="right"/>
              <w:rPr>
                <w:b/>
                <w:snapToGrid w:val="0"/>
              </w:rPr>
            </w:pPr>
            <w:r>
              <w:rPr>
                <w:b/>
                <w:snapToGrid w:val="0"/>
              </w:rPr>
              <w:t xml:space="preserve">   958</w:t>
            </w:r>
          </w:p>
        </w:tc>
        <w:tc>
          <w:tcPr>
            <w:tcW w:w="1610" w:type="dxa"/>
            <w:tcBorders>
              <w:left w:val="single" w:sz="4" w:space="0" w:color="auto"/>
              <w:bottom w:val="single" w:sz="4" w:space="0" w:color="auto"/>
              <w:right w:val="single" w:sz="4" w:space="0" w:color="auto"/>
            </w:tcBorders>
          </w:tcPr>
          <w:p w:rsidR="00000000" w:rsidRDefault="00000000">
            <w:pPr>
              <w:ind w:right="428"/>
              <w:jc w:val="right"/>
              <w:rPr>
                <w:b/>
                <w:snapToGrid w:val="0"/>
              </w:rPr>
            </w:pPr>
            <w:r>
              <w:rPr>
                <w:b/>
                <w:snapToGrid w:val="0"/>
              </w:rPr>
              <w:t xml:space="preserve">    603</w:t>
            </w:r>
          </w:p>
        </w:tc>
      </w:tr>
      <w:tr w:rsidR="00000000">
        <w:tblPrEx>
          <w:tblCellMar>
            <w:top w:w="0" w:type="dxa"/>
            <w:bottom w:w="0" w:type="dxa"/>
          </w:tblCellMar>
        </w:tblPrEx>
        <w:trPr>
          <w:cantSplit/>
          <w:trHeight w:val="192"/>
          <w:jc w:val="center"/>
        </w:trPr>
        <w:tc>
          <w:tcPr>
            <w:tcW w:w="2267" w:type="dxa"/>
            <w:vMerge w:val="restart"/>
            <w:tcBorders>
              <w:top w:val="single" w:sz="4" w:space="0" w:color="auto"/>
              <w:left w:val="single" w:sz="4" w:space="0" w:color="auto"/>
              <w:right w:val="single" w:sz="4" w:space="0" w:color="auto"/>
            </w:tcBorders>
            <w:vAlign w:val="center"/>
          </w:tcPr>
          <w:p w:rsidR="00000000" w:rsidRDefault="00000000">
            <w:pPr>
              <w:rPr>
                <w:b/>
                <w:snapToGrid w:val="0"/>
              </w:rPr>
            </w:pPr>
            <w:r>
              <w:rPr>
                <w:snapToGrid w:val="0"/>
              </w:rPr>
              <w:t>Rondônia</w:t>
            </w:r>
          </w:p>
        </w:tc>
        <w:tc>
          <w:tcPr>
            <w:tcW w:w="993" w:type="dxa"/>
            <w:tcBorders>
              <w:top w:val="single" w:sz="4" w:space="0" w:color="auto"/>
              <w:left w:val="single" w:sz="4" w:space="0" w:color="auto"/>
              <w:right w:val="single" w:sz="4" w:space="0" w:color="auto"/>
            </w:tcBorders>
          </w:tcPr>
          <w:p w:rsidR="00000000" w:rsidRDefault="00000000">
            <w:pPr>
              <w:ind w:right="284"/>
              <w:jc w:val="right"/>
              <w:rPr>
                <w:snapToGrid w:val="0"/>
              </w:rPr>
            </w:pPr>
            <w:r>
              <w:rPr>
                <w:snapToGrid w:val="0"/>
              </w:rPr>
              <w:t>1997</w:t>
            </w:r>
          </w:p>
        </w:tc>
        <w:tc>
          <w:tcPr>
            <w:tcW w:w="1139" w:type="dxa"/>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1 083</w:t>
            </w:r>
          </w:p>
        </w:tc>
        <w:tc>
          <w:tcPr>
            <w:tcW w:w="993" w:type="dxa"/>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900</w:t>
            </w:r>
          </w:p>
        </w:tc>
        <w:tc>
          <w:tcPr>
            <w:tcW w:w="1271" w:type="dxa"/>
            <w:tcBorders>
              <w:top w:val="single" w:sz="4" w:space="0" w:color="auto"/>
              <w:left w:val="single" w:sz="4" w:space="0" w:color="auto"/>
              <w:right w:val="single" w:sz="4" w:space="0" w:color="auto"/>
            </w:tcBorders>
          </w:tcPr>
          <w:p w:rsidR="00000000" w:rsidRDefault="00000000">
            <w:pPr>
              <w:ind w:right="227"/>
              <w:jc w:val="right"/>
              <w:rPr>
                <w:snapToGrid w:val="0"/>
              </w:rPr>
            </w:pPr>
            <w:r>
              <w:rPr>
                <w:snapToGrid w:val="0"/>
              </w:rPr>
              <w:t xml:space="preserve">   152</w:t>
            </w:r>
          </w:p>
        </w:tc>
        <w:tc>
          <w:tcPr>
            <w:tcW w:w="1610" w:type="dxa"/>
            <w:tcBorders>
              <w:top w:val="single" w:sz="4" w:space="0" w:color="auto"/>
              <w:left w:val="single" w:sz="4" w:space="0" w:color="auto"/>
              <w:right w:val="single" w:sz="4" w:space="0" w:color="auto"/>
            </w:tcBorders>
          </w:tcPr>
          <w:p w:rsidR="00000000" w:rsidRDefault="00000000">
            <w:pPr>
              <w:ind w:right="428"/>
              <w:jc w:val="right"/>
              <w:rPr>
                <w:bCs/>
                <w:snapToGrid w:val="0"/>
              </w:rPr>
            </w:pPr>
            <w:r>
              <w:rPr>
                <w:bCs/>
                <w:snapToGrid w:val="0"/>
              </w:rPr>
              <w:t xml:space="preserve">      31</w:t>
            </w:r>
          </w:p>
        </w:tc>
      </w:tr>
      <w:tr w:rsidR="00000000">
        <w:tblPrEx>
          <w:tblCellMar>
            <w:top w:w="0" w:type="dxa"/>
            <w:bottom w:w="0" w:type="dxa"/>
          </w:tblCellMar>
        </w:tblPrEx>
        <w:trPr>
          <w:cantSplit/>
          <w:trHeight w:val="192"/>
          <w:jc w:val="center"/>
        </w:trPr>
        <w:tc>
          <w:tcPr>
            <w:tcW w:w="2267" w:type="dxa"/>
            <w:vMerge/>
            <w:tcBorders>
              <w:left w:val="single" w:sz="4" w:space="0" w:color="auto"/>
              <w:right w:val="single" w:sz="4" w:space="0" w:color="auto"/>
            </w:tcBorders>
            <w:vAlign w:val="center"/>
          </w:tcPr>
          <w:p w:rsidR="00000000" w:rsidRDefault="00000000">
            <w:pPr>
              <w:rPr>
                <w:snapToGrid w:val="0"/>
              </w:rPr>
            </w:pPr>
          </w:p>
        </w:tc>
        <w:tc>
          <w:tcPr>
            <w:tcW w:w="993" w:type="dxa"/>
            <w:tcBorders>
              <w:left w:val="single" w:sz="4" w:space="0" w:color="auto"/>
              <w:right w:val="single" w:sz="4" w:space="0" w:color="auto"/>
            </w:tcBorders>
          </w:tcPr>
          <w:p w:rsidR="00000000" w:rsidRDefault="00000000">
            <w:pPr>
              <w:ind w:right="284"/>
              <w:jc w:val="right"/>
              <w:rPr>
                <w:snapToGrid w:val="0"/>
              </w:rPr>
            </w:pPr>
            <w:r>
              <w:rPr>
                <w:snapToGrid w:val="0"/>
              </w:rPr>
              <w:t>1998</w:t>
            </w:r>
          </w:p>
        </w:tc>
        <w:tc>
          <w:tcPr>
            <w:tcW w:w="1139" w:type="dxa"/>
            <w:tcBorders>
              <w:left w:val="single" w:sz="4" w:space="0" w:color="auto"/>
              <w:right w:val="single" w:sz="4" w:space="0" w:color="auto"/>
            </w:tcBorders>
          </w:tcPr>
          <w:p w:rsidR="00000000" w:rsidRDefault="00000000">
            <w:pPr>
              <w:ind w:right="113"/>
              <w:jc w:val="right"/>
              <w:rPr>
                <w:snapToGrid w:val="0"/>
              </w:rPr>
            </w:pPr>
            <w:r>
              <w:rPr>
                <w:snapToGrid w:val="0"/>
              </w:rPr>
              <w:t xml:space="preserve">  1 343</w:t>
            </w:r>
          </w:p>
        </w:tc>
        <w:tc>
          <w:tcPr>
            <w:tcW w:w="993" w:type="dxa"/>
            <w:tcBorders>
              <w:left w:val="single" w:sz="4" w:space="0" w:color="auto"/>
              <w:right w:val="single" w:sz="4" w:space="0" w:color="auto"/>
            </w:tcBorders>
          </w:tcPr>
          <w:p w:rsidR="00000000" w:rsidRDefault="00000000">
            <w:pPr>
              <w:ind w:right="113"/>
              <w:jc w:val="right"/>
              <w:rPr>
                <w:snapToGrid w:val="0"/>
              </w:rPr>
            </w:pPr>
            <w:r>
              <w:rPr>
                <w:snapToGrid w:val="0"/>
              </w:rPr>
              <w:t xml:space="preserve"> 1 093</w:t>
            </w:r>
          </w:p>
        </w:tc>
        <w:tc>
          <w:tcPr>
            <w:tcW w:w="1271" w:type="dxa"/>
            <w:tcBorders>
              <w:left w:val="single" w:sz="4" w:space="0" w:color="auto"/>
              <w:right w:val="single" w:sz="4" w:space="0" w:color="auto"/>
            </w:tcBorders>
          </w:tcPr>
          <w:p w:rsidR="00000000" w:rsidRDefault="00000000">
            <w:pPr>
              <w:ind w:right="227"/>
              <w:jc w:val="right"/>
              <w:rPr>
                <w:snapToGrid w:val="0"/>
              </w:rPr>
            </w:pPr>
            <w:r>
              <w:rPr>
                <w:snapToGrid w:val="0"/>
              </w:rPr>
              <w:t xml:space="preserve">   183</w:t>
            </w:r>
          </w:p>
        </w:tc>
        <w:tc>
          <w:tcPr>
            <w:tcW w:w="1610" w:type="dxa"/>
            <w:tcBorders>
              <w:left w:val="single" w:sz="4" w:space="0" w:color="auto"/>
              <w:right w:val="single" w:sz="4" w:space="0" w:color="auto"/>
            </w:tcBorders>
          </w:tcPr>
          <w:p w:rsidR="00000000" w:rsidRDefault="00000000">
            <w:pPr>
              <w:ind w:right="428"/>
              <w:jc w:val="right"/>
              <w:rPr>
                <w:bCs/>
                <w:snapToGrid w:val="0"/>
              </w:rPr>
            </w:pPr>
            <w:r>
              <w:rPr>
                <w:bCs/>
                <w:snapToGrid w:val="0"/>
              </w:rPr>
              <w:t xml:space="preserve">     67</w:t>
            </w:r>
          </w:p>
        </w:tc>
      </w:tr>
      <w:tr w:rsidR="00000000">
        <w:tblPrEx>
          <w:tblCellMar>
            <w:top w:w="0" w:type="dxa"/>
            <w:bottom w:w="0" w:type="dxa"/>
          </w:tblCellMar>
        </w:tblPrEx>
        <w:trPr>
          <w:cantSplit/>
          <w:trHeight w:val="192"/>
          <w:jc w:val="center"/>
        </w:trPr>
        <w:tc>
          <w:tcPr>
            <w:tcW w:w="2267" w:type="dxa"/>
            <w:vMerge/>
            <w:tcBorders>
              <w:left w:val="single" w:sz="4" w:space="0" w:color="auto"/>
              <w:right w:val="single" w:sz="4" w:space="0" w:color="auto"/>
            </w:tcBorders>
            <w:vAlign w:val="center"/>
          </w:tcPr>
          <w:p w:rsidR="00000000" w:rsidRDefault="00000000">
            <w:pPr>
              <w:rPr>
                <w:b/>
                <w:snapToGrid w:val="0"/>
              </w:rPr>
            </w:pPr>
          </w:p>
        </w:tc>
        <w:tc>
          <w:tcPr>
            <w:tcW w:w="993" w:type="dxa"/>
            <w:tcBorders>
              <w:left w:val="single" w:sz="4" w:space="0" w:color="auto"/>
              <w:bottom w:val="single" w:sz="4" w:space="0" w:color="auto"/>
              <w:right w:val="single" w:sz="4" w:space="0" w:color="auto"/>
            </w:tcBorders>
          </w:tcPr>
          <w:p w:rsidR="00000000" w:rsidRDefault="00000000">
            <w:pPr>
              <w:ind w:right="284"/>
              <w:jc w:val="right"/>
              <w:rPr>
                <w:snapToGrid w:val="0"/>
              </w:rPr>
            </w:pPr>
            <w:r>
              <w:rPr>
                <w:snapToGrid w:val="0"/>
              </w:rPr>
              <w:t>1999</w:t>
            </w:r>
          </w:p>
        </w:tc>
        <w:tc>
          <w:tcPr>
            <w:tcW w:w="1139" w:type="dxa"/>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1 423</w:t>
            </w:r>
          </w:p>
        </w:tc>
        <w:tc>
          <w:tcPr>
            <w:tcW w:w="993" w:type="dxa"/>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1 192</w:t>
            </w:r>
          </w:p>
        </w:tc>
        <w:tc>
          <w:tcPr>
            <w:tcW w:w="1271" w:type="dxa"/>
            <w:tcBorders>
              <w:left w:val="single" w:sz="4" w:space="0" w:color="auto"/>
              <w:bottom w:val="single" w:sz="4" w:space="0" w:color="auto"/>
              <w:right w:val="single" w:sz="4" w:space="0" w:color="auto"/>
            </w:tcBorders>
          </w:tcPr>
          <w:p w:rsidR="00000000" w:rsidRDefault="00000000">
            <w:pPr>
              <w:ind w:right="227"/>
              <w:jc w:val="right"/>
              <w:rPr>
                <w:snapToGrid w:val="0"/>
              </w:rPr>
            </w:pPr>
            <w:r>
              <w:rPr>
                <w:snapToGrid w:val="0"/>
              </w:rPr>
              <w:t xml:space="preserve">   198</w:t>
            </w:r>
          </w:p>
        </w:tc>
        <w:tc>
          <w:tcPr>
            <w:tcW w:w="1610" w:type="dxa"/>
            <w:tcBorders>
              <w:left w:val="single" w:sz="4" w:space="0" w:color="auto"/>
              <w:bottom w:val="single" w:sz="4" w:space="0" w:color="auto"/>
              <w:right w:val="single" w:sz="4" w:space="0" w:color="auto"/>
            </w:tcBorders>
          </w:tcPr>
          <w:p w:rsidR="00000000" w:rsidRDefault="00000000">
            <w:pPr>
              <w:ind w:right="428"/>
              <w:jc w:val="right"/>
              <w:rPr>
                <w:bCs/>
                <w:snapToGrid w:val="0"/>
              </w:rPr>
            </w:pPr>
            <w:r>
              <w:rPr>
                <w:bCs/>
                <w:snapToGrid w:val="0"/>
              </w:rPr>
              <w:t xml:space="preserve">     33</w:t>
            </w:r>
          </w:p>
        </w:tc>
      </w:tr>
      <w:tr w:rsidR="00000000">
        <w:tblPrEx>
          <w:tblCellMar>
            <w:top w:w="0" w:type="dxa"/>
            <w:bottom w:w="0" w:type="dxa"/>
          </w:tblCellMar>
        </w:tblPrEx>
        <w:trPr>
          <w:cantSplit/>
          <w:trHeight w:val="192"/>
          <w:jc w:val="center"/>
        </w:trPr>
        <w:tc>
          <w:tcPr>
            <w:tcW w:w="2267" w:type="dxa"/>
            <w:vMerge w:val="restart"/>
            <w:tcBorders>
              <w:top w:val="single" w:sz="4" w:space="0" w:color="auto"/>
              <w:left w:val="single" w:sz="4" w:space="0" w:color="auto"/>
              <w:right w:val="single" w:sz="4" w:space="0" w:color="auto"/>
            </w:tcBorders>
            <w:vAlign w:val="center"/>
          </w:tcPr>
          <w:p w:rsidR="00000000" w:rsidRDefault="00000000">
            <w:pPr>
              <w:rPr>
                <w:snapToGrid w:val="0"/>
              </w:rPr>
            </w:pPr>
            <w:r>
              <w:rPr>
                <w:snapToGrid w:val="0"/>
              </w:rPr>
              <w:t>Acre</w:t>
            </w:r>
          </w:p>
        </w:tc>
        <w:tc>
          <w:tcPr>
            <w:tcW w:w="993" w:type="dxa"/>
            <w:tcBorders>
              <w:top w:val="single" w:sz="4" w:space="0" w:color="auto"/>
              <w:left w:val="single" w:sz="4" w:space="0" w:color="auto"/>
              <w:right w:val="single" w:sz="4" w:space="0" w:color="auto"/>
            </w:tcBorders>
          </w:tcPr>
          <w:p w:rsidR="00000000" w:rsidRDefault="00000000">
            <w:pPr>
              <w:ind w:right="284"/>
              <w:jc w:val="right"/>
              <w:rPr>
                <w:snapToGrid w:val="0"/>
              </w:rPr>
            </w:pPr>
            <w:r>
              <w:rPr>
                <w:snapToGrid w:val="0"/>
              </w:rPr>
              <w:t>1997</w:t>
            </w:r>
          </w:p>
        </w:tc>
        <w:tc>
          <w:tcPr>
            <w:tcW w:w="1139" w:type="dxa"/>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202</w:t>
            </w:r>
          </w:p>
        </w:tc>
        <w:tc>
          <w:tcPr>
            <w:tcW w:w="993" w:type="dxa"/>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175</w:t>
            </w:r>
          </w:p>
        </w:tc>
        <w:tc>
          <w:tcPr>
            <w:tcW w:w="1271" w:type="dxa"/>
            <w:tcBorders>
              <w:top w:val="single" w:sz="4" w:space="0" w:color="auto"/>
              <w:left w:val="single" w:sz="4" w:space="0" w:color="auto"/>
              <w:right w:val="single" w:sz="4" w:space="0" w:color="auto"/>
            </w:tcBorders>
          </w:tcPr>
          <w:p w:rsidR="00000000" w:rsidRDefault="00000000">
            <w:pPr>
              <w:ind w:right="227"/>
              <w:jc w:val="right"/>
              <w:rPr>
                <w:snapToGrid w:val="0"/>
              </w:rPr>
            </w:pPr>
            <w:r>
              <w:rPr>
                <w:snapToGrid w:val="0"/>
              </w:rPr>
              <w:t xml:space="preserve">    26</w:t>
            </w:r>
          </w:p>
        </w:tc>
        <w:tc>
          <w:tcPr>
            <w:tcW w:w="1610" w:type="dxa"/>
            <w:tcBorders>
              <w:top w:val="single" w:sz="4" w:space="0" w:color="auto"/>
              <w:left w:val="single" w:sz="4" w:space="0" w:color="auto"/>
              <w:right w:val="single" w:sz="4" w:space="0" w:color="auto"/>
            </w:tcBorders>
          </w:tcPr>
          <w:p w:rsidR="00000000" w:rsidRDefault="00000000">
            <w:pPr>
              <w:ind w:right="428"/>
              <w:jc w:val="right"/>
              <w:rPr>
                <w:bCs/>
                <w:snapToGrid w:val="0"/>
              </w:rPr>
            </w:pPr>
            <w:r>
              <w:rPr>
                <w:bCs/>
                <w:snapToGrid w:val="0"/>
              </w:rPr>
              <w:t xml:space="preserve">      1</w:t>
            </w:r>
          </w:p>
        </w:tc>
      </w:tr>
      <w:tr w:rsidR="00000000">
        <w:tblPrEx>
          <w:tblCellMar>
            <w:top w:w="0" w:type="dxa"/>
            <w:bottom w:w="0" w:type="dxa"/>
          </w:tblCellMar>
        </w:tblPrEx>
        <w:trPr>
          <w:cantSplit/>
          <w:trHeight w:val="192"/>
          <w:jc w:val="center"/>
        </w:trPr>
        <w:tc>
          <w:tcPr>
            <w:tcW w:w="2267" w:type="dxa"/>
            <w:vMerge/>
            <w:tcBorders>
              <w:left w:val="single" w:sz="4" w:space="0" w:color="auto"/>
              <w:right w:val="single" w:sz="4" w:space="0" w:color="auto"/>
            </w:tcBorders>
            <w:vAlign w:val="center"/>
          </w:tcPr>
          <w:p w:rsidR="00000000" w:rsidRDefault="00000000">
            <w:pPr>
              <w:rPr>
                <w:snapToGrid w:val="0"/>
              </w:rPr>
            </w:pPr>
          </w:p>
        </w:tc>
        <w:tc>
          <w:tcPr>
            <w:tcW w:w="993" w:type="dxa"/>
            <w:tcBorders>
              <w:left w:val="single" w:sz="4" w:space="0" w:color="auto"/>
              <w:right w:val="single" w:sz="4" w:space="0" w:color="auto"/>
            </w:tcBorders>
          </w:tcPr>
          <w:p w:rsidR="00000000" w:rsidRDefault="00000000">
            <w:pPr>
              <w:ind w:right="284"/>
              <w:jc w:val="right"/>
              <w:rPr>
                <w:snapToGrid w:val="0"/>
              </w:rPr>
            </w:pPr>
            <w:r>
              <w:rPr>
                <w:snapToGrid w:val="0"/>
              </w:rPr>
              <w:t>1998</w:t>
            </w:r>
          </w:p>
        </w:tc>
        <w:tc>
          <w:tcPr>
            <w:tcW w:w="1139" w:type="dxa"/>
            <w:tcBorders>
              <w:left w:val="single" w:sz="4" w:space="0" w:color="auto"/>
              <w:right w:val="single" w:sz="4" w:space="0" w:color="auto"/>
            </w:tcBorders>
          </w:tcPr>
          <w:p w:rsidR="00000000" w:rsidRDefault="00000000">
            <w:pPr>
              <w:ind w:right="113"/>
              <w:jc w:val="right"/>
              <w:rPr>
                <w:snapToGrid w:val="0"/>
              </w:rPr>
            </w:pPr>
            <w:r>
              <w:rPr>
                <w:snapToGrid w:val="0"/>
              </w:rPr>
              <w:t xml:space="preserve">    207</w:t>
            </w:r>
          </w:p>
        </w:tc>
        <w:tc>
          <w:tcPr>
            <w:tcW w:w="993" w:type="dxa"/>
            <w:tcBorders>
              <w:left w:val="single" w:sz="4" w:space="0" w:color="auto"/>
              <w:right w:val="single" w:sz="4" w:space="0" w:color="auto"/>
            </w:tcBorders>
          </w:tcPr>
          <w:p w:rsidR="00000000" w:rsidRDefault="00000000">
            <w:pPr>
              <w:ind w:right="113"/>
              <w:jc w:val="right"/>
              <w:rPr>
                <w:snapToGrid w:val="0"/>
              </w:rPr>
            </w:pPr>
            <w:r>
              <w:rPr>
                <w:snapToGrid w:val="0"/>
              </w:rPr>
              <w:t xml:space="preserve">    177</w:t>
            </w:r>
          </w:p>
        </w:tc>
        <w:tc>
          <w:tcPr>
            <w:tcW w:w="1271" w:type="dxa"/>
            <w:tcBorders>
              <w:left w:val="single" w:sz="4" w:space="0" w:color="auto"/>
              <w:right w:val="single" w:sz="4" w:space="0" w:color="auto"/>
            </w:tcBorders>
          </w:tcPr>
          <w:p w:rsidR="00000000" w:rsidRDefault="00000000">
            <w:pPr>
              <w:ind w:right="227"/>
              <w:jc w:val="right"/>
              <w:rPr>
                <w:snapToGrid w:val="0"/>
              </w:rPr>
            </w:pPr>
            <w:r>
              <w:rPr>
                <w:snapToGrid w:val="0"/>
              </w:rPr>
              <w:t xml:space="preserve">    24</w:t>
            </w:r>
          </w:p>
        </w:tc>
        <w:tc>
          <w:tcPr>
            <w:tcW w:w="1610" w:type="dxa"/>
            <w:tcBorders>
              <w:left w:val="single" w:sz="4" w:space="0" w:color="auto"/>
              <w:right w:val="single" w:sz="4" w:space="0" w:color="auto"/>
            </w:tcBorders>
          </w:tcPr>
          <w:p w:rsidR="00000000" w:rsidRDefault="00000000">
            <w:pPr>
              <w:ind w:right="428"/>
              <w:jc w:val="right"/>
              <w:rPr>
                <w:bCs/>
                <w:snapToGrid w:val="0"/>
              </w:rPr>
            </w:pPr>
            <w:r>
              <w:rPr>
                <w:bCs/>
                <w:snapToGrid w:val="0"/>
              </w:rPr>
              <w:t xml:space="preserve">      6</w:t>
            </w:r>
          </w:p>
        </w:tc>
      </w:tr>
      <w:tr w:rsidR="00000000">
        <w:tblPrEx>
          <w:tblCellMar>
            <w:top w:w="0" w:type="dxa"/>
            <w:bottom w:w="0" w:type="dxa"/>
          </w:tblCellMar>
        </w:tblPrEx>
        <w:trPr>
          <w:cantSplit/>
          <w:trHeight w:val="192"/>
          <w:jc w:val="center"/>
        </w:trPr>
        <w:tc>
          <w:tcPr>
            <w:tcW w:w="2267" w:type="dxa"/>
            <w:vMerge/>
            <w:tcBorders>
              <w:left w:val="single" w:sz="4" w:space="0" w:color="auto"/>
              <w:right w:val="single" w:sz="4" w:space="0" w:color="auto"/>
            </w:tcBorders>
            <w:vAlign w:val="center"/>
          </w:tcPr>
          <w:p w:rsidR="00000000" w:rsidRDefault="00000000">
            <w:pPr>
              <w:rPr>
                <w:snapToGrid w:val="0"/>
              </w:rPr>
            </w:pPr>
          </w:p>
        </w:tc>
        <w:tc>
          <w:tcPr>
            <w:tcW w:w="993" w:type="dxa"/>
            <w:tcBorders>
              <w:left w:val="single" w:sz="4" w:space="0" w:color="auto"/>
              <w:bottom w:val="single" w:sz="4" w:space="0" w:color="auto"/>
              <w:right w:val="single" w:sz="4" w:space="0" w:color="auto"/>
            </w:tcBorders>
          </w:tcPr>
          <w:p w:rsidR="00000000" w:rsidRDefault="00000000">
            <w:pPr>
              <w:ind w:right="284"/>
              <w:jc w:val="right"/>
              <w:rPr>
                <w:snapToGrid w:val="0"/>
              </w:rPr>
            </w:pPr>
            <w:r>
              <w:rPr>
                <w:snapToGrid w:val="0"/>
              </w:rPr>
              <w:t>1999</w:t>
            </w:r>
          </w:p>
        </w:tc>
        <w:tc>
          <w:tcPr>
            <w:tcW w:w="1139" w:type="dxa"/>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185</w:t>
            </w:r>
          </w:p>
        </w:tc>
        <w:tc>
          <w:tcPr>
            <w:tcW w:w="993" w:type="dxa"/>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139</w:t>
            </w:r>
          </w:p>
        </w:tc>
        <w:tc>
          <w:tcPr>
            <w:tcW w:w="1271" w:type="dxa"/>
            <w:tcBorders>
              <w:left w:val="single" w:sz="4" w:space="0" w:color="auto"/>
              <w:bottom w:val="single" w:sz="4" w:space="0" w:color="auto"/>
              <w:right w:val="single" w:sz="4" w:space="0" w:color="auto"/>
            </w:tcBorders>
          </w:tcPr>
          <w:p w:rsidR="00000000" w:rsidRDefault="00000000">
            <w:pPr>
              <w:ind w:right="227"/>
              <w:jc w:val="right"/>
              <w:rPr>
                <w:snapToGrid w:val="0"/>
              </w:rPr>
            </w:pPr>
            <w:r>
              <w:rPr>
                <w:snapToGrid w:val="0"/>
              </w:rPr>
              <w:t xml:space="preserve">    32</w:t>
            </w:r>
          </w:p>
        </w:tc>
        <w:tc>
          <w:tcPr>
            <w:tcW w:w="1610" w:type="dxa"/>
            <w:tcBorders>
              <w:left w:val="single" w:sz="4" w:space="0" w:color="auto"/>
              <w:bottom w:val="single" w:sz="4" w:space="0" w:color="auto"/>
              <w:right w:val="single" w:sz="4" w:space="0" w:color="auto"/>
            </w:tcBorders>
          </w:tcPr>
          <w:p w:rsidR="00000000" w:rsidRDefault="00000000">
            <w:pPr>
              <w:ind w:right="428"/>
              <w:jc w:val="right"/>
              <w:rPr>
                <w:bCs/>
                <w:snapToGrid w:val="0"/>
              </w:rPr>
            </w:pPr>
            <w:r>
              <w:rPr>
                <w:bCs/>
                <w:snapToGrid w:val="0"/>
              </w:rPr>
              <w:t xml:space="preserve">     14</w:t>
            </w:r>
          </w:p>
        </w:tc>
      </w:tr>
      <w:tr w:rsidR="00000000">
        <w:tblPrEx>
          <w:tblCellMar>
            <w:top w:w="0" w:type="dxa"/>
            <w:bottom w:w="0" w:type="dxa"/>
          </w:tblCellMar>
        </w:tblPrEx>
        <w:trPr>
          <w:cantSplit/>
          <w:trHeight w:val="192"/>
          <w:jc w:val="center"/>
        </w:trPr>
        <w:tc>
          <w:tcPr>
            <w:tcW w:w="2267" w:type="dxa"/>
            <w:vMerge w:val="restart"/>
            <w:tcBorders>
              <w:top w:val="single" w:sz="4" w:space="0" w:color="auto"/>
              <w:left w:val="single" w:sz="4" w:space="0" w:color="auto"/>
              <w:right w:val="single" w:sz="4" w:space="0" w:color="auto"/>
            </w:tcBorders>
            <w:vAlign w:val="center"/>
          </w:tcPr>
          <w:p w:rsidR="00000000" w:rsidRDefault="00000000">
            <w:pPr>
              <w:rPr>
                <w:snapToGrid w:val="0"/>
              </w:rPr>
            </w:pPr>
            <w:r>
              <w:rPr>
                <w:snapToGrid w:val="0"/>
              </w:rPr>
              <w:t>Amazonas</w:t>
            </w:r>
          </w:p>
        </w:tc>
        <w:tc>
          <w:tcPr>
            <w:tcW w:w="993" w:type="dxa"/>
            <w:tcBorders>
              <w:top w:val="single" w:sz="4" w:space="0" w:color="auto"/>
              <w:left w:val="single" w:sz="4" w:space="0" w:color="auto"/>
              <w:right w:val="single" w:sz="4" w:space="0" w:color="auto"/>
            </w:tcBorders>
          </w:tcPr>
          <w:p w:rsidR="00000000" w:rsidRDefault="00000000">
            <w:pPr>
              <w:ind w:right="284"/>
              <w:jc w:val="right"/>
              <w:rPr>
                <w:snapToGrid w:val="0"/>
              </w:rPr>
            </w:pPr>
            <w:r>
              <w:rPr>
                <w:snapToGrid w:val="0"/>
              </w:rPr>
              <w:t>1997</w:t>
            </w:r>
          </w:p>
        </w:tc>
        <w:tc>
          <w:tcPr>
            <w:tcW w:w="1139" w:type="dxa"/>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2 156</w:t>
            </w:r>
          </w:p>
        </w:tc>
        <w:tc>
          <w:tcPr>
            <w:tcW w:w="993" w:type="dxa"/>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1 722</w:t>
            </w:r>
          </w:p>
        </w:tc>
        <w:tc>
          <w:tcPr>
            <w:tcW w:w="1271" w:type="dxa"/>
            <w:tcBorders>
              <w:top w:val="single" w:sz="4" w:space="0" w:color="auto"/>
              <w:left w:val="single" w:sz="4" w:space="0" w:color="auto"/>
              <w:right w:val="single" w:sz="4" w:space="0" w:color="auto"/>
            </w:tcBorders>
          </w:tcPr>
          <w:p w:rsidR="00000000" w:rsidRDefault="00000000">
            <w:pPr>
              <w:ind w:right="227"/>
              <w:jc w:val="right"/>
              <w:rPr>
                <w:snapToGrid w:val="0"/>
              </w:rPr>
            </w:pPr>
            <w:r>
              <w:rPr>
                <w:snapToGrid w:val="0"/>
              </w:rPr>
              <w:t xml:space="preserve">   205</w:t>
            </w:r>
          </w:p>
        </w:tc>
        <w:tc>
          <w:tcPr>
            <w:tcW w:w="1610" w:type="dxa"/>
            <w:tcBorders>
              <w:top w:val="single" w:sz="4" w:space="0" w:color="auto"/>
              <w:left w:val="single" w:sz="4" w:space="0" w:color="auto"/>
              <w:right w:val="single" w:sz="4" w:space="0" w:color="auto"/>
            </w:tcBorders>
          </w:tcPr>
          <w:p w:rsidR="00000000" w:rsidRDefault="00000000">
            <w:pPr>
              <w:ind w:right="428"/>
              <w:jc w:val="right"/>
              <w:rPr>
                <w:bCs/>
                <w:snapToGrid w:val="0"/>
              </w:rPr>
            </w:pPr>
            <w:r>
              <w:rPr>
                <w:bCs/>
                <w:snapToGrid w:val="0"/>
              </w:rPr>
              <w:t xml:space="preserve">     229</w:t>
            </w:r>
          </w:p>
        </w:tc>
      </w:tr>
      <w:tr w:rsidR="00000000">
        <w:tblPrEx>
          <w:tblCellMar>
            <w:top w:w="0" w:type="dxa"/>
            <w:bottom w:w="0" w:type="dxa"/>
          </w:tblCellMar>
        </w:tblPrEx>
        <w:trPr>
          <w:cantSplit/>
          <w:trHeight w:val="192"/>
          <w:jc w:val="center"/>
        </w:trPr>
        <w:tc>
          <w:tcPr>
            <w:tcW w:w="2267" w:type="dxa"/>
            <w:vMerge/>
            <w:tcBorders>
              <w:left w:val="single" w:sz="4" w:space="0" w:color="auto"/>
              <w:right w:val="single" w:sz="4" w:space="0" w:color="auto"/>
            </w:tcBorders>
            <w:vAlign w:val="center"/>
          </w:tcPr>
          <w:p w:rsidR="00000000" w:rsidRDefault="00000000">
            <w:pPr>
              <w:rPr>
                <w:snapToGrid w:val="0"/>
              </w:rPr>
            </w:pPr>
          </w:p>
        </w:tc>
        <w:tc>
          <w:tcPr>
            <w:tcW w:w="993" w:type="dxa"/>
            <w:tcBorders>
              <w:left w:val="single" w:sz="4" w:space="0" w:color="auto"/>
              <w:right w:val="single" w:sz="4" w:space="0" w:color="auto"/>
            </w:tcBorders>
          </w:tcPr>
          <w:p w:rsidR="00000000" w:rsidRDefault="00000000">
            <w:pPr>
              <w:ind w:right="284"/>
              <w:jc w:val="right"/>
              <w:rPr>
                <w:snapToGrid w:val="0"/>
              </w:rPr>
            </w:pPr>
            <w:r>
              <w:rPr>
                <w:snapToGrid w:val="0"/>
              </w:rPr>
              <w:t>1998</w:t>
            </w:r>
          </w:p>
        </w:tc>
        <w:tc>
          <w:tcPr>
            <w:tcW w:w="1139" w:type="dxa"/>
            <w:tcBorders>
              <w:left w:val="single" w:sz="4" w:space="0" w:color="auto"/>
              <w:right w:val="single" w:sz="4" w:space="0" w:color="auto"/>
            </w:tcBorders>
          </w:tcPr>
          <w:p w:rsidR="00000000" w:rsidRDefault="00000000">
            <w:pPr>
              <w:ind w:right="113"/>
              <w:jc w:val="right"/>
              <w:rPr>
                <w:snapToGrid w:val="0"/>
              </w:rPr>
            </w:pPr>
            <w:r>
              <w:rPr>
                <w:snapToGrid w:val="0"/>
              </w:rPr>
              <w:t xml:space="preserve">  2 426</w:t>
            </w:r>
          </w:p>
        </w:tc>
        <w:tc>
          <w:tcPr>
            <w:tcW w:w="993" w:type="dxa"/>
            <w:tcBorders>
              <w:left w:val="single" w:sz="4" w:space="0" w:color="auto"/>
              <w:right w:val="single" w:sz="4" w:space="0" w:color="auto"/>
            </w:tcBorders>
          </w:tcPr>
          <w:p w:rsidR="00000000" w:rsidRDefault="00000000">
            <w:pPr>
              <w:ind w:right="113"/>
              <w:jc w:val="right"/>
              <w:rPr>
                <w:snapToGrid w:val="0"/>
              </w:rPr>
            </w:pPr>
            <w:r>
              <w:rPr>
                <w:snapToGrid w:val="0"/>
              </w:rPr>
              <w:t xml:space="preserve"> 1 759</w:t>
            </w:r>
          </w:p>
        </w:tc>
        <w:tc>
          <w:tcPr>
            <w:tcW w:w="1271" w:type="dxa"/>
            <w:tcBorders>
              <w:left w:val="single" w:sz="4" w:space="0" w:color="auto"/>
              <w:right w:val="single" w:sz="4" w:space="0" w:color="auto"/>
            </w:tcBorders>
          </w:tcPr>
          <w:p w:rsidR="00000000" w:rsidRDefault="00000000">
            <w:pPr>
              <w:ind w:right="227"/>
              <w:jc w:val="right"/>
              <w:rPr>
                <w:snapToGrid w:val="0"/>
              </w:rPr>
            </w:pPr>
            <w:r>
              <w:rPr>
                <w:snapToGrid w:val="0"/>
              </w:rPr>
              <w:t xml:space="preserve">   273</w:t>
            </w:r>
          </w:p>
        </w:tc>
        <w:tc>
          <w:tcPr>
            <w:tcW w:w="1610" w:type="dxa"/>
            <w:tcBorders>
              <w:left w:val="single" w:sz="4" w:space="0" w:color="auto"/>
              <w:right w:val="single" w:sz="4" w:space="0" w:color="auto"/>
            </w:tcBorders>
          </w:tcPr>
          <w:p w:rsidR="00000000" w:rsidRDefault="00000000">
            <w:pPr>
              <w:ind w:right="428"/>
              <w:jc w:val="right"/>
              <w:rPr>
                <w:snapToGrid w:val="0"/>
              </w:rPr>
            </w:pPr>
            <w:r>
              <w:rPr>
                <w:snapToGrid w:val="0"/>
              </w:rPr>
              <w:t xml:space="preserve">   394</w:t>
            </w:r>
          </w:p>
        </w:tc>
      </w:tr>
      <w:tr w:rsidR="00000000">
        <w:tblPrEx>
          <w:tblCellMar>
            <w:top w:w="0" w:type="dxa"/>
            <w:bottom w:w="0" w:type="dxa"/>
          </w:tblCellMar>
        </w:tblPrEx>
        <w:trPr>
          <w:cantSplit/>
          <w:trHeight w:val="192"/>
          <w:jc w:val="center"/>
        </w:trPr>
        <w:tc>
          <w:tcPr>
            <w:tcW w:w="2267" w:type="dxa"/>
            <w:vMerge/>
            <w:tcBorders>
              <w:left w:val="single" w:sz="4" w:space="0" w:color="auto"/>
              <w:right w:val="single" w:sz="4" w:space="0" w:color="auto"/>
            </w:tcBorders>
            <w:vAlign w:val="center"/>
          </w:tcPr>
          <w:p w:rsidR="00000000" w:rsidRDefault="00000000">
            <w:pPr>
              <w:rPr>
                <w:snapToGrid w:val="0"/>
              </w:rPr>
            </w:pPr>
          </w:p>
        </w:tc>
        <w:tc>
          <w:tcPr>
            <w:tcW w:w="993" w:type="dxa"/>
            <w:tcBorders>
              <w:left w:val="single" w:sz="4" w:space="0" w:color="auto"/>
              <w:bottom w:val="single" w:sz="4" w:space="0" w:color="auto"/>
              <w:right w:val="single" w:sz="4" w:space="0" w:color="auto"/>
            </w:tcBorders>
          </w:tcPr>
          <w:p w:rsidR="00000000" w:rsidRDefault="00000000">
            <w:pPr>
              <w:ind w:right="284"/>
              <w:jc w:val="right"/>
              <w:rPr>
                <w:snapToGrid w:val="0"/>
              </w:rPr>
            </w:pPr>
            <w:r>
              <w:rPr>
                <w:snapToGrid w:val="0"/>
              </w:rPr>
              <w:t>1999</w:t>
            </w:r>
          </w:p>
        </w:tc>
        <w:tc>
          <w:tcPr>
            <w:tcW w:w="1139" w:type="dxa"/>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2 271</w:t>
            </w:r>
          </w:p>
        </w:tc>
        <w:tc>
          <w:tcPr>
            <w:tcW w:w="993" w:type="dxa"/>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1 695</w:t>
            </w:r>
          </w:p>
        </w:tc>
        <w:tc>
          <w:tcPr>
            <w:tcW w:w="1271" w:type="dxa"/>
            <w:tcBorders>
              <w:left w:val="single" w:sz="4" w:space="0" w:color="auto"/>
              <w:bottom w:val="single" w:sz="4" w:space="0" w:color="auto"/>
              <w:right w:val="single" w:sz="4" w:space="0" w:color="auto"/>
            </w:tcBorders>
          </w:tcPr>
          <w:p w:rsidR="00000000" w:rsidRDefault="00000000">
            <w:pPr>
              <w:ind w:right="227"/>
              <w:jc w:val="right"/>
              <w:rPr>
                <w:snapToGrid w:val="0"/>
              </w:rPr>
            </w:pPr>
            <w:r>
              <w:rPr>
                <w:snapToGrid w:val="0"/>
              </w:rPr>
              <w:t xml:space="preserve">   201</w:t>
            </w:r>
          </w:p>
        </w:tc>
        <w:tc>
          <w:tcPr>
            <w:tcW w:w="1610" w:type="dxa"/>
            <w:tcBorders>
              <w:left w:val="single" w:sz="4" w:space="0" w:color="auto"/>
              <w:bottom w:val="single" w:sz="4" w:space="0" w:color="auto"/>
              <w:right w:val="single" w:sz="4" w:space="0" w:color="auto"/>
            </w:tcBorders>
          </w:tcPr>
          <w:p w:rsidR="00000000" w:rsidRDefault="00000000">
            <w:pPr>
              <w:ind w:right="428"/>
              <w:jc w:val="right"/>
              <w:rPr>
                <w:snapToGrid w:val="0"/>
              </w:rPr>
            </w:pPr>
            <w:r>
              <w:rPr>
                <w:snapToGrid w:val="0"/>
              </w:rPr>
              <w:t xml:space="preserve">   375</w:t>
            </w:r>
          </w:p>
        </w:tc>
      </w:tr>
      <w:tr w:rsidR="00000000">
        <w:tblPrEx>
          <w:tblCellMar>
            <w:top w:w="0" w:type="dxa"/>
            <w:bottom w:w="0" w:type="dxa"/>
          </w:tblCellMar>
        </w:tblPrEx>
        <w:trPr>
          <w:cantSplit/>
          <w:trHeight w:val="192"/>
          <w:jc w:val="center"/>
        </w:trPr>
        <w:tc>
          <w:tcPr>
            <w:tcW w:w="2267" w:type="dxa"/>
            <w:vMerge w:val="restart"/>
            <w:tcBorders>
              <w:top w:val="single" w:sz="4" w:space="0" w:color="auto"/>
              <w:left w:val="single" w:sz="4" w:space="0" w:color="auto"/>
              <w:right w:val="single" w:sz="4" w:space="0" w:color="auto"/>
            </w:tcBorders>
            <w:vAlign w:val="center"/>
          </w:tcPr>
          <w:p w:rsidR="00000000" w:rsidRDefault="00000000">
            <w:pPr>
              <w:rPr>
                <w:snapToGrid w:val="0"/>
              </w:rPr>
            </w:pPr>
            <w:r>
              <w:rPr>
                <w:snapToGrid w:val="0"/>
              </w:rPr>
              <w:t>Roraima*</w:t>
            </w:r>
          </w:p>
        </w:tc>
        <w:tc>
          <w:tcPr>
            <w:tcW w:w="993" w:type="dxa"/>
            <w:tcBorders>
              <w:top w:val="single" w:sz="4" w:space="0" w:color="auto"/>
              <w:left w:val="single" w:sz="4" w:space="0" w:color="auto"/>
              <w:right w:val="single" w:sz="4" w:space="0" w:color="auto"/>
            </w:tcBorders>
          </w:tcPr>
          <w:p w:rsidR="00000000" w:rsidRDefault="00000000">
            <w:pPr>
              <w:ind w:right="284"/>
              <w:jc w:val="right"/>
              <w:rPr>
                <w:snapToGrid w:val="0"/>
              </w:rPr>
            </w:pPr>
            <w:r>
              <w:rPr>
                <w:snapToGrid w:val="0"/>
              </w:rPr>
              <w:t>1997</w:t>
            </w:r>
          </w:p>
        </w:tc>
        <w:tc>
          <w:tcPr>
            <w:tcW w:w="1139" w:type="dxa"/>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57</w:t>
            </w:r>
          </w:p>
        </w:tc>
        <w:tc>
          <w:tcPr>
            <w:tcW w:w="993" w:type="dxa"/>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45</w:t>
            </w:r>
          </w:p>
        </w:tc>
        <w:tc>
          <w:tcPr>
            <w:tcW w:w="1271" w:type="dxa"/>
            <w:tcBorders>
              <w:top w:val="single" w:sz="4" w:space="0" w:color="auto"/>
              <w:left w:val="single" w:sz="4" w:space="0" w:color="auto"/>
              <w:right w:val="single" w:sz="4" w:space="0" w:color="auto"/>
            </w:tcBorders>
          </w:tcPr>
          <w:p w:rsidR="00000000" w:rsidRDefault="00000000">
            <w:pPr>
              <w:ind w:right="227"/>
              <w:jc w:val="right"/>
              <w:rPr>
                <w:snapToGrid w:val="0"/>
              </w:rPr>
            </w:pPr>
            <w:r>
              <w:rPr>
                <w:snapToGrid w:val="0"/>
              </w:rPr>
              <w:t xml:space="preserve">      9</w:t>
            </w:r>
          </w:p>
        </w:tc>
        <w:tc>
          <w:tcPr>
            <w:tcW w:w="1610" w:type="dxa"/>
            <w:tcBorders>
              <w:top w:val="single" w:sz="4" w:space="0" w:color="auto"/>
              <w:left w:val="single" w:sz="4" w:space="0" w:color="auto"/>
              <w:right w:val="single" w:sz="4" w:space="0" w:color="auto"/>
            </w:tcBorders>
          </w:tcPr>
          <w:p w:rsidR="00000000" w:rsidRDefault="00000000">
            <w:pPr>
              <w:ind w:right="428"/>
              <w:jc w:val="right"/>
              <w:rPr>
                <w:snapToGrid w:val="0"/>
              </w:rPr>
            </w:pPr>
            <w:r>
              <w:rPr>
                <w:snapToGrid w:val="0"/>
              </w:rPr>
              <w:t xml:space="preserve">       3</w:t>
            </w:r>
          </w:p>
        </w:tc>
      </w:tr>
      <w:tr w:rsidR="00000000">
        <w:tblPrEx>
          <w:tblCellMar>
            <w:top w:w="0" w:type="dxa"/>
            <w:bottom w:w="0" w:type="dxa"/>
          </w:tblCellMar>
        </w:tblPrEx>
        <w:trPr>
          <w:cantSplit/>
          <w:trHeight w:val="192"/>
          <w:jc w:val="center"/>
        </w:trPr>
        <w:tc>
          <w:tcPr>
            <w:tcW w:w="2267" w:type="dxa"/>
            <w:vMerge/>
            <w:tcBorders>
              <w:left w:val="single" w:sz="4" w:space="0" w:color="auto"/>
              <w:right w:val="single" w:sz="4" w:space="0" w:color="auto"/>
            </w:tcBorders>
            <w:vAlign w:val="center"/>
          </w:tcPr>
          <w:p w:rsidR="00000000" w:rsidRDefault="00000000">
            <w:pPr>
              <w:rPr>
                <w:snapToGrid w:val="0"/>
              </w:rPr>
            </w:pPr>
          </w:p>
        </w:tc>
        <w:tc>
          <w:tcPr>
            <w:tcW w:w="993" w:type="dxa"/>
            <w:tcBorders>
              <w:left w:val="single" w:sz="4" w:space="0" w:color="auto"/>
              <w:right w:val="single" w:sz="4" w:space="0" w:color="auto"/>
            </w:tcBorders>
          </w:tcPr>
          <w:p w:rsidR="00000000" w:rsidRDefault="00000000">
            <w:pPr>
              <w:ind w:right="284"/>
              <w:jc w:val="right"/>
              <w:rPr>
                <w:snapToGrid w:val="0"/>
              </w:rPr>
            </w:pPr>
            <w:r>
              <w:rPr>
                <w:snapToGrid w:val="0"/>
              </w:rPr>
              <w:t>1998</w:t>
            </w:r>
          </w:p>
        </w:tc>
        <w:tc>
          <w:tcPr>
            <w:tcW w:w="1139" w:type="dxa"/>
            <w:tcBorders>
              <w:left w:val="single" w:sz="4" w:space="0" w:color="auto"/>
              <w:right w:val="single" w:sz="4" w:space="0" w:color="auto"/>
            </w:tcBorders>
          </w:tcPr>
          <w:p w:rsidR="00000000" w:rsidRDefault="00000000">
            <w:pPr>
              <w:ind w:right="113"/>
              <w:jc w:val="right"/>
              <w:rPr>
                <w:snapToGrid w:val="0"/>
              </w:rPr>
            </w:pPr>
            <w:r>
              <w:rPr>
                <w:snapToGrid w:val="0"/>
              </w:rPr>
              <w:t xml:space="preserve">     73</w:t>
            </w:r>
          </w:p>
        </w:tc>
        <w:tc>
          <w:tcPr>
            <w:tcW w:w="993" w:type="dxa"/>
            <w:tcBorders>
              <w:left w:val="single" w:sz="4" w:space="0" w:color="auto"/>
              <w:right w:val="single" w:sz="4" w:space="0" w:color="auto"/>
            </w:tcBorders>
          </w:tcPr>
          <w:p w:rsidR="00000000" w:rsidRDefault="00000000">
            <w:pPr>
              <w:ind w:right="113"/>
              <w:jc w:val="right"/>
              <w:rPr>
                <w:snapToGrid w:val="0"/>
              </w:rPr>
            </w:pPr>
            <w:r>
              <w:rPr>
                <w:snapToGrid w:val="0"/>
              </w:rPr>
              <w:t xml:space="preserve">      58</w:t>
            </w:r>
          </w:p>
        </w:tc>
        <w:tc>
          <w:tcPr>
            <w:tcW w:w="1271" w:type="dxa"/>
            <w:tcBorders>
              <w:left w:val="single" w:sz="4" w:space="0" w:color="auto"/>
              <w:right w:val="single" w:sz="4" w:space="0" w:color="auto"/>
            </w:tcBorders>
          </w:tcPr>
          <w:p w:rsidR="00000000" w:rsidRDefault="00000000">
            <w:pPr>
              <w:ind w:right="227"/>
              <w:jc w:val="right"/>
              <w:rPr>
                <w:snapToGrid w:val="0"/>
              </w:rPr>
            </w:pPr>
            <w:r>
              <w:rPr>
                <w:snapToGrid w:val="0"/>
              </w:rPr>
              <w:t xml:space="preserve">    15</w:t>
            </w:r>
          </w:p>
        </w:tc>
        <w:tc>
          <w:tcPr>
            <w:tcW w:w="1610" w:type="dxa"/>
            <w:tcBorders>
              <w:left w:val="single" w:sz="4" w:space="0" w:color="auto"/>
              <w:right w:val="single" w:sz="4" w:space="0" w:color="auto"/>
            </w:tcBorders>
          </w:tcPr>
          <w:p w:rsidR="00000000" w:rsidRDefault="00000000">
            <w:pPr>
              <w:ind w:right="428"/>
              <w:jc w:val="right"/>
              <w:rPr>
                <w:snapToGrid w:val="0"/>
              </w:rPr>
            </w:pPr>
            <w:r>
              <w:rPr>
                <w:snapToGrid w:val="0"/>
              </w:rPr>
              <w:noBreakHyphen/>
            </w:r>
          </w:p>
        </w:tc>
      </w:tr>
      <w:tr w:rsidR="00000000">
        <w:tblPrEx>
          <w:tblCellMar>
            <w:top w:w="0" w:type="dxa"/>
            <w:bottom w:w="0" w:type="dxa"/>
          </w:tblCellMar>
        </w:tblPrEx>
        <w:trPr>
          <w:cantSplit/>
          <w:trHeight w:val="192"/>
          <w:jc w:val="center"/>
        </w:trPr>
        <w:tc>
          <w:tcPr>
            <w:tcW w:w="2267" w:type="dxa"/>
            <w:vMerge/>
            <w:tcBorders>
              <w:left w:val="single" w:sz="4" w:space="0" w:color="auto"/>
              <w:right w:val="single" w:sz="4" w:space="0" w:color="auto"/>
            </w:tcBorders>
            <w:vAlign w:val="center"/>
          </w:tcPr>
          <w:p w:rsidR="00000000" w:rsidRDefault="00000000">
            <w:pPr>
              <w:rPr>
                <w:snapToGrid w:val="0"/>
              </w:rPr>
            </w:pPr>
          </w:p>
        </w:tc>
        <w:tc>
          <w:tcPr>
            <w:tcW w:w="993" w:type="dxa"/>
            <w:tcBorders>
              <w:left w:val="single" w:sz="4" w:space="0" w:color="auto"/>
              <w:bottom w:val="single" w:sz="4" w:space="0" w:color="auto"/>
              <w:right w:val="single" w:sz="4" w:space="0" w:color="auto"/>
            </w:tcBorders>
          </w:tcPr>
          <w:p w:rsidR="00000000" w:rsidRDefault="00000000">
            <w:pPr>
              <w:ind w:right="284"/>
              <w:jc w:val="right"/>
              <w:rPr>
                <w:snapToGrid w:val="0"/>
              </w:rPr>
            </w:pPr>
            <w:r>
              <w:rPr>
                <w:snapToGrid w:val="0"/>
              </w:rPr>
              <w:t>1999</w:t>
            </w:r>
          </w:p>
        </w:tc>
        <w:tc>
          <w:tcPr>
            <w:tcW w:w="1139" w:type="dxa"/>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81</w:t>
            </w:r>
          </w:p>
        </w:tc>
        <w:tc>
          <w:tcPr>
            <w:tcW w:w="993" w:type="dxa"/>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60</w:t>
            </w:r>
          </w:p>
        </w:tc>
        <w:tc>
          <w:tcPr>
            <w:tcW w:w="1271" w:type="dxa"/>
            <w:tcBorders>
              <w:left w:val="single" w:sz="4" w:space="0" w:color="auto"/>
              <w:bottom w:val="single" w:sz="4" w:space="0" w:color="auto"/>
              <w:right w:val="single" w:sz="4" w:space="0" w:color="auto"/>
            </w:tcBorders>
          </w:tcPr>
          <w:p w:rsidR="00000000" w:rsidRDefault="00000000">
            <w:pPr>
              <w:ind w:right="227"/>
              <w:jc w:val="right"/>
              <w:rPr>
                <w:snapToGrid w:val="0"/>
              </w:rPr>
            </w:pPr>
            <w:r>
              <w:rPr>
                <w:snapToGrid w:val="0"/>
              </w:rPr>
              <w:t xml:space="preserve">    18</w:t>
            </w:r>
          </w:p>
        </w:tc>
        <w:tc>
          <w:tcPr>
            <w:tcW w:w="1610" w:type="dxa"/>
            <w:tcBorders>
              <w:left w:val="single" w:sz="4" w:space="0" w:color="auto"/>
              <w:bottom w:val="single" w:sz="4" w:space="0" w:color="auto"/>
              <w:right w:val="single" w:sz="4" w:space="0" w:color="auto"/>
            </w:tcBorders>
          </w:tcPr>
          <w:p w:rsidR="00000000" w:rsidRDefault="00000000">
            <w:pPr>
              <w:ind w:right="428"/>
              <w:jc w:val="right"/>
              <w:rPr>
                <w:snapToGrid w:val="0"/>
              </w:rPr>
            </w:pPr>
            <w:r>
              <w:rPr>
                <w:snapToGrid w:val="0"/>
              </w:rPr>
              <w:t xml:space="preserve">     3</w:t>
            </w:r>
          </w:p>
        </w:tc>
      </w:tr>
      <w:tr w:rsidR="00000000">
        <w:tblPrEx>
          <w:tblCellMar>
            <w:top w:w="0" w:type="dxa"/>
            <w:bottom w:w="0" w:type="dxa"/>
          </w:tblCellMar>
        </w:tblPrEx>
        <w:trPr>
          <w:cantSplit/>
          <w:trHeight w:val="192"/>
          <w:jc w:val="center"/>
        </w:trPr>
        <w:tc>
          <w:tcPr>
            <w:tcW w:w="2267" w:type="dxa"/>
            <w:vMerge w:val="restart"/>
            <w:tcBorders>
              <w:top w:val="single" w:sz="4" w:space="0" w:color="auto"/>
              <w:left w:val="single" w:sz="4" w:space="0" w:color="auto"/>
              <w:right w:val="single" w:sz="4" w:space="0" w:color="auto"/>
            </w:tcBorders>
            <w:vAlign w:val="center"/>
          </w:tcPr>
          <w:p w:rsidR="00000000" w:rsidRDefault="00000000">
            <w:pPr>
              <w:rPr>
                <w:snapToGrid w:val="0"/>
              </w:rPr>
            </w:pPr>
            <w:r>
              <w:rPr>
                <w:snapToGrid w:val="0"/>
              </w:rPr>
              <w:t>Pará</w:t>
            </w:r>
          </w:p>
        </w:tc>
        <w:tc>
          <w:tcPr>
            <w:tcW w:w="993" w:type="dxa"/>
            <w:tcBorders>
              <w:top w:val="single" w:sz="4" w:space="0" w:color="auto"/>
              <w:left w:val="single" w:sz="4" w:space="0" w:color="auto"/>
              <w:right w:val="single" w:sz="4" w:space="0" w:color="auto"/>
            </w:tcBorders>
          </w:tcPr>
          <w:p w:rsidR="00000000" w:rsidRDefault="00000000">
            <w:pPr>
              <w:ind w:right="284"/>
              <w:jc w:val="right"/>
              <w:rPr>
                <w:snapToGrid w:val="0"/>
              </w:rPr>
            </w:pPr>
            <w:r>
              <w:rPr>
                <w:snapToGrid w:val="0"/>
              </w:rPr>
              <w:t>1997</w:t>
            </w:r>
          </w:p>
        </w:tc>
        <w:tc>
          <w:tcPr>
            <w:tcW w:w="1139" w:type="dxa"/>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3 312</w:t>
            </w:r>
          </w:p>
        </w:tc>
        <w:tc>
          <w:tcPr>
            <w:tcW w:w="993" w:type="dxa"/>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2 829</w:t>
            </w:r>
          </w:p>
        </w:tc>
        <w:tc>
          <w:tcPr>
            <w:tcW w:w="1271" w:type="dxa"/>
            <w:tcBorders>
              <w:top w:val="single" w:sz="4" w:space="0" w:color="auto"/>
              <w:left w:val="single" w:sz="4" w:space="0" w:color="auto"/>
              <w:right w:val="single" w:sz="4" w:space="0" w:color="auto"/>
            </w:tcBorders>
          </w:tcPr>
          <w:p w:rsidR="00000000" w:rsidRDefault="00000000">
            <w:pPr>
              <w:ind w:right="227"/>
              <w:jc w:val="right"/>
              <w:rPr>
                <w:snapToGrid w:val="0"/>
              </w:rPr>
            </w:pPr>
            <w:r>
              <w:rPr>
                <w:snapToGrid w:val="0"/>
              </w:rPr>
              <w:t xml:space="preserve">   318</w:t>
            </w:r>
          </w:p>
        </w:tc>
        <w:tc>
          <w:tcPr>
            <w:tcW w:w="1610" w:type="dxa"/>
            <w:tcBorders>
              <w:top w:val="single" w:sz="4" w:space="0" w:color="auto"/>
              <w:left w:val="single" w:sz="4" w:space="0" w:color="auto"/>
              <w:right w:val="single" w:sz="4" w:space="0" w:color="auto"/>
            </w:tcBorders>
          </w:tcPr>
          <w:p w:rsidR="00000000" w:rsidRDefault="00000000">
            <w:pPr>
              <w:ind w:right="428"/>
              <w:jc w:val="right"/>
              <w:rPr>
                <w:snapToGrid w:val="0"/>
              </w:rPr>
            </w:pPr>
            <w:r>
              <w:rPr>
                <w:snapToGrid w:val="0"/>
              </w:rPr>
              <w:t xml:space="preserve">   165</w:t>
            </w:r>
          </w:p>
        </w:tc>
      </w:tr>
      <w:tr w:rsidR="00000000">
        <w:tblPrEx>
          <w:tblCellMar>
            <w:top w:w="0" w:type="dxa"/>
            <w:bottom w:w="0" w:type="dxa"/>
          </w:tblCellMar>
        </w:tblPrEx>
        <w:trPr>
          <w:cantSplit/>
          <w:trHeight w:val="192"/>
          <w:jc w:val="center"/>
        </w:trPr>
        <w:tc>
          <w:tcPr>
            <w:tcW w:w="2267" w:type="dxa"/>
            <w:vMerge/>
            <w:tcBorders>
              <w:left w:val="single" w:sz="4" w:space="0" w:color="auto"/>
              <w:right w:val="single" w:sz="4" w:space="0" w:color="auto"/>
            </w:tcBorders>
            <w:vAlign w:val="center"/>
          </w:tcPr>
          <w:p w:rsidR="00000000" w:rsidRDefault="00000000">
            <w:pPr>
              <w:rPr>
                <w:snapToGrid w:val="0"/>
              </w:rPr>
            </w:pPr>
          </w:p>
        </w:tc>
        <w:tc>
          <w:tcPr>
            <w:tcW w:w="993" w:type="dxa"/>
            <w:tcBorders>
              <w:left w:val="single" w:sz="4" w:space="0" w:color="auto"/>
              <w:right w:val="single" w:sz="4" w:space="0" w:color="auto"/>
            </w:tcBorders>
          </w:tcPr>
          <w:p w:rsidR="00000000" w:rsidRDefault="00000000">
            <w:pPr>
              <w:ind w:right="284"/>
              <w:jc w:val="right"/>
              <w:rPr>
                <w:snapToGrid w:val="0"/>
              </w:rPr>
            </w:pPr>
            <w:r>
              <w:rPr>
                <w:snapToGrid w:val="0"/>
              </w:rPr>
              <w:t>1998</w:t>
            </w:r>
          </w:p>
        </w:tc>
        <w:tc>
          <w:tcPr>
            <w:tcW w:w="1139" w:type="dxa"/>
            <w:tcBorders>
              <w:left w:val="single" w:sz="4" w:space="0" w:color="auto"/>
              <w:right w:val="single" w:sz="4" w:space="0" w:color="auto"/>
            </w:tcBorders>
          </w:tcPr>
          <w:p w:rsidR="00000000" w:rsidRDefault="00000000">
            <w:pPr>
              <w:ind w:right="113"/>
              <w:jc w:val="right"/>
              <w:rPr>
                <w:snapToGrid w:val="0"/>
              </w:rPr>
            </w:pPr>
            <w:r>
              <w:rPr>
                <w:snapToGrid w:val="0"/>
              </w:rPr>
              <w:t xml:space="preserve">  3 860</w:t>
            </w:r>
          </w:p>
        </w:tc>
        <w:tc>
          <w:tcPr>
            <w:tcW w:w="993" w:type="dxa"/>
            <w:tcBorders>
              <w:left w:val="single" w:sz="4" w:space="0" w:color="auto"/>
              <w:right w:val="single" w:sz="4" w:space="0" w:color="auto"/>
            </w:tcBorders>
          </w:tcPr>
          <w:p w:rsidR="00000000" w:rsidRDefault="00000000">
            <w:pPr>
              <w:ind w:right="113"/>
              <w:jc w:val="right"/>
              <w:rPr>
                <w:snapToGrid w:val="0"/>
              </w:rPr>
            </w:pPr>
            <w:r>
              <w:rPr>
                <w:snapToGrid w:val="0"/>
              </w:rPr>
              <w:t xml:space="preserve">  3 193</w:t>
            </w:r>
          </w:p>
        </w:tc>
        <w:tc>
          <w:tcPr>
            <w:tcW w:w="1271" w:type="dxa"/>
            <w:tcBorders>
              <w:left w:val="single" w:sz="4" w:space="0" w:color="auto"/>
              <w:right w:val="single" w:sz="4" w:space="0" w:color="auto"/>
            </w:tcBorders>
          </w:tcPr>
          <w:p w:rsidR="00000000" w:rsidRDefault="00000000">
            <w:pPr>
              <w:ind w:right="227"/>
              <w:jc w:val="right"/>
              <w:rPr>
                <w:snapToGrid w:val="0"/>
              </w:rPr>
            </w:pPr>
            <w:r>
              <w:rPr>
                <w:snapToGrid w:val="0"/>
              </w:rPr>
              <w:t xml:space="preserve">   350</w:t>
            </w:r>
          </w:p>
        </w:tc>
        <w:tc>
          <w:tcPr>
            <w:tcW w:w="1610" w:type="dxa"/>
            <w:tcBorders>
              <w:left w:val="single" w:sz="4" w:space="0" w:color="auto"/>
              <w:right w:val="single" w:sz="4" w:space="0" w:color="auto"/>
            </w:tcBorders>
          </w:tcPr>
          <w:p w:rsidR="00000000" w:rsidRDefault="00000000">
            <w:pPr>
              <w:ind w:right="428"/>
              <w:jc w:val="right"/>
              <w:rPr>
                <w:snapToGrid w:val="0"/>
              </w:rPr>
            </w:pPr>
            <w:r>
              <w:rPr>
                <w:snapToGrid w:val="0"/>
              </w:rPr>
              <w:t xml:space="preserve">   317</w:t>
            </w:r>
          </w:p>
        </w:tc>
      </w:tr>
      <w:tr w:rsidR="00000000">
        <w:tblPrEx>
          <w:tblCellMar>
            <w:top w:w="0" w:type="dxa"/>
            <w:bottom w:w="0" w:type="dxa"/>
          </w:tblCellMar>
        </w:tblPrEx>
        <w:trPr>
          <w:cantSplit/>
          <w:trHeight w:val="192"/>
          <w:jc w:val="center"/>
        </w:trPr>
        <w:tc>
          <w:tcPr>
            <w:tcW w:w="2267" w:type="dxa"/>
            <w:vMerge/>
            <w:tcBorders>
              <w:left w:val="single" w:sz="4" w:space="0" w:color="auto"/>
              <w:right w:val="single" w:sz="4" w:space="0" w:color="auto"/>
            </w:tcBorders>
            <w:vAlign w:val="center"/>
          </w:tcPr>
          <w:p w:rsidR="00000000" w:rsidRDefault="00000000">
            <w:pPr>
              <w:rPr>
                <w:snapToGrid w:val="0"/>
              </w:rPr>
            </w:pPr>
          </w:p>
        </w:tc>
        <w:tc>
          <w:tcPr>
            <w:tcW w:w="993" w:type="dxa"/>
            <w:tcBorders>
              <w:left w:val="single" w:sz="4" w:space="0" w:color="auto"/>
              <w:bottom w:val="single" w:sz="4" w:space="0" w:color="auto"/>
              <w:right w:val="single" w:sz="4" w:space="0" w:color="auto"/>
            </w:tcBorders>
          </w:tcPr>
          <w:p w:rsidR="00000000" w:rsidRDefault="00000000">
            <w:pPr>
              <w:ind w:right="284"/>
              <w:jc w:val="right"/>
              <w:rPr>
                <w:snapToGrid w:val="0"/>
              </w:rPr>
            </w:pPr>
            <w:r>
              <w:rPr>
                <w:snapToGrid w:val="0"/>
              </w:rPr>
              <w:t>1999</w:t>
            </w:r>
          </w:p>
        </w:tc>
        <w:tc>
          <w:tcPr>
            <w:tcW w:w="1139" w:type="dxa"/>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4 023</w:t>
            </w:r>
          </w:p>
        </w:tc>
        <w:tc>
          <w:tcPr>
            <w:tcW w:w="993" w:type="dxa"/>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3 475</w:t>
            </w:r>
          </w:p>
        </w:tc>
        <w:tc>
          <w:tcPr>
            <w:tcW w:w="1271" w:type="dxa"/>
            <w:tcBorders>
              <w:left w:val="single" w:sz="4" w:space="0" w:color="auto"/>
              <w:bottom w:val="single" w:sz="4" w:space="0" w:color="auto"/>
              <w:right w:val="single" w:sz="4" w:space="0" w:color="auto"/>
            </w:tcBorders>
          </w:tcPr>
          <w:p w:rsidR="00000000" w:rsidRDefault="00000000">
            <w:pPr>
              <w:ind w:right="227"/>
              <w:jc w:val="right"/>
              <w:rPr>
                <w:snapToGrid w:val="0"/>
              </w:rPr>
            </w:pPr>
            <w:r>
              <w:rPr>
                <w:snapToGrid w:val="0"/>
              </w:rPr>
              <w:t xml:space="preserve">   384</w:t>
            </w:r>
          </w:p>
        </w:tc>
        <w:tc>
          <w:tcPr>
            <w:tcW w:w="1610" w:type="dxa"/>
            <w:tcBorders>
              <w:left w:val="single" w:sz="4" w:space="0" w:color="auto"/>
              <w:bottom w:val="single" w:sz="4" w:space="0" w:color="auto"/>
              <w:right w:val="single" w:sz="4" w:space="0" w:color="auto"/>
            </w:tcBorders>
          </w:tcPr>
          <w:p w:rsidR="00000000" w:rsidRDefault="00000000">
            <w:pPr>
              <w:ind w:right="428"/>
              <w:jc w:val="right"/>
              <w:rPr>
                <w:snapToGrid w:val="0"/>
              </w:rPr>
            </w:pPr>
            <w:r>
              <w:rPr>
                <w:snapToGrid w:val="0"/>
              </w:rPr>
              <w:t xml:space="preserve">   164</w:t>
            </w:r>
          </w:p>
        </w:tc>
      </w:tr>
      <w:tr w:rsidR="00000000">
        <w:tblPrEx>
          <w:tblCellMar>
            <w:top w:w="0" w:type="dxa"/>
            <w:bottom w:w="0" w:type="dxa"/>
          </w:tblCellMar>
        </w:tblPrEx>
        <w:trPr>
          <w:cantSplit/>
          <w:trHeight w:val="192"/>
          <w:jc w:val="center"/>
        </w:trPr>
        <w:tc>
          <w:tcPr>
            <w:tcW w:w="2267" w:type="dxa"/>
            <w:vMerge w:val="restart"/>
            <w:tcBorders>
              <w:top w:val="single" w:sz="4" w:space="0" w:color="auto"/>
              <w:left w:val="single" w:sz="4" w:space="0" w:color="auto"/>
              <w:right w:val="single" w:sz="4" w:space="0" w:color="auto"/>
            </w:tcBorders>
            <w:vAlign w:val="center"/>
          </w:tcPr>
          <w:p w:rsidR="00000000" w:rsidRDefault="00000000">
            <w:pPr>
              <w:rPr>
                <w:snapToGrid w:val="0"/>
              </w:rPr>
            </w:pPr>
            <w:r>
              <w:rPr>
                <w:snapToGrid w:val="0"/>
              </w:rPr>
              <w:t>Amapá</w:t>
            </w:r>
          </w:p>
        </w:tc>
        <w:tc>
          <w:tcPr>
            <w:tcW w:w="993" w:type="dxa"/>
            <w:tcBorders>
              <w:top w:val="single" w:sz="4" w:space="0" w:color="auto"/>
              <w:left w:val="single" w:sz="4" w:space="0" w:color="auto"/>
              <w:right w:val="single" w:sz="4" w:space="0" w:color="auto"/>
            </w:tcBorders>
          </w:tcPr>
          <w:p w:rsidR="00000000" w:rsidRDefault="00000000">
            <w:pPr>
              <w:ind w:right="284"/>
              <w:jc w:val="right"/>
              <w:rPr>
                <w:snapToGrid w:val="0"/>
              </w:rPr>
            </w:pPr>
            <w:r>
              <w:rPr>
                <w:snapToGrid w:val="0"/>
              </w:rPr>
              <w:t>1997</w:t>
            </w:r>
          </w:p>
        </w:tc>
        <w:tc>
          <w:tcPr>
            <w:tcW w:w="1139" w:type="dxa"/>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183</w:t>
            </w:r>
          </w:p>
        </w:tc>
        <w:tc>
          <w:tcPr>
            <w:tcW w:w="993" w:type="dxa"/>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138</w:t>
            </w:r>
          </w:p>
        </w:tc>
        <w:tc>
          <w:tcPr>
            <w:tcW w:w="1271" w:type="dxa"/>
            <w:tcBorders>
              <w:top w:val="single" w:sz="4" w:space="0" w:color="auto"/>
              <w:left w:val="single" w:sz="4" w:space="0" w:color="auto"/>
              <w:right w:val="single" w:sz="4" w:space="0" w:color="auto"/>
            </w:tcBorders>
          </w:tcPr>
          <w:p w:rsidR="00000000" w:rsidRDefault="00000000">
            <w:pPr>
              <w:ind w:right="227"/>
              <w:jc w:val="right"/>
              <w:rPr>
                <w:snapToGrid w:val="0"/>
              </w:rPr>
            </w:pPr>
            <w:r>
              <w:rPr>
                <w:snapToGrid w:val="0"/>
              </w:rPr>
              <w:t xml:space="preserve">    44</w:t>
            </w:r>
          </w:p>
        </w:tc>
        <w:tc>
          <w:tcPr>
            <w:tcW w:w="1610" w:type="dxa"/>
            <w:tcBorders>
              <w:top w:val="single" w:sz="4" w:space="0" w:color="auto"/>
              <w:left w:val="single" w:sz="4" w:space="0" w:color="auto"/>
              <w:right w:val="single" w:sz="4" w:space="0" w:color="auto"/>
            </w:tcBorders>
          </w:tcPr>
          <w:p w:rsidR="00000000" w:rsidRDefault="00000000">
            <w:pPr>
              <w:ind w:right="428"/>
              <w:jc w:val="right"/>
              <w:rPr>
                <w:snapToGrid w:val="0"/>
              </w:rPr>
            </w:pPr>
            <w:r>
              <w:rPr>
                <w:snapToGrid w:val="0"/>
              </w:rPr>
              <w:t xml:space="preserve">      1</w:t>
            </w:r>
          </w:p>
        </w:tc>
      </w:tr>
      <w:tr w:rsidR="00000000">
        <w:tblPrEx>
          <w:tblCellMar>
            <w:top w:w="0" w:type="dxa"/>
            <w:bottom w:w="0" w:type="dxa"/>
          </w:tblCellMar>
        </w:tblPrEx>
        <w:trPr>
          <w:cantSplit/>
          <w:trHeight w:val="192"/>
          <w:jc w:val="center"/>
        </w:trPr>
        <w:tc>
          <w:tcPr>
            <w:tcW w:w="2267" w:type="dxa"/>
            <w:vMerge/>
            <w:tcBorders>
              <w:left w:val="single" w:sz="4" w:space="0" w:color="auto"/>
              <w:right w:val="single" w:sz="4" w:space="0" w:color="auto"/>
            </w:tcBorders>
            <w:vAlign w:val="center"/>
          </w:tcPr>
          <w:p w:rsidR="00000000" w:rsidRDefault="00000000">
            <w:pPr>
              <w:rPr>
                <w:snapToGrid w:val="0"/>
              </w:rPr>
            </w:pPr>
          </w:p>
        </w:tc>
        <w:tc>
          <w:tcPr>
            <w:tcW w:w="993" w:type="dxa"/>
            <w:tcBorders>
              <w:left w:val="single" w:sz="4" w:space="0" w:color="auto"/>
              <w:right w:val="single" w:sz="4" w:space="0" w:color="auto"/>
            </w:tcBorders>
          </w:tcPr>
          <w:p w:rsidR="00000000" w:rsidRDefault="00000000">
            <w:pPr>
              <w:ind w:right="284"/>
              <w:jc w:val="right"/>
              <w:rPr>
                <w:snapToGrid w:val="0"/>
              </w:rPr>
            </w:pPr>
            <w:r>
              <w:rPr>
                <w:snapToGrid w:val="0"/>
              </w:rPr>
              <w:t>1998</w:t>
            </w:r>
          </w:p>
        </w:tc>
        <w:tc>
          <w:tcPr>
            <w:tcW w:w="1139" w:type="dxa"/>
            <w:tcBorders>
              <w:left w:val="single" w:sz="4" w:space="0" w:color="auto"/>
              <w:right w:val="single" w:sz="4" w:space="0" w:color="auto"/>
            </w:tcBorders>
          </w:tcPr>
          <w:p w:rsidR="00000000" w:rsidRDefault="00000000">
            <w:pPr>
              <w:ind w:right="113"/>
              <w:jc w:val="right"/>
              <w:rPr>
                <w:snapToGrid w:val="0"/>
              </w:rPr>
            </w:pPr>
            <w:r>
              <w:rPr>
                <w:snapToGrid w:val="0"/>
              </w:rPr>
              <w:t xml:space="preserve">   199</w:t>
            </w:r>
          </w:p>
        </w:tc>
        <w:tc>
          <w:tcPr>
            <w:tcW w:w="993" w:type="dxa"/>
            <w:tcBorders>
              <w:left w:val="single" w:sz="4" w:space="0" w:color="auto"/>
              <w:right w:val="single" w:sz="4" w:space="0" w:color="auto"/>
            </w:tcBorders>
          </w:tcPr>
          <w:p w:rsidR="00000000" w:rsidRDefault="00000000">
            <w:pPr>
              <w:ind w:right="113"/>
              <w:jc w:val="right"/>
              <w:rPr>
                <w:snapToGrid w:val="0"/>
              </w:rPr>
            </w:pPr>
            <w:r>
              <w:rPr>
                <w:snapToGrid w:val="0"/>
              </w:rPr>
              <w:t xml:space="preserve">    146</w:t>
            </w:r>
          </w:p>
        </w:tc>
        <w:tc>
          <w:tcPr>
            <w:tcW w:w="1271" w:type="dxa"/>
            <w:tcBorders>
              <w:left w:val="single" w:sz="4" w:space="0" w:color="auto"/>
              <w:right w:val="single" w:sz="4" w:space="0" w:color="auto"/>
            </w:tcBorders>
          </w:tcPr>
          <w:p w:rsidR="00000000" w:rsidRDefault="00000000">
            <w:pPr>
              <w:ind w:right="227"/>
              <w:jc w:val="right"/>
              <w:rPr>
                <w:snapToGrid w:val="0"/>
              </w:rPr>
            </w:pPr>
            <w:r>
              <w:rPr>
                <w:snapToGrid w:val="0"/>
              </w:rPr>
              <w:t xml:space="preserve">    51</w:t>
            </w:r>
          </w:p>
        </w:tc>
        <w:tc>
          <w:tcPr>
            <w:tcW w:w="1610" w:type="dxa"/>
            <w:tcBorders>
              <w:left w:val="single" w:sz="4" w:space="0" w:color="auto"/>
              <w:right w:val="single" w:sz="4" w:space="0" w:color="auto"/>
            </w:tcBorders>
          </w:tcPr>
          <w:p w:rsidR="00000000" w:rsidRDefault="00000000">
            <w:pPr>
              <w:ind w:right="428"/>
              <w:jc w:val="right"/>
              <w:rPr>
                <w:snapToGrid w:val="0"/>
              </w:rPr>
            </w:pPr>
            <w:r>
              <w:rPr>
                <w:snapToGrid w:val="0"/>
              </w:rPr>
              <w:t xml:space="preserve">     2</w:t>
            </w:r>
          </w:p>
        </w:tc>
      </w:tr>
      <w:tr w:rsidR="00000000">
        <w:tblPrEx>
          <w:tblCellMar>
            <w:top w:w="0" w:type="dxa"/>
            <w:bottom w:w="0" w:type="dxa"/>
          </w:tblCellMar>
        </w:tblPrEx>
        <w:trPr>
          <w:cantSplit/>
          <w:trHeight w:val="192"/>
          <w:jc w:val="center"/>
        </w:trPr>
        <w:tc>
          <w:tcPr>
            <w:tcW w:w="2267" w:type="dxa"/>
            <w:vMerge/>
            <w:tcBorders>
              <w:left w:val="single" w:sz="4" w:space="0" w:color="auto"/>
              <w:right w:val="single" w:sz="4" w:space="0" w:color="auto"/>
            </w:tcBorders>
            <w:vAlign w:val="center"/>
          </w:tcPr>
          <w:p w:rsidR="00000000" w:rsidRDefault="00000000">
            <w:pPr>
              <w:rPr>
                <w:snapToGrid w:val="0"/>
              </w:rPr>
            </w:pPr>
          </w:p>
        </w:tc>
        <w:tc>
          <w:tcPr>
            <w:tcW w:w="993" w:type="dxa"/>
            <w:tcBorders>
              <w:left w:val="single" w:sz="4" w:space="0" w:color="auto"/>
              <w:bottom w:val="single" w:sz="4" w:space="0" w:color="auto"/>
              <w:right w:val="single" w:sz="4" w:space="0" w:color="auto"/>
            </w:tcBorders>
          </w:tcPr>
          <w:p w:rsidR="00000000" w:rsidRDefault="00000000">
            <w:pPr>
              <w:ind w:right="284"/>
              <w:jc w:val="right"/>
              <w:rPr>
                <w:snapToGrid w:val="0"/>
              </w:rPr>
            </w:pPr>
            <w:r>
              <w:rPr>
                <w:snapToGrid w:val="0"/>
              </w:rPr>
              <w:t>1999</w:t>
            </w:r>
          </w:p>
        </w:tc>
        <w:tc>
          <w:tcPr>
            <w:tcW w:w="1139" w:type="dxa"/>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200</w:t>
            </w:r>
          </w:p>
        </w:tc>
        <w:tc>
          <w:tcPr>
            <w:tcW w:w="993" w:type="dxa"/>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149</w:t>
            </w:r>
          </w:p>
        </w:tc>
        <w:tc>
          <w:tcPr>
            <w:tcW w:w="1271" w:type="dxa"/>
            <w:tcBorders>
              <w:left w:val="single" w:sz="4" w:space="0" w:color="auto"/>
              <w:bottom w:val="single" w:sz="4" w:space="0" w:color="auto"/>
              <w:right w:val="single" w:sz="4" w:space="0" w:color="auto"/>
            </w:tcBorders>
          </w:tcPr>
          <w:p w:rsidR="00000000" w:rsidRDefault="00000000">
            <w:pPr>
              <w:ind w:right="227"/>
              <w:jc w:val="right"/>
              <w:rPr>
                <w:snapToGrid w:val="0"/>
              </w:rPr>
            </w:pPr>
            <w:r>
              <w:rPr>
                <w:snapToGrid w:val="0"/>
              </w:rPr>
              <w:t xml:space="preserve">    51</w:t>
            </w:r>
          </w:p>
        </w:tc>
        <w:tc>
          <w:tcPr>
            <w:tcW w:w="1610" w:type="dxa"/>
            <w:tcBorders>
              <w:left w:val="single" w:sz="4" w:space="0" w:color="auto"/>
              <w:bottom w:val="single" w:sz="4" w:space="0" w:color="auto"/>
              <w:right w:val="single" w:sz="4" w:space="0" w:color="auto"/>
            </w:tcBorders>
          </w:tcPr>
          <w:p w:rsidR="00000000" w:rsidRDefault="00000000">
            <w:pPr>
              <w:ind w:right="428"/>
              <w:jc w:val="right"/>
              <w:rPr>
                <w:snapToGrid w:val="0"/>
              </w:rPr>
            </w:pPr>
            <w:r>
              <w:rPr>
                <w:snapToGrid w:val="0"/>
              </w:rPr>
              <w:noBreakHyphen/>
            </w:r>
          </w:p>
        </w:tc>
      </w:tr>
      <w:tr w:rsidR="00000000">
        <w:tblPrEx>
          <w:tblCellMar>
            <w:top w:w="0" w:type="dxa"/>
            <w:bottom w:w="0" w:type="dxa"/>
          </w:tblCellMar>
        </w:tblPrEx>
        <w:trPr>
          <w:cantSplit/>
          <w:trHeight w:val="192"/>
          <w:jc w:val="center"/>
        </w:trPr>
        <w:tc>
          <w:tcPr>
            <w:tcW w:w="2267" w:type="dxa"/>
            <w:vMerge w:val="restart"/>
            <w:tcBorders>
              <w:top w:val="single" w:sz="4" w:space="0" w:color="auto"/>
              <w:left w:val="single" w:sz="4" w:space="0" w:color="auto"/>
              <w:right w:val="single" w:sz="4" w:space="0" w:color="auto"/>
            </w:tcBorders>
            <w:vAlign w:val="center"/>
          </w:tcPr>
          <w:p w:rsidR="00000000" w:rsidRDefault="00000000">
            <w:pPr>
              <w:rPr>
                <w:snapToGrid w:val="0"/>
              </w:rPr>
            </w:pPr>
            <w:r>
              <w:rPr>
                <w:snapToGrid w:val="0"/>
              </w:rPr>
              <w:t>Tocantins</w:t>
            </w:r>
          </w:p>
        </w:tc>
        <w:tc>
          <w:tcPr>
            <w:tcW w:w="993" w:type="dxa"/>
            <w:tcBorders>
              <w:top w:val="single" w:sz="4" w:space="0" w:color="auto"/>
              <w:left w:val="single" w:sz="4" w:space="0" w:color="auto"/>
              <w:right w:val="single" w:sz="4" w:space="0" w:color="auto"/>
            </w:tcBorders>
          </w:tcPr>
          <w:p w:rsidR="00000000" w:rsidRDefault="00000000">
            <w:pPr>
              <w:ind w:right="284"/>
              <w:jc w:val="right"/>
              <w:rPr>
                <w:snapToGrid w:val="0"/>
              </w:rPr>
            </w:pPr>
            <w:r>
              <w:rPr>
                <w:snapToGrid w:val="0"/>
              </w:rPr>
              <w:t>1997</w:t>
            </w:r>
          </w:p>
        </w:tc>
        <w:tc>
          <w:tcPr>
            <w:tcW w:w="1139" w:type="dxa"/>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341</w:t>
            </w:r>
          </w:p>
        </w:tc>
        <w:tc>
          <w:tcPr>
            <w:tcW w:w="993" w:type="dxa"/>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295</w:t>
            </w:r>
          </w:p>
        </w:tc>
        <w:tc>
          <w:tcPr>
            <w:tcW w:w="1271" w:type="dxa"/>
            <w:tcBorders>
              <w:top w:val="single" w:sz="4" w:space="0" w:color="auto"/>
              <w:left w:val="single" w:sz="4" w:space="0" w:color="auto"/>
              <w:right w:val="single" w:sz="4" w:space="0" w:color="auto"/>
            </w:tcBorders>
          </w:tcPr>
          <w:p w:rsidR="00000000" w:rsidRDefault="00000000">
            <w:pPr>
              <w:ind w:right="227"/>
              <w:jc w:val="right"/>
              <w:rPr>
                <w:snapToGrid w:val="0"/>
              </w:rPr>
            </w:pPr>
            <w:r>
              <w:rPr>
                <w:snapToGrid w:val="0"/>
              </w:rPr>
              <w:t xml:space="preserve">    45</w:t>
            </w:r>
          </w:p>
        </w:tc>
        <w:tc>
          <w:tcPr>
            <w:tcW w:w="1610" w:type="dxa"/>
            <w:tcBorders>
              <w:top w:val="single" w:sz="4" w:space="0" w:color="auto"/>
              <w:left w:val="single" w:sz="4" w:space="0" w:color="auto"/>
              <w:right w:val="single" w:sz="4" w:space="0" w:color="auto"/>
            </w:tcBorders>
          </w:tcPr>
          <w:p w:rsidR="00000000" w:rsidRDefault="00000000">
            <w:pPr>
              <w:ind w:right="428"/>
              <w:jc w:val="right"/>
              <w:rPr>
                <w:snapToGrid w:val="0"/>
              </w:rPr>
            </w:pPr>
            <w:r>
              <w:rPr>
                <w:snapToGrid w:val="0"/>
              </w:rPr>
              <w:t xml:space="preserve">     1</w:t>
            </w:r>
          </w:p>
        </w:tc>
      </w:tr>
      <w:tr w:rsidR="00000000">
        <w:tblPrEx>
          <w:tblCellMar>
            <w:top w:w="0" w:type="dxa"/>
            <w:bottom w:w="0" w:type="dxa"/>
          </w:tblCellMar>
        </w:tblPrEx>
        <w:trPr>
          <w:cantSplit/>
          <w:trHeight w:val="192"/>
          <w:jc w:val="center"/>
        </w:trPr>
        <w:tc>
          <w:tcPr>
            <w:tcW w:w="2267" w:type="dxa"/>
            <w:vMerge/>
            <w:tcBorders>
              <w:left w:val="single" w:sz="4" w:space="0" w:color="auto"/>
              <w:right w:val="single" w:sz="4" w:space="0" w:color="auto"/>
            </w:tcBorders>
            <w:vAlign w:val="center"/>
          </w:tcPr>
          <w:p w:rsidR="00000000" w:rsidRDefault="00000000">
            <w:pPr>
              <w:rPr>
                <w:snapToGrid w:val="0"/>
              </w:rPr>
            </w:pPr>
          </w:p>
        </w:tc>
        <w:tc>
          <w:tcPr>
            <w:tcW w:w="993" w:type="dxa"/>
            <w:tcBorders>
              <w:left w:val="single" w:sz="4" w:space="0" w:color="auto"/>
              <w:right w:val="single" w:sz="4" w:space="0" w:color="auto"/>
            </w:tcBorders>
          </w:tcPr>
          <w:p w:rsidR="00000000" w:rsidRDefault="00000000">
            <w:pPr>
              <w:ind w:right="284"/>
              <w:jc w:val="right"/>
              <w:rPr>
                <w:snapToGrid w:val="0"/>
              </w:rPr>
            </w:pPr>
            <w:r>
              <w:rPr>
                <w:snapToGrid w:val="0"/>
              </w:rPr>
              <w:t>1998</w:t>
            </w:r>
          </w:p>
        </w:tc>
        <w:tc>
          <w:tcPr>
            <w:tcW w:w="1139" w:type="dxa"/>
            <w:tcBorders>
              <w:left w:val="single" w:sz="4" w:space="0" w:color="auto"/>
              <w:right w:val="single" w:sz="4" w:space="0" w:color="auto"/>
            </w:tcBorders>
          </w:tcPr>
          <w:p w:rsidR="00000000" w:rsidRDefault="00000000">
            <w:pPr>
              <w:ind w:right="113"/>
              <w:jc w:val="right"/>
              <w:rPr>
                <w:snapToGrid w:val="0"/>
              </w:rPr>
            </w:pPr>
            <w:r>
              <w:rPr>
                <w:snapToGrid w:val="0"/>
              </w:rPr>
              <w:t xml:space="preserve">   474</w:t>
            </w:r>
          </w:p>
        </w:tc>
        <w:tc>
          <w:tcPr>
            <w:tcW w:w="993" w:type="dxa"/>
            <w:tcBorders>
              <w:left w:val="single" w:sz="4" w:space="0" w:color="auto"/>
              <w:right w:val="single" w:sz="4" w:space="0" w:color="auto"/>
            </w:tcBorders>
          </w:tcPr>
          <w:p w:rsidR="00000000" w:rsidRDefault="00000000">
            <w:pPr>
              <w:ind w:right="113"/>
              <w:jc w:val="right"/>
              <w:rPr>
                <w:snapToGrid w:val="0"/>
              </w:rPr>
            </w:pPr>
            <w:r>
              <w:rPr>
                <w:snapToGrid w:val="0"/>
              </w:rPr>
              <w:t xml:space="preserve">    412</w:t>
            </w:r>
          </w:p>
        </w:tc>
        <w:tc>
          <w:tcPr>
            <w:tcW w:w="1271" w:type="dxa"/>
            <w:tcBorders>
              <w:left w:val="single" w:sz="4" w:space="0" w:color="auto"/>
              <w:right w:val="single" w:sz="4" w:space="0" w:color="auto"/>
            </w:tcBorders>
          </w:tcPr>
          <w:p w:rsidR="00000000" w:rsidRDefault="00000000">
            <w:pPr>
              <w:ind w:right="227"/>
              <w:jc w:val="right"/>
              <w:rPr>
                <w:snapToGrid w:val="0"/>
              </w:rPr>
            </w:pPr>
            <w:r>
              <w:rPr>
                <w:snapToGrid w:val="0"/>
              </w:rPr>
              <w:t xml:space="preserve">    58</w:t>
            </w:r>
          </w:p>
        </w:tc>
        <w:tc>
          <w:tcPr>
            <w:tcW w:w="1610" w:type="dxa"/>
            <w:tcBorders>
              <w:left w:val="single" w:sz="4" w:space="0" w:color="auto"/>
              <w:right w:val="single" w:sz="4" w:space="0" w:color="auto"/>
            </w:tcBorders>
          </w:tcPr>
          <w:p w:rsidR="00000000" w:rsidRDefault="00000000">
            <w:pPr>
              <w:ind w:right="428"/>
              <w:jc w:val="right"/>
              <w:rPr>
                <w:snapToGrid w:val="0"/>
              </w:rPr>
            </w:pPr>
            <w:r>
              <w:rPr>
                <w:snapToGrid w:val="0"/>
              </w:rPr>
              <w:t xml:space="preserve">     4</w:t>
            </w:r>
          </w:p>
        </w:tc>
      </w:tr>
      <w:tr w:rsidR="00000000">
        <w:tblPrEx>
          <w:tblCellMar>
            <w:top w:w="0" w:type="dxa"/>
            <w:bottom w:w="0" w:type="dxa"/>
          </w:tblCellMar>
        </w:tblPrEx>
        <w:trPr>
          <w:cantSplit/>
          <w:trHeight w:val="192"/>
          <w:jc w:val="center"/>
        </w:trPr>
        <w:tc>
          <w:tcPr>
            <w:tcW w:w="2267" w:type="dxa"/>
            <w:vMerge/>
            <w:tcBorders>
              <w:left w:val="single" w:sz="4" w:space="0" w:color="auto"/>
              <w:right w:val="single" w:sz="4" w:space="0" w:color="auto"/>
            </w:tcBorders>
            <w:vAlign w:val="center"/>
          </w:tcPr>
          <w:p w:rsidR="00000000" w:rsidRDefault="00000000">
            <w:pPr>
              <w:rPr>
                <w:snapToGrid w:val="0"/>
              </w:rPr>
            </w:pPr>
          </w:p>
        </w:tc>
        <w:tc>
          <w:tcPr>
            <w:tcW w:w="993" w:type="dxa"/>
            <w:tcBorders>
              <w:left w:val="single" w:sz="4" w:space="0" w:color="auto"/>
              <w:bottom w:val="single" w:sz="4" w:space="0" w:color="auto"/>
              <w:right w:val="single" w:sz="4" w:space="0" w:color="auto"/>
            </w:tcBorders>
          </w:tcPr>
          <w:p w:rsidR="00000000" w:rsidRDefault="00000000">
            <w:pPr>
              <w:ind w:right="284"/>
              <w:jc w:val="right"/>
              <w:rPr>
                <w:snapToGrid w:val="0"/>
              </w:rPr>
            </w:pPr>
            <w:r>
              <w:rPr>
                <w:snapToGrid w:val="0"/>
              </w:rPr>
              <w:t>1999</w:t>
            </w:r>
          </w:p>
        </w:tc>
        <w:tc>
          <w:tcPr>
            <w:tcW w:w="1139" w:type="dxa"/>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654</w:t>
            </w:r>
          </w:p>
        </w:tc>
        <w:tc>
          <w:tcPr>
            <w:tcW w:w="993" w:type="dxa"/>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566</w:t>
            </w:r>
          </w:p>
        </w:tc>
        <w:tc>
          <w:tcPr>
            <w:tcW w:w="1271" w:type="dxa"/>
            <w:tcBorders>
              <w:left w:val="single" w:sz="4" w:space="0" w:color="auto"/>
              <w:bottom w:val="single" w:sz="4" w:space="0" w:color="auto"/>
              <w:right w:val="single" w:sz="4" w:space="0" w:color="auto"/>
            </w:tcBorders>
          </w:tcPr>
          <w:p w:rsidR="00000000" w:rsidRDefault="00000000">
            <w:pPr>
              <w:ind w:right="227"/>
              <w:jc w:val="right"/>
              <w:rPr>
                <w:snapToGrid w:val="0"/>
              </w:rPr>
            </w:pPr>
            <w:r>
              <w:rPr>
                <w:snapToGrid w:val="0"/>
              </w:rPr>
              <w:t xml:space="preserve">    74</w:t>
            </w:r>
          </w:p>
        </w:tc>
        <w:tc>
          <w:tcPr>
            <w:tcW w:w="1610" w:type="dxa"/>
            <w:tcBorders>
              <w:left w:val="single" w:sz="4" w:space="0" w:color="auto"/>
              <w:bottom w:val="single" w:sz="4" w:space="0" w:color="auto"/>
              <w:right w:val="single" w:sz="4" w:space="0" w:color="auto"/>
            </w:tcBorders>
          </w:tcPr>
          <w:p w:rsidR="00000000" w:rsidRDefault="00000000">
            <w:pPr>
              <w:ind w:right="428"/>
              <w:jc w:val="right"/>
              <w:rPr>
                <w:snapToGrid w:val="0"/>
              </w:rPr>
            </w:pPr>
            <w:r>
              <w:rPr>
                <w:snapToGrid w:val="0"/>
              </w:rPr>
              <w:t xml:space="preserve">    14</w:t>
            </w:r>
          </w:p>
        </w:tc>
      </w:tr>
      <w:tr w:rsidR="00000000">
        <w:tblPrEx>
          <w:tblCellMar>
            <w:top w:w="0" w:type="dxa"/>
            <w:bottom w:w="0" w:type="dxa"/>
          </w:tblCellMar>
        </w:tblPrEx>
        <w:trPr>
          <w:cantSplit/>
          <w:trHeight w:val="192"/>
          <w:jc w:val="center"/>
        </w:trPr>
        <w:tc>
          <w:tcPr>
            <w:tcW w:w="2267" w:type="dxa"/>
            <w:vMerge w:val="restart"/>
            <w:tcBorders>
              <w:top w:val="single" w:sz="4" w:space="0" w:color="auto"/>
              <w:left w:val="single" w:sz="4" w:space="0" w:color="auto"/>
              <w:right w:val="single" w:sz="4" w:space="0" w:color="auto"/>
            </w:tcBorders>
            <w:vAlign w:val="center"/>
          </w:tcPr>
          <w:p w:rsidR="00000000" w:rsidRDefault="00000000">
            <w:pPr>
              <w:rPr>
                <w:b/>
                <w:snapToGrid w:val="0"/>
              </w:rPr>
            </w:pPr>
            <w:r>
              <w:rPr>
                <w:b/>
                <w:snapToGrid w:val="0"/>
              </w:rPr>
              <w:t>North</w:t>
            </w:r>
            <w:r>
              <w:rPr>
                <w:b/>
                <w:snapToGrid w:val="0"/>
              </w:rPr>
              <w:noBreakHyphen/>
              <w:t>eastern</w:t>
            </w:r>
          </w:p>
          <w:p w:rsidR="00000000" w:rsidRDefault="00000000">
            <w:pPr>
              <w:rPr>
                <w:b/>
                <w:snapToGrid w:val="0"/>
              </w:rPr>
            </w:pPr>
            <w:r>
              <w:rPr>
                <w:b/>
                <w:snapToGrid w:val="0"/>
              </w:rPr>
              <w:t>Region</w:t>
            </w:r>
          </w:p>
        </w:tc>
        <w:tc>
          <w:tcPr>
            <w:tcW w:w="993" w:type="dxa"/>
            <w:tcBorders>
              <w:top w:val="single" w:sz="4" w:space="0" w:color="auto"/>
              <w:left w:val="single" w:sz="4" w:space="0" w:color="auto"/>
              <w:right w:val="single" w:sz="4" w:space="0" w:color="auto"/>
            </w:tcBorders>
          </w:tcPr>
          <w:p w:rsidR="00000000" w:rsidRDefault="00000000">
            <w:pPr>
              <w:ind w:right="284"/>
              <w:jc w:val="right"/>
              <w:rPr>
                <w:b/>
                <w:snapToGrid w:val="0"/>
              </w:rPr>
            </w:pPr>
            <w:r>
              <w:rPr>
                <w:b/>
                <w:snapToGrid w:val="0"/>
              </w:rPr>
              <w:t>1997</w:t>
            </w:r>
          </w:p>
        </w:tc>
        <w:tc>
          <w:tcPr>
            <w:tcW w:w="1139" w:type="dxa"/>
            <w:tcBorders>
              <w:top w:val="single" w:sz="4" w:space="0" w:color="auto"/>
              <w:left w:val="single" w:sz="4" w:space="0" w:color="auto"/>
              <w:right w:val="single" w:sz="4" w:space="0" w:color="auto"/>
            </w:tcBorders>
          </w:tcPr>
          <w:p w:rsidR="00000000" w:rsidRDefault="00000000">
            <w:pPr>
              <w:ind w:right="113"/>
              <w:jc w:val="right"/>
              <w:rPr>
                <w:b/>
                <w:snapToGrid w:val="0"/>
              </w:rPr>
            </w:pPr>
            <w:r>
              <w:rPr>
                <w:b/>
                <w:snapToGrid w:val="0"/>
              </w:rPr>
              <w:t>29 472</w:t>
            </w:r>
          </w:p>
        </w:tc>
        <w:tc>
          <w:tcPr>
            <w:tcW w:w="993" w:type="dxa"/>
            <w:tcBorders>
              <w:top w:val="single" w:sz="4" w:space="0" w:color="auto"/>
              <w:left w:val="single" w:sz="4" w:space="0" w:color="auto"/>
              <w:right w:val="single" w:sz="4" w:space="0" w:color="auto"/>
            </w:tcBorders>
          </w:tcPr>
          <w:p w:rsidR="00000000" w:rsidRDefault="00000000">
            <w:pPr>
              <w:ind w:right="113"/>
              <w:jc w:val="right"/>
              <w:rPr>
                <w:b/>
                <w:snapToGrid w:val="0"/>
              </w:rPr>
            </w:pPr>
            <w:r>
              <w:rPr>
                <w:b/>
                <w:snapToGrid w:val="0"/>
              </w:rPr>
              <w:t xml:space="preserve"> 23 108</w:t>
            </w:r>
          </w:p>
        </w:tc>
        <w:tc>
          <w:tcPr>
            <w:tcW w:w="1271" w:type="dxa"/>
            <w:tcBorders>
              <w:top w:val="single" w:sz="4" w:space="0" w:color="auto"/>
              <w:left w:val="single" w:sz="4" w:space="0" w:color="auto"/>
              <w:right w:val="single" w:sz="4" w:space="0" w:color="auto"/>
            </w:tcBorders>
          </w:tcPr>
          <w:p w:rsidR="00000000" w:rsidRDefault="00000000">
            <w:pPr>
              <w:ind w:right="227"/>
              <w:jc w:val="right"/>
              <w:rPr>
                <w:b/>
                <w:snapToGrid w:val="0"/>
              </w:rPr>
            </w:pPr>
            <w:r>
              <w:rPr>
                <w:b/>
                <w:snapToGrid w:val="0"/>
              </w:rPr>
              <w:t xml:space="preserve"> 3 399</w:t>
            </w:r>
          </w:p>
        </w:tc>
        <w:tc>
          <w:tcPr>
            <w:tcW w:w="1610" w:type="dxa"/>
            <w:tcBorders>
              <w:top w:val="single" w:sz="4" w:space="0" w:color="auto"/>
              <w:left w:val="single" w:sz="4" w:space="0" w:color="auto"/>
              <w:right w:val="single" w:sz="4" w:space="0" w:color="auto"/>
            </w:tcBorders>
          </w:tcPr>
          <w:p w:rsidR="00000000" w:rsidRDefault="00000000">
            <w:pPr>
              <w:ind w:right="428"/>
              <w:jc w:val="right"/>
              <w:rPr>
                <w:b/>
                <w:snapToGrid w:val="0"/>
              </w:rPr>
            </w:pPr>
            <w:r>
              <w:rPr>
                <w:b/>
                <w:snapToGrid w:val="0"/>
              </w:rPr>
              <w:t xml:space="preserve"> 2 965</w:t>
            </w:r>
          </w:p>
        </w:tc>
      </w:tr>
      <w:tr w:rsidR="00000000">
        <w:tblPrEx>
          <w:tblCellMar>
            <w:top w:w="0" w:type="dxa"/>
            <w:bottom w:w="0" w:type="dxa"/>
          </w:tblCellMar>
        </w:tblPrEx>
        <w:trPr>
          <w:cantSplit/>
          <w:trHeight w:val="192"/>
          <w:jc w:val="center"/>
        </w:trPr>
        <w:tc>
          <w:tcPr>
            <w:tcW w:w="2267" w:type="dxa"/>
            <w:vMerge/>
            <w:tcBorders>
              <w:left w:val="single" w:sz="4" w:space="0" w:color="auto"/>
              <w:right w:val="single" w:sz="4" w:space="0" w:color="auto"/>
            </w:tcBorders>
            <w:vAlign w:val="center"/>
          </w:tcPr>
          <w:p w:rsidR="00000000" w:rsidRDefault="00000000">
            <w:pPr>
              <w:rPr>
                <w:b/>
                <w:snapToGrid w:val="0"/>
              </w:rPr>
            </w:pPr>
          </w:p>
        </w:tc>
        <w:tc>
          <w:tcPr>
            <w:tcW w:w="993" w:type="dxa"/>
            <w:tcBorders>
              <w:left w:val="single" w:sz="4" w:space="0" w:color="auto"/>
              <w:right w:val="single" w:sz="4" w:space="0" w:color="auto"/>
            </w:tcBorders>
          </w:tcPr>
          <w:p w:rsidR="00000000" w:rsidRDefault="00000000">
            <w:pPr>
              <w:ind w:right="284"/>
              <w:jc w:val="right"/>
              <w:rPr>
                <w:b/>
                <w:snapToGrid w:val="0"/>
              </w:rPr>
            </w:pPr>
            <w:r>
              <w:rPr>
                <w:b/>
                <w:snapToGrid w:val="0"/>
              </w:rPr>
              <w:t>1998</w:t>
            </w:r>
          </w:p>
        </w:tc>
        <w:tc>
          <w:tcPr>
            <w:tcW w:w="1139" w:type="dxa"/>
            <w:tcBorders>
              <w:left w:val="single" w:sz="4" w:space="0" w:color="auto"/>
              <w:right w:val="single" w:sz="4" w:space="0" w:color="auto"/>
            </w:tcBorders>
          </w:tcPr>
          <w:p w:rsidR="00000000" w:rsidRDefault="00000000">
            <w:pPr>
              <w:ind w:right="113"/>
              <w:jc w:val="right"/>
              <w:rPr>
                <w:b/>
                <w:snapToGrid w:val="0"/>
              </w:rPr>
            </w:pPr>
            <w:r>
              <w:rPr>
                <w:b/>
                <w:snapToGrid w:val="0"/>
              </w:rPr>
              <w:t>27 196</w:t>
            </w:r>
          </w:p>
        </w:tc>
        <w:tc>
          <w:tcPr>
            <w:tcW w:w="993" w:type="dxa"/>
            <w:tcBorders>
              <w:left w:val="single" w:sz="4" w:space="0" w:color="auto"/>
              <w:right w:val="single" w:sz="4" w:space="0" w:color="auto"/>
            </w:tcBorders>
          </w:tcPr>
          <w:p w:rsidR="00000000" w:rsidRDefault="00000000">
            <w:pPr>
              <w:ind w:right="113"/>
              <w:jc w:val="right"/>
              <w:rPr>
                <w:b/>
                <w:snapToGrid w:val="0"/>
              </w:rPr>
            </w:pPr>
            <w:r>
              <w:rPr>
                <w:b/>
                <w:snapToGrid w:val="0"/>
              </w:rPr>
              <w:t xml:space="preserve"> 21 467</w:t>
            </w:r>
          </w:p>
        </w:tc>
        <w:tc>
          <w:tcPr>
            <w:tcW w:w="1271" w:type="dxa"/>
            <w:tcBorders>
              <w:left w:val="single" w:sz="4" w:space="0" w:color="auto"/>
              <w:right w:val="single" w:sz="4" w:space="0" w:color="auto"/>
            </w:tcBorders>
          </w:tcPr>
          <w:p w:rsidR="00000000" w:rsidRDefault="00000000">
            <w:pPr>
              <w:ind w:right="227"/>
              <w:jc w:val="right"/>
              <w:rPr>
                <w:b/>
                <w:snapToGrid w:val="0"/>
              </w:rPr>
            </w:pPr>
            <w:r>
              <w:rPr>
                <w:b/>
                <w:snapToGrid w:val="0"/>
              </w:rPr>
              <w:t xml:space="preserve"> 3 193</w:t>
            </w:r>
          </w:p>
        </w:tc>
        <w:tc>
          <w:tcPr>
            <w:tcW w:w="1610" w:type="dxa"/>
            <w:tcBorders>
              <w:left w:val="single" w:sz="4" w:space="0" w:color="auto"/>
              <w:right w:val="single" w:sz="4" w:space="0" w:color="auto"/>
            </w:tcBorders>
          </w:tcPr>
          <w:p w:rsidR="00000000" w:rsidRDefault="00000000">
            <w:pPr>
              <w:ind w:right="428"/>
              <w:jc w:val="right"/>
              <w:rPr>
                <w:b/>
                <w:snapToGrid w:val="0"/>
              </w:rPr>
            </w:pPr>
            <w:r>
              <w:rPr>
                <w:b/>
                <w:snapToGrid w:val="0"/>
              </w:rPr>
              <w:t xml:space="preserve"> 2 536</w:t>
            </w:r>
          </w:p>
        </w:tc>
      </w:tr>
      <w:tr w:rsidR="00000000">
        <w:tblPrEx>
          <w:tblCellMar>
            <w:top w:w="0" w:type="dxa"/>
            <w:bottom w:w="0" w:type="dxa"/>
          </w:tblCellMar>
        </w:tblPrEx>
        <w:trPr>
          <w:cantSplit/>
          <w:trHeight w:val="192"/>
          <w:jc w:val="center"/>
        </w:trPr>
        <w:tc>
          <w:tcPr>
            <w:tcW w:w="2267" w:type="dxa"/>
            <w:vMerge/>
            <w:tcBorders>
              <w:left w:val="single" w:sz="4" w:space="0" w:color="auto"/>
              <w:right w:val="single" w:sz="4" w:space="0" w:color="auto"/>
            </w:tcBorders>
            <w:vAlign w:val="center"/>
          </w:tcPr>
          <w:p w:rsidR="00000000" w:rsidRDefault="00000000">
            <w:pPr>
              <w:rPr>
                <w:b/>
                <w:snapToGrid w:val="0"/>
              </w:rPr>
            </w:pPr>
          </w:p>
        </w:tc>
        <w:tc>
          <w:tcPr>
            <w:tcW w:w="993" w:type="dxa"/>
            <w:tcBorders>
              <w:left w:val="single" w:sz="4" w:space="0" w:color="auto"/>
              <w:bottom w:val="single" w:sz="4" w:space="0" w:color="auto"/>
              <w:right w:val="single" w:sz="4" w:space="0" w:color="auto"/>
            </w:tcBorders>
          </w:tcPr>
          <w:p w:rsidR="00000000" w:rsidRDefault="00000000">
            <w:pPr>
              <w:ind w:right="284"/>
              <w:jc w:val="right"/>
              <w:rPr>
                <w:b/>
                <w:snapToGrid w:val="0"/>
              </w:rPr>
            </w:pPr>
            <w:r>
              <w:rPr>
                <w:b/>
                <w:snapToGrid w:val="0"/>
              </w:rPr>
              <w:t>1999</w:t>
            </w:r>
          </w:p>
        </w:tc>
        <w:tc>
          <w:tcPr>
            <w:tcW w:w="1139" w:type="dxa"/>
            <w:tcBorders>
              <w:left w:val="single" w:sz="4" w:space="0" w:color="auto"/>
              <w:bottom w:val="single" w:sz="4" w:space="0" w:color="auto"/>
              <w:right w:val="single" w:sz="4" w:space="0" w:color="auto"/>
            </w:tcBorders>
          </w:tcPr>
          <w:p w:rsidR="00000000" w:rsidRDefault="00000000">
            <w:pPr>
              <w:ind w:right="113"/>
              <w:jc w:val="right"/>
              <w:rPr>
                <w:b/>
                <w:snapToGrid w:val="0"/>
              </w:rPr>
            </w:pPr>
            <w:r>
              <w:rPr>
                <w:b/>
                <w:snapToGrid w:val="0"/>
              </w:rPr>
              <w:t>24 989</w:t>
            </w:r>
          </w:p>
        </w:tc>
        <w:tc>
          <w:tcPr>
            <w:tcW w:w="993" w:type="dxa"/>
            <w:tcBorders>
              <w:left w:val="single" w:sz="4" w:space="0" w:color="auto"/>
              <w:bottom w:val="single" w:sz="4" w:space="0" w:color="auto"/>
              <w:right w:val="single" w:sz="4" w:space="0" w:color="auto"/>
            </w:tcBorders>
          </w:tcPr>
          <w:p w:rsidR="00000000" w:rsidRDefault="00000000">
            <w:pPr>
              <w:ind w:right="113"/>
              <w:jc w:val="right"/>
              <w:rPr>
                <w:b/>
                <w:snapToGrid w:val="0"/>
              </w:rPr>
            </w:pPr>
            <w:r>
              <w:rPr>
                <w:b/>
                <w:snapToGrid w:val="0"/>
              </w:rPr>
              <w:t xml:space="preserve"> 19 667</w:t>
            </w:r>
          </w:p>
        </w:tc>
        <w:tc>
          <w:tcPr>
            <w:tcW w:w="1271" w:type="dxa"/>
            <w:tcBorders>
              <w:left w:val="single" w:sz="4" w:space="0" w:color="auto"/>
              <w:bottom w:val="single" w:sz="4" w:space="0" w:color="auto"/>
              <w:right w:val="single" w:sz="4" w:space="0" w:color="auto"/>
            </w:tcBorders>
          </w:tcPr>
          <w:p w:rsidR="00000000" w:rsidRDefault="00000000">
            <w:pPr>
              <w:ind w:right="227"/>
              <w:jc w:val="right"/>
              <w:rPr>
                <w:b/>
                <w:snapToGrid w:val="0"/>
              </w:rPr>
            </w:pPr>
            <w:r>
              <w:rPr>
                <w:b/>
                <w:snapToGrid w:val="0"/>
              </w:rPr>
              <w:t xml:space="preserve"> 3 282</w:t>
            </w:r>
          </w:p>
        </w:tc>
        <w:tc>
          <w:tcPr>
            <w:tcW w:w="1610" w:type="dxa"/>
            <w:tcBorders>
              <w:left w:val="single" w:sz="4" w:space="0" w:color="auto"/>
              <w:bottom w:val="single" w:sz="4" w:space="0" w:color="auto"/>
              <w:right w:val="single" w:sz="4" w:space="0" w:color="auto"/>
            </w:tcBorders>
          </w:tcPr>
          <w:p w:rsidR="00000000" w:rsidRDefault="00000000">
            <w:pPr>
              <w:ind w:right="428"/>
              <w:jc w:val="right"/>
              <w:rPr>
                <w:b/>
                <w:snapToGrid w:val="0"/>
              </w:rPr>
            </w:pPr>
            <w:r>
              <w:rPr>
                <w:b/>
                <w:snapToGrid w:val="0"/>
              </w:rPr>
              <w:t xml:space="preserve"> 2 040</w:t>
            </w:r>
          </w:p>
        </w:tc>
      </w:tr>
      <w:tr w:rsidR="00000000">
        <w:tblPrEx>
          <w:tblCellMar>
            <w:top w:w="0" w:type="dxa"/>
            <w:bottom w:w="0" w:type="dxa"/>
          </w:tblCellMar>
        </w:tblPrEx>
        <w:trPr>
          <w:cantSplit/>
          <w:trHeight w:val="192"/>
          <w:jc w:val="center"/>
        </w:trPr>
        <w:tc>
          <w:tcPr>
            <w:tcW w:w="2267" w:type="dxa"/>
            <w:vMerge w:val="restart"/>
            <w:tcBorders>
              <w:top w:val="single" w:sz="4" w:space="0" w:color="auto"/>
              <w:left w:val="single" w:sz="4" w:space="0" w:color="auto"/>
              <w:right w:val="single" w:sz="4" w:space="0" w:color="auto"/>
            </w:tcBorders>
            <w:vAlign w:val="center"/>
          </w:tcPr>
          <w:p w:rsidR="00000000" w:rsidRDefault="00000000">
            <w:pPr>
              <w:rPr>
                <w:snapToGrid w:val="0"/>
              </w:rPr>
            </w:pPr>
            <w:r>
              <w:rPr>
                <w:snapToGrid w:val="0"/>
              </w:rPr>
              <w:t>Maranhão</w:t>
            </w:r>
          </w:p>
        </w:tc>
        <w:tc>
          <w:tcPr>
            <w:tcW w:w="993" w:type="dxa"/>
            <w:tcBorders>
              <w:top w:val="single" w:sz="4" w:space="0" w:color="auto"/>
              <w:left w:val="single" w:sz="4" w:space="0" w:color="auto"/>
              <w:right w:val="single" w:sz="4" w:space="0" w:color="auto"/>
            </w:tcBorders>
          </w:tcPr>
          <w:p w:rsidR="00000000" w:rsidRDefault="00000000">
            <w:pPr>
              <w:ind w:right="284"/>
              <w:jc w:val="right"/>
              <w:rPr>
                <w:snapToGrid w:val="0"/>
              </w:rPr>
            </w:pPr>
            <w:r>
              <w:rPr>
                <w:snapToGrid w:val="0"/>
              </w:rPr>
              <w:t>1997</w:t>
            </w:r>
          </w:p>
        </w:tc>
        <w:tc>
          <w:tcPr>
            <w:tcW w:w="1139" w:type="dxa"/>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766</w:t>
            </w:r>
          </w:p>
        </w:tc>
        <w:tc>
          <w:tcPr>
            <w:tcW w:w="993" w:type="dxa"/>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603</w:t>
            </w:r>
          </w:p>
        </w:tc>
        <w:tc>
          <w:tcPr>
            <w:tcW w:w="1271" w:type="dxa"/>
            <w:tcBorders>
              <w:top w:val="single" w:sz="4" w:space="0" w:color="auto"/>
              <w:left w:val="single" w:sz="4" w:space="0" w:color="auto"/>
              <w:right w:val="single" w:sz="4" w:space="0" w:color="auto"/>
            </w:tcBorders>
          </w:tcPr>
          <w:p w:rsidR="00000000" w:rsidRDefault="00000000">
            <w:pPr>
              <w:ind w:right="227"/>
              <w:jc w:val="right"/>
              <w:rPr>
                <w:snapToGrid w:val="0"/>
              </w:rPr>
            </w:pPr>
            <w:r>
              <w:rPr>
                <w:snapToGrid w:val="0"/>
              </w:rPr>
              <w:t xml:space="preserve">   111</w:t>
            </w:r>
          </w:p>
        </w:tc>
        <w:tc>
          <w:tcPr>
            <w:tcW w:w="1610" w:type="dxa"/>
            <w:tcBorders>
              <w:top w:val="single" w:sz="4" w:space="0" w:color="auto"/>
              <w:left w:val="single" w:sz="4" w:space="0" w:color="auto"/>
              <w:right w:val="single" w:sz="4" w:space="0" w:color="auto"/>
            </w:tcBorders>
          </w:tcPr>
          <w:p w:rsidR="00000000" w:rsidRDefault="00000000">
            <w:pPr>
              <w:ind w:right="428"/>
              <w:jc w:val="right"/>
              <w:rPr>
                <w:snapToGrid w:val="0"/>
              </w:rPr>
            </w:pPr>
            <w:r>
              <w:rPr>
                <w:snapToGrid w:val="0"/>
              </w:rPr>
              <w:t xml:space="preserve">     52</w:t>
            </w:r>
          </w:p>
        </w:tc>
      </w:tr>
      <w:tr w:rsidR="00000000">
        <w:tblPrEx>
          <w:tblCellMar>
            <w:top w:w="0" w:type="dxa"/>
            <w:bottom w:w="0" w:type="dxa"/>
          </w:tblCellMar>
        </w:tblPrEx>
        <w:trPr>
          <w:cantSplit/>
          <w:trHeight w:val="192"/>
          <w:jc w:val="center"/>
        </w:trPr>
        <w:tc>
          <w:tcPr>
            <w:tcW w:w="2267" w:type="dxa"/>
            <w:vMerge/>
            <w:tcBorders>
              <w:left w:val="single" w:sz="4" w:space="0" w:color="auto"/>
              <w:right w:val="single" w:sz="4" w:space="0" w:color="auto"/>
            </w:tcBorders>
            <w:vAlign w:val="center"/>
          </w:tcPr>
          <w:p w:rsidR="00000000" w:rsidRDefault="00000000">
            <w:pPr>
              <w:rPr>
                <w:snapToGrid w:val="0"/>
              </w:rPr>
            </w:pPr>
          </w:p>
        </w:tc>
        <w:tc>
          <w:tcPr>
            <w:tcW w:w="993" w:type="dxa"/>
            <w:tcBorders>
              <w:left w:val="single" w:sz="4" w:space="0" w:color="auto"/>
              <w:right w:val="single" w:sz="4" w:space="0" w:color="auto"/>
            </w:tcBorders>
          </w:tcPr>
          <w:p w:rsidR="00000000" w:rsidRDefault="00000000">
            <w:pPr>
              <w:ind w:right="284"/>
              <w:jc w:val="right"/>
              <w:rPr>
                <w:snapToGrid w:val="0"/>
              </w:rPr>
            </w:pPr>
            <w:r>
              <w:rPr>
                <w:snapToGrid w:val="0"/>
              </w:rPr>
              <w:t>1998</w:t>
            </w:r>
          </w:p>
        </w:tc>
        <w:tc>
          <w:tcPr>
            <w:tcW w:w="1139" w:type="dxa"/>
            <w:tcBorders>
              <w:left w:val="single" w:sz="4" w:space="0" w:color="auto"/>
              <w:right w:val="single" w:sz="4" w:space="0" w:color="auto"/>
            </w:tcBorders>
          </w:tcPr>
          <w:p w:rsidR="00000000" w:rsidRDefault="00000000">
            <w:pPr>
              <w:ind w:right="113"/>
              <w:jc w:val="right"/>
              <w:rPr>
                <w:snapToGrid w:val="0"/>
              </w:rPr>
            </w:pPr>
            <w:r>
              <w:rPr>
                <w:snapToGrid w:val="0"/>
              </w:rPr>
              <w:t xml:space="preserve">    868</w:t>
            </w:r>
          </w:p>
        </w:tc>
        <w:tc>
          <w:tcPr>
            <w:tcW w:w="993" w:type="dxa"/>
            <w:tcBorders>
              <w:left w:val="single" w:sz="4" w:space="0" w:color="auto"/>
              <w:right w:val="single" w:sz="4" w:space="0" w:color="auto"/>
            </w:tcBorders>
          </w:tcPr>
          <w:p w:rsidR="00000000" w:rsidRDefault="00000000">
            <w:pPr>
              <w:ind w:right="113"/>
              <w:jc w:val="right"/>
              <w:rPr>
                <w:snapToGrid w:val="0"/>
              </w:rPr>
            </w:pPr>
            <w:r>
              <w:rPr>
                <w:snapToGrid w:val="0"/>
              </w:rPr>
              <w:t xml:space="preserve">     713</w:t>
            </w:r>
          </w:p>
        </w:tc>
        <w:tc>
          <w:tcPr>
            <w:tcW w:w="1271" w:type="dxa"/>
            <w:tcBorders>
              <w:left w:val="single" w:sz="4" w:space="0" w:color="auto"/>
              <w:right w:val="single" w:sz="4" w:space="0" w:color="auto"/>
            </w:tcBorders>
          </w:tcPr>
          <w:p w:rsidR="00000000" w:rsidRDefault="00000000">
            <w:pPr>
              <w:ind w:right="227"/>
              <w:jc w:val="right"/>
              <w:rPr>
                <w:snapToGrid w:val="0"/>
              </w:rPr>
            </w:pPr>
            <w:r>
              <w:rPr>
                <w:snapToGrid w:val="0"/>
              </w:rPr>
              <w:t xml:space="preserve">   115</w:t>
            </w:r>
          </w:p>
        </w:tc>
        <w:tc>
          <w:tcPr>
            <w:tcW w:w="1610" w:type="dxa"/>
            <w:tcBorders>
              <w:left w:val="single" w:sz="4" w:space="0" w:color="auto"/>
              <w:right w:val="single" w:sz="4" w:space="0" w:color="auto"/>
            </w:tcBorders>
          </w:tcPr>
          <w:p w:rsidR="00000000" w:rsidRDefault="00000000">
            <w:pPr>
              <w:ind w:right="428"/>
              <w:jc w:val="right"/>
              <w:rPr>
                <w:snapToGrid w:val="0"/>
              </w:rPr>
            </w:pPr>
            <w:r>
              <w:rPr>
                <w:snapToGrid w:val="0"/>
              </w:rPr>
              <w:t xml:space="preserve">     40</w:t>
            </w:r>
          </w:p>
        </w:tc>
      </w:tr>
      <w:tr w:rsidR="00000000">
        <w:tblPrEx>
          <w:tblCellMar>
            <w:top w:w="0" w:type="dxa"/>
            <w:bottom w:w="0" w:type="dxa"/>
          </w:tblCellMar>
        </w:tblPrEx>
        <w:trPr>
          <w:cantSplit/>
          <w:trHeight w:val="192"/>
          <w:jc w:val="center"/>
        </w:trPr>
        <w:tc>
          <w:tcPr>
            <w:tcW w:w="2267" w:type="dxa"/>
            <w:vMerge/>
            <w:tcBorders>
              <w:left w:val="single" w:sz="4" w:space="0" w:color="auto"/>
              <w:bottom w:val="single" w:sz="4" w:space="0" w:color="auto"/>
              <w:right w:val="single" w:sz="4" w:space="0" w:color="auto"/>
            </w:tcBorders>
            <w:vAlign w:val="center"/>
          </w:tcPr>
          <w:p w:rsidR="00000000" w:rsidRDefault="00000000">
            <w:pPr>
              <w:rPr>
                <w:snapToGrid w:val="0"/>
              </w:rPr>
            </w:pPr>
          </w:p>
        </w:tc>
        <w:tc>
          <w:tcPr>
            <w:tcW w:w="993" w:type="dxa"/>
            <w:tcBorders>
              <w:left w:val="single" w:sz="4" w:space="0" w:color="auto"/>
              <w:bottom w:val="single" w:sz="4" w:space="0" w:color="auto"/>
              <w:right w:val="single" w:sz="4" w:space="0" w:color="auto"/>
            </w:tcBorders>
          </w:tcPr>
          <w:p w:rsidR="00000000" w:rsidRDefault="00000000">
            <w:pPr>
              <w:ind w:right="284"/>
              <w:jc w:val="right"/>
              <w:rPr>
                <w:snapToGrid w:val="0"/>
              </w:rPr>
            </w:pPr>
            <w:r>
              <w:rPr>
                <w:snapToGrid w:val="0"/>
              </w:rPr>
              <w:t>1999</w:t>
            </w:r>
          </w:p>
        </w:tc>
        <w:tc>
          <w:tcPr>
            <w:tcW w:w="1139" w:type="dxa"/>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826</w:t>
            </w:r>
          </w:p>
        </w:tc>
        <w:tc>
          <w:tcPr>
            <w:tcW w:w="993" w:type="dxa"/>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651</w:t>
            </w:r>
          </w:p>
        </w:tc>
        <w:tc>
          <w:tcPr>
            <w:tcW w:w="1271" w:type="dxa"/>
            <w:tcBorders>
              <w:left w:val="single" w:sz="4" w:space="0" w:color="auto"/>
              <w:bottom w:val="single" w:sz="4" w:space="0" w:color="auto"/>
              <w:right w:val="single" w:sz="4" w:space="0" w:color="auto"/>
            </w:tcBorders>
          </w:tcPr>
          <w:p w:rsidR="00000000" w:rsidRDefault="00000000">
            <w:pPr>
              <w:ind w:right="227"/>
              <w:jc w:val="right"/>
              <w:rPr>
                <w:snapToGrid w:val="0"/>
              </w:rPr>
            </w:pPr>
            <w:r>
              <w:rPr>
                <w:snapToGrid w:val="0"/>
              </w:rPr>
              <w:t xml:space="preserve">   118</w:t>
            </w:r>
          </w:p>
        </w:tc>
        <w:tc>
          <w:tcPr>
            <w:tcW w:w="1610" w:type="dxa"/>
            <w:tcBorders>
              <w:left w:val="single" w:sz="4" w:space="0" w:color="auto"/>
              <w:bottom w:val="single" w:sz="4" w:space="0" w:color="auto"/>
              <w:right w:val="single" w:sz="4" w:space="0" w:color="auto"/>
            </w:tcBorders>
          </w:tcPr>
          <w:p w:rsidR="00000000" w:rsidRDefault="00000000">
            <w:pPr>
              <w:ind w:right="428"/>
              <w:jc w:val="right"/>
              <w:rPr>
                <w:snapToGrid w:val="0"/>
              </w:rPr>
            </w:pPr>
            <w:r>
              <w:rPr>
                <w:snapToGrid w:val="0"/>
              </w:rPr>
              <w:t xml:space="preserve">     57</w:t>
            </w:r>
          </w:p>
        </w:tc>
      </w:tr>
      <w:tr w:rsidR="00000000">
        <w:tblPrEx>
          <w:tblCellMar>
            <w:top w:w="0" w:type="dxa"/>
            <w:bottom w:w="0" w:type="dxa"/>
          </w:tblCellMar>
        </w:tblPrEx>
        <w:trPr>
          <w:cantSplit/>
          <w:trHeight w:val="192"/>
          <w:jc w:val="center"/>
        </w:trPr>
        <w:tc>
          <w:tcPr>
            <w:tcW w:w="2267" w:type="dxa"/>
            <w:tcBorders>
              <w:top w:val="single" w:sz="4" w:space="0" w:color="auto"/>
            </w:tcBorders>
            <w:vAlign w:val="center"/>
          </w:tcPr>
          <w:p w:rsidR="00000000" w:rsidRDefault="00000000">
            <w:pPr>
              <w:rPr>
                <w:snapToGrid w:val="0"/>
              </w:rPr>
            </w:pPr>
          </w:p>
        </w:tc>
        <w:tc>
          <w:tcPr>
            <w:tcW w:w="993" w:type="dxa"/>
            <w:tcBorders>
              <w:top w:val="single" w:sz="4" w:space="0" w:color="auto"/>
            </w:tcBorders>
          </w:tcPr>
          <w:p w:rsidR="00000000" w:rsidRDefault="00000000">
            <w:pPr>
              <w:ind w:right="284"/>
              <w:jc w:val="right"/>
              <w:rPr>
                <w:snapToGrid w:val="0"/>
              </w:rPr>
            </w:pPr>
          </w:p>
        </w:tc>
        <w:tc>
          <w:tcPr>
            <w:tcW w:w="1139" w:type="dxa"/>
            <w:tcBorders>
              <w:top w:val="single" w:sz="4" w:space="0" w:color="auto"/>
            </w:tcBorders>
          </w:tcPr>
          <w:p w:rsidR="00000000" w:rsidRDefault="00000000">
            <w:pPr>
              <w:ind w:right="113"/>
              <w:jc w:val="right"/>
              <w:rPr>
                <w:snapToGrid w:val="0"/>
              </w:rPr>
            </w:pPr>
          </w:p>
        </w:tc>
        <w:tc>
          <w:tcPr>
            <w:tcW w:w="993" w:type="dxa"/>
            <w:tcBorders>
              <w:top w:val="single" w:sz="4" w:space="0" w:color="auto"/>
            </w:tcBorders>
          </w:tcPr>
          <w:p w:rsidR="00000000" w:rsidRDefault="00000000">
            <w:pPr>
              <w:ind w:right="113"/>
              <w:jc w:val="right"/>
              <w:rPr>
                <w:snapToGrid w:val="0"/>
              </w:rPr>
            </w:pPr>
          </w:p>
        </w:tc>
        <w:tc>
          <w:tcPr>
            <w:tcW w:w="1271" w:type="dxa"/>
            <w:tcBorders>
              <w:top w:val="single" w:sz="4" w:space="0" w:color="auto"/>
            </w:tcBorders>
          </w:tcPr>
          <w:p w:rsidR="00000000" w:rsidRDefault="00000000">
            <w:pPr>
              <w:ind w:right="227"/>
              <w:jc w:val="right"/>
              <w:rPr>
                <w:snapToGrid w:val="0"/>
              </w:rPr>
            </w:pPr>
          </w:p>
        </w:tc>
        <w:tc>
          <w:tcPr>
            <w:tcW w:w="1610" w:type="dxa"/>
            <w:tcBorders>
              <w:top w:val="single" w:sz="4" w:space="0" w:color="auto"/>
            </w:tcBorders>
          </w:tcPr>
          <w:p w:rsidR="00000000" w:rsidRDefault="00000000">
            <w:pPr>
              <w:ind w:right="428"/>
              <w:jc w:val="right"/>
              <w:rPr>
                <w:snapToGrid w:val="0"/>
              </w:rPr>
            </w:pPr>
          </w:p>
        </w:tc>
      </w:tr>
      <w:tr w:rsidR="00000000">
        <w:tblPrEx>
          <w:tblCellMar>
            <w:top w:w="0" w:type="dxa"/>
            <w:bottom w:w="0" w:type="dxa"/>
          </w:tblCellMar>
        </w:tblPrEx>
        <w:trPr>
          <w:cantSplit/>
          <w:trHeight w:val="192"/>
          <w:jc w:val="center"/>
        </w:trPr>
        <w:tc>
          <w:tcPr>
            <w:tcW w:w="2267" w:type="dxa"/>
            <w:vAlign w:val="center"/>
          </w:tcPr>
          <w:p w:rsidR="00000000" w:rsidRDefault="00000000">
            <w:pPr>
              <w:rPr>
                <w:snapToGrid w:val="0"/>
              </w:rPr>
            </w:pPr>
          </w:p>
        </w:tc>
        <w:tc>
          <w:tcPr>
            <w:tcW w:w="993" w:type="dxa"/>
          </w:tcPr>
          <w:p w:rsidR="00000000" w:rsidRDefault="00000000">
            <w:pPr>
              <w:ind w:right="284"/>
              <w:jc w:val="right"/>
              <w:rPr>
                <w:snapToGrid w:val="0"/>
              </w:rPr>
            </w:pPr>
          </w:p>
        </w:tc>
        <w:tc>
          <w:tcPr>
            <w:tcW w:w="1139" w:type="dxa"/>
          </w:tcPr>
          <w:p w:rsidR="00000000" w:rsidRDefault="00000000">
            <w:pPr>
              <w:ind w:right="113"/>
              <w:jc w:val="right"/>
              <w:rPr>
                <w:snapToGrid w:val="0"/>
              </w:rPr>
            </w:pPr>
          </w:p>
        </w:tc>
        <w:tc>
          <w:tcPr>
            <w:tcW w:w="993" w:type="dxa"/>
          </w:tcPr>
          <w:p w:rsidR="00000000" w:rsidRDefault="00000000">
            <w:pPr>
              <w:ind w:right="113"/>
              <w:jc w:val="right"/>
              <w:rPr>
                <w:snapToGrid w:val="0"/>
              </w:rPr>
            </w:pPr>
          </w:p>
        </w:tc>
        <w:tc>
          <w:tcPr>
            <w:tcW w:w="1271" w:type="dxa"/>
          </w:tcPr>
          <w:p w:rsidR="00000000" w:rsidRDefault="00000000">
            <w:pPr>
              <w:ind w:right="227"/>
              <w:jc w:val="right"/>
              <w:rPr>
                <w:snapToGrid w:val="0"/>
              </w:rPr>
            </w:pPr>
          </w:p>
        </w:tc>
        <w:tc>
          <w:tcPr>
            <w:tcW w:w="1610" w:type="dxa"/>
          </w:tcPr>
          <w:p w:rsidR="00000000" w:rsidRDefault="00000000">
            <w:pPr>
              <w:ind w:right="428"/>
              <w:jc w:val="right"/>
              <w:rPr>
                <w:snapToGrid w:val="0"/>
              </w:rPr>
            </w:pPr>
          </w:p>
        </w:tc>
      </w:tr>
      <w:tr w:rsidR="00000000">
        <w:tblPrEx>
          <w:tblCellMar>
            <w:top w:w="0" w:type="dxa"/>
            <w:bottom w:w="0" w:type="dxa"/>
          </w:tblCellMar>
        </w:tblPrEx>
        <w:trPr>
          <w:cantSplit/>
          <w:trHeight w:val="192"/>
          <w:jc w:val="center"/>
        </w:trPr>
        <w:tc>
          <w:tcPr>
            <w:tcW w:w="2267" w:type="dxa"/>
            <w:vAlign w:val="center"/>
          </w:tcPr>
          <w:p w:rsidR="00000000" w:rsidRDefault="00000000">
            <w:pPr>
              <w:rPr>
                <w:snapToGrid w:val="0"/>
              </w:rPr>
            </w:pPr>
          </w:p>
        </w:tc>
        <w:tc>
          <w:tcPr>
            <w:tcW w:w="993" w:type="dxa"/>
          </w:tcPr>
          <w:p w:rsidR="00000000" w:rsidRDefault="00000000">
            <w:pPr>
              <w:ind w:right="284"/>
              <w:jc w:val="right"/>
              <w:rPr>
                <w:snapToGrid w:val="0"/>
              </w:rPr>
            </w:pPr>
          </w:p>
        </w:tc>
        <w:tc>
          <w:tcPr>
            <w:tcW w:w="1139" w:type="dxa"/>
          </w:tcPr>
          <w:p w:rsidR="00000000" w:rsidRDefault="00000000">
            <w:pPr>
              <w:ind w:right="113"/>
              <w:jc w:val="right"/>
              <w:rPr>
                <w:snapToGrid w:val="0"/>
              </w:rPr>
            </w:pPr>
          </w:p>
        </w:tc>
        <w:tc>
          <w:tcPr>
            <w:tcW w:w="993" w:type="dxa"/>
          </w:tcPr>
          <w:p w:rsidR="00000000" w:rsidRDefault="00000000">
            <w:pPr>
              <w:ind w:right="113"/>
              <w:jc w:val="right"/>
              <w:rPr>
                <w:snapToGrid w:val="0"/>
              </w:rPr>
            </w:pPr>
          </w:p>
        </w:tc>
        <w:tc>
          <w:tcPr>
            <w:tcW w:w="1271" w:type="dxa"/>
          </w:tcPr>
          <w:p w:rsidR="00000000" w:rsidRDefault="00000000">
            <w:pPr>
              <w:ind w:right="227"/>
              <w:jc w:val="right"/>
              <w:rPr>
                <w:snapToGrid w:val="0"/>
              </w:rPr>
            </w:pPr>
          </w:p>
        </w:tc>
        <w:tc>
          <w:tcPr>
            <w:tcW w:w="1610" w:type="dxa"/>
          </w:tcPr>
          <w:p w:rsidR="00000000" w:rsidRDefault="00000000">
            <w:pPr>
              <w:ind w:right="428"/>
              <w:jc w:val="right"/>
              <w:rPr>
                <w:snapToGrid w:val="0"/>
              </w:rPr>
            </w:pPr>
          </w:p>
        </w:tc>
      </w:tr>
      <w:tr w:rsidR="00000000">
        <w:tblPrEx>
          <w:tblCellMar>
            <w:top w:w="0" w:type="dxa"/>
            <w:bottom w:w="0" w:type="dxa"/>
          </w:tblCellMar>
        </w:tblPrEx>
        <w:trPr>
          <w:cantSplit/>
          <w:trHeight w:val="192"/>
          <w:jc w:val="center"/>
        </w:trPr>
        <w:tc>
          <w:tcPr>
            <w:tcW w:w="2267" w:type="dxa"/>
            <w:vAlign w:val="center"/>
          </w:tcPr>
          <w:p w:rsidR="00000000" w:rsidRDefault="00000000">
            <w:pPr>
              <w:rPr>
                <w:snapToGrid w:val="0"/>
              </w:rPr>
            </w:pPr>
          </w:p>
        </w:tc>
        <w:tc>
          <w:tcPr>
            <w:tcW w:w="993" w:type="dxa"/>
          </w:tcPr>
          <w:p w:rsidR="00000000" w:rsidRDefault="00000000">
            <w:pPr>
              <w:ind w:right="284"/>
              <w:jc w:val="right"/>
              <w:rPr>
                <w:snapToGrid w:val="0"/>
              </w:rPr>
            </w:pPr>
          </w:p>
        </w:tc>
        <w:tc>
          <w:tcPr>
            <w:tcW w:w="1139" w:type="dxa"/>
          </w:tcPr>
          <w:p w:rsidR="00000000" w:rsidRDefault="00000000">
            <w:pPr>
              <w:ind w:right="113"/>
              <w:jc w:val="right"/>
              <w:rPr>
                <w:snapToGrid w:val="0"/>
              </w:rPr>
            </w:pPr>
          </w:p>
        </w:tc>
        <w:tc>
          <w:tcPr>
            <w:tcW w:w="993" w:type="dxa"/>
          </w:tcPr>
          <w:p w:rsidR="00000000" w:rsidRDefault="00000000">
            <w:pPr>
              <w:ind w:right="113"/>
              <w:jc w:val="right"/>
              <w:rPr>
                <w:snapToGrid w:val="0"/>
              </w:rPr>
            </w:pPr>
          </w:p>
        </w:tc>
        <w:tc>
          <w:tcPr>
            <w:tcW w:w="1271" w:type="dxa"/>
          </w:tcPr>
          <w:p w:rsidR="00000000" w:rsidRDefault="00000000">
            <w:pPr>
              <w:ind w:right="227"/>
              <w:jc w:val="right"/>
              <w:rPr>
                <w:snapToGrid w:val="0"/>
              </w:rPr>
            </w:pPr>
          </w:p>
        </w:tc>
        <w:tc>
          <w:tcPr>
            <w:tcW w:w="1610" w:type="dxa"/>
          </w:tcPr>
          <w:p w:rsidR="00000000" w:rsidRDefault="00000000">
            <w:pPr>
              <w:ind w:right="428"/>
              <w:jc w:val="right"/>
              <w:rPr>
                <w:snapToGrid w:val="0"/>
              </w:rPr>
            </w:pPr>
          </w:p>
        </w:tc>
      </w:tr>
    </w:tbl>
    <w:p w:rsidR="00000000" w:rsidRDefault="00000000">
      <w:pPr>
        <w:jc w:val="center"/>
      </w:pPr>
    </w:p>
    <w:tbl>
      <w:tblPr>
        <w:tblW w:w="0" w:type="auto"/>
        <w:jc w:val="center"/>
        <w:tblLayout w:type="fixed"/>
        <w:tblCellMar>
          <w:left w:w="30" w:type="dxa"/>
          <w:right w:w="30" w:type="dxa"/>
        </w:tblCellMar>
        <w:tblLook w:val="0000" w:firstRow="0" w:lastRow="0" w:firstColumn="0" w:lastColumn="0" w:noHBand="0" w:noVBand="0"/>
      </w:tblPr>
      <w:tblGrid>
        <w:gridCol w:w="5"/>
        <w:gridCol w:w="2262"/>
        <w:gridCol w:w="5"/>
        <w:gridCol w:w="988"/>
        <w:gridCol w:w="5"/>
        <w:gridCol w:w="1134"/>
        <w:gridCol w:w="993"/>
        <w:gridCol w:w="1271"/>
        <w:gridCol w:w="5"/>
        <w:gridCol w:w="1605"/>
        <w:gridCol w:w="11"/>
      </w:tblGrid>
      <w:tr w:rsidR="00000000">
        <w:tblPrEx>
          <w:tblCellMar>
            <w:top w:w="0" w:type="dxa"/>
            <w:bottom w:w="0" w:type="dxa"/>
          </w:tblCellMar>
        </w:tblPrEx>
        <w:trPr>
          <w:gridAfter w:val="1"/>
          <w:wAfter w:w="11" w:type="dxa"/>
          <w:cantSplit/>
          <w:trHeight w:val="192"/>
          <w:tblHeader/>
          <w:jc w:val="center"/>
        </w:trPr>
        <w:tc>
          <w:tcPr>
            <w:tcW w:w="8273" w:type="dxa"/>
            <w:gridSpan w:val="10"/>
            <w:tcBorders>
              <w:bottom w:val="single" w:sz="4" w:space="0" w:color="auto"/>
            </w:tcBorders>
          </w:tcPr>
          <w:p w:rsidR="00000000" w:rsidRDefault="00000000">
            <w:pPr>
              <w:jc w:val="center"/>
              <w:rPr>
                <w:b/>
                <w:bCs/>
              </w:rPr>
            </w:pPr>
            <w:r>
              <w:br w:type="page"/>
            </w:r>
            <w:r>
              <w:rPr>
                <w:b/>
                <w:bCs/>
              </w:rPr>
              <w:t>Table 28 (</w:t>
            </w:r>
            <w:r>
              <w:rPr>
                <w:b/>
                <w:bCs/>
                <w:u w:val="single"/>
              </w:rPr>
              <w:t>continued</w:t>
            </w:r>
            <w:r>
              <w:rPr>
                <w:b/>
                <w:bCs/>
              </w:rPr>
              <w:t xml:space="preserve">) </w:t>
            </w:r>
          </w:p>
          <w:p w:rsidR="00000000" w:rsidRDefault="00000000">
            <w:pPr>
              <w:ind w:right="85"/>
              <w:jc w:val="center"/>
              <w:rPr>
                <w:snapToGrid w:val="0"/>
              </w:rPr>
            </w:pPr>
          </w:p>
        </w:tc>
      </w:tr>
      <w:tr w:rsidR="00000000">
        <w:tblPrEx>
          <w:tblCellMar>
            <w:top w:w="0" w:type="dxa"/>
            <w:bottom w:w="0" w:type="dxa"/>
          </w:tblCellMar>
        </w:tblPrEx>
        <w:trPr>
          <w:gridAfter w:val="1"/>
          <w:wAfter w:w="11" w:type="dxa"/>
          <w:cantSplit/>
          <w:trHeight w:val="192"/>
          <w:tblHeader/>
          <w:jc w:val="center"/>
        </w:trPr>
        <w:tc>
          <w:tcPr>
            <w:tcW w:w="2267" w:type="dxa"/>
            <w:gridSpan w:val="2"/>
            <w:vMerge w:val="restart"/>
            <w:tcBorders>
              <w:top w:val="single" w:sz="4" w:space="0" w:color="auto"/>
              <w:left w:val="single" w:sz="4" w:space="0" w:color="auto"/>
              <w:bottom w:val="single" w:sz="4" w:space="0" w:color="auto"/>
              <w:right w:val="single" w:sz="4" w:space="0" w:color="auto"/>
            </w:tcBorders>
          </w:tcPr>
          <w:p w:rsidR="00000000" w:rsidRDefault="00000000">
            <w:pPr>
              <w:rPr>
                <w:snapToGrid w:val="0"/>
              </w:rPr>
            </w:pPr>
            <w:r>
              <w:br w:type="page"/>
            </w:r>
          </w:p>
        </w:tc>
        <w:tc>
          <w:tcPr>
            <w:tcW w:w="993" w:type="dxa"/>
            <w:gridSpan w:val="2"/>
            <w:vMerge w:val="restart"/>
            <w:tcBorders>
              <w:top w:val="single" w:sz="4" w:space="0" w:color="auto"/>
              <w:left w:val="single" w:sz="4" w:space="0" w:color="auto"/>
              <w:right w:val="single" w:sz="4" w:space="0" w:color="auto"/>
            </w:tcBorders>
          </w:tcPr>
          <w:p w:rsidR="00000000" w:rsidRDefault="00000000">
            <w:pPr>
              <w:ind w:right="85"/>
              <w:jc w:val="center"/>
              <w:rPr>
                <w:snapToGrid w:val="0"/>
              </w:rPr>
            </w:pPr>
            <w:r>
              <w:rPr>
                <w:snapToGrid w:val="0"/>
              </w:rPr>
              <w:t>Years</w:t>
            </w:r>
          </w:p>
        </w:tc>
        <w:tc>
          <w:tcPr>
            <w:tcW w:w="1139" w:type="dxa"/>
            <w:gridSpan w:val="2"/>
            <w:vMerge w:val="restart"/>
            <w:tcBorders>
              <w:top w:val="single" w:sz="4" w:space="0" w:color="auto"/>
              <w:left w:val="single" w:sz="4" w:space="0" w:color="auto"/>
              <w:right w:val="single" w:sz="4" w:space="0" w:color="auto"/>
            </w:tcBorders>
          </w:tcPr>
          <w:p w:rsidR="00000000" w:rsidRDefault="00000000">
            <w:pPr>
              <w:ind w:right="113"/>
              <w:jc w:val="center"/>
              <w:rPr>
                <w:snapToGrid w:val="0"/>
              </w:rPr>
            </w:pPr>
            <w:r>
              <w:rPr>
                <w:snapToGrid w:val="0"/>
              </w:rPr>
              <w:t>Total</w:t>
            </w:r>
          </w:p>
        </w:tc>
        <w:tc>
          <w:tcPr>
            <w:tcW w:w="3874" w:type="dxa"/>
            <w:gridSpan w:val="4"/>
            <w:tcBorders>
              <w:top w:val="single" w:sz="4" w:space="0" w:color="auto"/>
              <w:left w:val="single" w:sz="4" w:space="0" w:color="auto"/>
              <w:bottom w:val="single" w:sz="4" w:space="0" w:color="auto"/>
              <w:right w:val="single" w:sz="4" w:space="0" w:color="auto"/>
            </w:tcBorders>
          </w:tcPr>
          <w:p w:rsidR="00000000" w:rsidRDefault="00000000">
            <w:pPr>
              <w:ind w:right="85"/>
              <w:jc w:val="center"/>
              <w:rPr>
                <w:snapToGrid w:val="0"/>
              </w:rPr>
            </w:pPr>
            <w:r>
              <w:rPr>
                <w:snapToGrid w:val="0"/>
              </w:rPr>
              <w:t>Cause</w:t>
            </w:r>
          </w:p>
        </w:tc>
      </w:tr>
      <w:tr w:rsidR="00000000">
        <w:tblPrEx>
          <w:tblCellMar>
            <w:top w:w="0" w:type="dxa"/>
            <w:bottom w:w="0" w:type="dxa"/>
          </w:tblCellMar>
        </w:tblPrEx>
        <w:trPr>
          <w:gridAfter w:val="1"/>
          <w:wAfter w:w="11" w:type="dxa"/>
          <w:cantSplit/>
          <w:trHeight w:val="192"/>
          <w:tblHeader/>
          <w:jc w:val="center"/>
        </w:trPr>
        <w:tc>
          <w:tcPr>
            <w:tcW w:w="2267"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rPr>
                <w:snapToGrid w:val="0"/>
              </w:rPr>
            </w:pPr>
          </w:p>
        </w:tc>
        <w:tc>
          <w:tcPr>
            <w:tcW w:w="993" w:type="dxa"/>
            <w:gridSpan w:val="2"/>
            <w:vMerge/>
            <w:tcBorders>
              <w:left w:val="single" w:sz="4" w:space="0" w:color="auto"/>
              <w:bottom w:val="single" w:sz="4" w:space="0" w:color="auto"/>
              <w:right w:val="single" w:sz="4" w:space="0" w:color="auto"/>
            </w:tcBorders>
          </w:tcPr>
          <w:p w:rsidR="00000000" w:rsidRDefault="00000000">
            <w:pPr>
              <w:ind w:right="284"/>
              <w:jc w:val="right"/>
              <w:rPr>
                <w:snapToGrid w:val="0"/>
              </w:rPr>
            </w:pPr>
          </w:p>
        </w:tc>
        <w:tc>
          <w:tcPr>
            <w:tcW w:w="1139" w:type="dxa"/>
            <w:gridSpan w:val="2"/>
            <w:vMerge/>
            <w:tcBorders>
              <w:left w:val="single" w:sz="4" w:space="0" w:color="auto"/>
              <w:bottom w:val="single" w:sz="4" w:space="0" w:color="auto"/>
              <w:right w:val="single" w:sz="4" w:space="0" w:color="auto"/>
            </w:tcBorders>
          </w:tcPr>
          <w:p w:rsidR="00000000" w:rsidRDefault="00000000">
            <w:pPr>
              <w:ind w:right="113"/>
              <w:jc w:val="right"/>
              <w:rPr>
                <w:snapToGrid w:val="0"/>
              </w:rPr>
            </w:pPr>
          </w:p>
        </w:tc>
        <w:tc>
          <w:tcPr>
            <w:tcW w:w="993" w:type="dxa"/>
            <w:tcBorders>
              <w:top w:val="single" w:sz="4" w:space="0" w:color="auto"/>
              <w:left w:val="single" w:sz="4" w:space="0" w:color="auto"/>
              <w:bottom w:val="single" w:sz="4" w:space="0" w:color="auto"/>
              <w:right w:val="single" w:sz="4" w:space="0" w:color="auto"/>
            </w:tcBorders>
          </w:tcPr>
          <w:p w:rsidR="00000000" w:rsidRDefault="00000000">
            <w:pPr>
              <w:ind w:right="113"/>
              <w:jc w:val="center"/>
              <w:rPr>
                <w:snapToGrid w:val="0"/>
              </w:rPr>
            </w:pPr>
            <w:r>
              <w:rPr>
                <w:snapToGrid w:val="0"/>
              </w:rPr>
              <w:t>Typical</w:t>
            </w:r>
          </w:p>
        </w:tc>
        <w:tc>
          <w:tcPr>
            <w:tcW w:w="1271"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On the way to work</w:t>
            </w:r>
          </w:p>
        </w:tc>
        <w:tc>
          <w:tcPr>
            <w:tcW w:w="1610"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Occupational diseases</w:t>
            </w:r>
          </w:p>
        </w:tc>
      </w:tr>
      <w:tr w:rsidR="00000000">
        <w:tblPrEx>
          <w:tblCellMar>
            <w:top w:w="0" w:type="dxa"/>
            <w:bottom w:w="0" w:type="dxa"/>
          </w:tblCellMar>
        </w:tblPrEx>
        <w:trPr>
          <w:gridAfter w:val="1"/>
          <w:wAfter w:w="11" w:type="dxa"/>
          <w:cantSplit/>
          <w:trHeight w:val="192"/>
          <w:jc w:val="center"/>
        </w:trPr>
        <w:tc>
          <w:tcPr>
            <w:tcW w:w="2267" w:type="dxa"/>
            <w:gridSpan w:val="2"/>
            <w:vMerge w:val="restart"/>
            <w:tcBorders>
              <w:top w:val="single" w:sz="4" w:space="0" w:color="auto"/>
              <w:left w:val="single" w:sz="4" w:space="0" w:color="auto"/>
              <w:right w:val="single" w:sz="4" w:space="0" w:color="auto"/>
            </w:tcBorders>
            <w:vAlign w:val="center"/>
          </w:tcPr>
          <w:p w:rsidR="00000000" w:rsidRDefault="00000000">
            <w:pPr>
              <w:rPr>
                <w:snapToGrid w:val="0"/>
              </w:rPr>
            </w:pPr>
            <w:r>
              <w:rPr>
                <w:snapToGrid w:val="0"/>
              </w:rPr>
              <w:t>Piauí</w:t>
            </w:r>
          </w:p>
        </w:tc>
        <w:tc>
          <w:tcPr>
            <w:tcW w:w="993" w:type="dxa"/>
            <w:gridSpan w:val="2"/>
            <w:tcBorders>
              <w:top w:val="single" w:sz="4" w:space="0" w:color="auto"/>
              <w:left w:val="single" w:sz="4" w:space="0" w:color="auto"/>
              <w:right w:val="single" w:sz="4" w:space="0" w:color="auto"/>
            </w:tcBorders>
          </w:tcPr>
          <w:p w:rsidR="00000000" w:rsidRDefault="00000000">
            <w:pPr>
              <w:ind w:right="284"/>
              <w:jc w:val="right"/>
              <w:rPr>
                <w:snapToGrid w:val="0"/>
              </w:rPr>
            </w:pPr>
            <w:r>
              <w:rPr>
                <w:snapToGrid w:val="0"/>
              </w:rPr>
              <w:t>1997</w:t>
            </w:r>
          </w:p>
        </w:tc>
        <w:tc>
          <w:tcPr>
            <w:tcW w:w="1139" w:type="dxa"/>
            <w:gridSpan w:val="2"/>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462</w:t>
            </w:r>
          </w:p>
        </w:tc>
        <w:tc>
          <w:tcPr>
            <w:tcW w:w="993" w:type="dxa"/>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330</w:t>
            </w:r>
          </w:p>
        </w:tc>
        <w:tc>
          <w:tcPr>
            <w:tcW w:w="1271" w:type="dxa"/>
            <w:tcBorders>
              <w:top w:val="single" w:sz="4" w:space="0" w:color="auto"/>
              <w:left w:val="single" w:sz="4" w:space="0" w:color="auto"/>
              <w:right w:val="single" w:sz="4" w:space="0" w:color="auto"/>
            </w:tcBorders>
          </w:tcPr>
          <w:p w:rsidR="00000000" w:rsidRDefault="00000000">
            <w:pPr>
              <w:ind w:right="227"/>
              <w:jc w:val="right"/>
              <w:rPr>
                <w:snapToGrid w:val="0"/>
              </w:rPr>
            </w:pPr>
            <w:r>
              <w:rPr>
                <w:snapToGrid w:val="0"/>
              </w:rPr>
              <w:t xml:space="preserve">   118</w:t>
            </w:r>
          </w:p>
        </w:tc>
        <w:tc>
          <w:tcPr>
            <w:tcW w:w="1610" w:type="dxa"/>
            <w:gridSpan w:val="2"/>
            <w:tcBorders>
              <w:top w:val="single" w:sz="4" w:space="0" w:color="auto"/>
              <w:left w:val="single" w:sz="4" w:space="0" w:color="auto"/>
              <w:right w:val="single" w:sz="4" w:space="0" w:color="auto"/>
            </w:tcBorders>
          </w:tcPr>
          <w:p w:rsidR="00000000" w:rsidRDefault="00000000">
            <w:pPr>
              <w:ind w:right="428"/>
              <w:jc w:val="right"/>
              <w:rPr>
                <w:snapToGrid w:val="0"/>
              </w:rPr>
            </w:pPr>
            <w:r>
              <w:rPr>
                <w:snapToGrid w:val="0"/>
              </w:rPr>
              <w:t xml:space="preserve">    14</w:t>
            </w:r>
          </w:p>
        </w:tc>
      </w:tr>
      <w:tr w:rsidR="00000000">
        <w:tblPrEx>
          <w:tblCellMar>
            <w:top w:w="0" w:type="dxa"/>
            <w:bottom w:w="0" w:type="dxa"/>
          </w:tblCellMar>
        </w:tblPrEx>
        <w:trPr>
          <w:gridAfter w:val="1"/>
          <w:wAfter w:w="11" w:type="dxa"/>
          <w:cantSplit/>
          <w:trHeight w:val="192"/>
          <w:jc w:val="center"/>
        </w:trPr>
        <w:tc>
          <w:tcPr>
            <w:tcW w:w="2267" w:type="dxa"/>
            <w:gridSpan w:val="2"/>
            <w:vMerge/>
            <w:tcBorders>
              <w:left w:val="single" w:sz="4" w:space="0" w:color="auto"/>
              <w:right w:val="single" w:sz="4" w:space="0" w:color="auto"/>
            </w:tcBorders>
          </w:tcPr>
          <w:p w:rsidR="00000000" w:rsidRDefault="00000000">
            <w:pPr>
              <w:rPr>
                <w:snapToGrid w:val="0"/>
              </w:rPr>
            </w:pPr>
          </w:p>
        </w:tc>
        <w:tc>
          <w:tcPr>
            <w:tcW w:w="993" w:type="dxa"/>
            <w:gridSpan w:val="2"/>
            <w:tcBorders>
              <w:left w:val="single" w:sz="4" w:space="0" w:color="auto"/>
              <w:right w:val="single" w:sz="4" w:space="0" w:color="auto"/>
            </w:tcBorders>
          </w:tcPr>
          <w:p w:rsidR="00000000" w:rsidRDefault="00000000">
            <w:pPr>
              <w:ind w:right="284"/>
              <w:jc w:val="right"/>
              <w:rPr>
                <w:snapToGrid w:val="0"/>
              </w:rPr>
            </w:pPr>
            <w:r>
              <w:rPr>
                <w:snapToGrid w:val="0"/>
              </w:rPr>
              <w:t>1998</w:t>
            </w:r>
          </w:p>
        </w:tc>
        <w:tc>
          <w:tcPr>
            <w:tcW w:w="1139" w:type="dxa"/>
            <w:gridSpan w:val="2"/>
            <w:tcBorders>
              <w:left w:val="single" w:sz="4" w:space="0" w:color="auto"/>
              <w:right w:val="single" w:sz="4" w:space="0" w:color="auto"/>
            </w:tcBorders>
          </w:tcPr>
          <w:p w:rsidR="00000000" w:rsidRDefault="00000000">
            <w:pPr>
              <w:ind w:right="113"/>
              <w:jc w:val="right"/>
              <w:rPr>
                <w:snapToGrid w:val="0"/>
              </w:rPr>
            </w:pPr>
            <w:r>
              <w:rPr>
                <w:snapToGrid w:val="0"/>
              </w:rPr>
              <w:t xml:space="preserve">    488</w:t>
            </w:r>
          </w:p>
        </w:tc>
        <w:tc>
          <w:tcPr>
            <w:tcW w:w="993" w:type="dxa"/>
            <w:tcBorders>
              <w:left w:val="single" w:sz="4" w:space="0" w:color="auto"/>
              <w:right w:val="single" w:sz="4" w:space="0" w:color="auto"/>
            </w:tcBorders>
          </w:tcPr>
          <w:p w:rsidR="00000000" w:rsidRDefault="00000000">
            <w:pPr>
              <w:ind w:right="113"/>
              <w:jc w:val="right"/>
              <w:rPr>
                <w:snapToGrid w:val="0"/>
              </w:rPr>
            </w:pPr>
            <w:r>
              <w:rPr>
                <w:snapToGrid w:val="0"/>
              </w:rPr>
              <w:t xml:space="preserve">     335</w:t>
            </w:r>
          </w:p>
        </w:tc>
        <w:tc>
          <w:tcPr>
            <w:tcW w:w="1271" w:type="dxa"/>
            <w:tcBorders>
              <w:left w:val="single" w:sz="4" w:space="0" w:color="auto"/>
              <w:right w:val="single" w:sz="4" w:space="0" w:color="auto"/>
            </w:tcBorders>
          </w:tcPr>
          <w:p w:rsidR="00000000" w:rsidRDefault="00000000">
            <w:pPr>
              <w:ind w:right="227"/>
              <w:jc w:val="right"/>
              <w:rPr>
                <w:snapToGrid w:val="0"/>
              </w:rPr>
            </w:pPr>
            <w:r>
              <w:rPr>
                <w:snapToGrid w:val="0"/>
              </w:rPr>
              <w:t xml:space="preserve">   138</w:t>
            </w:r>
          </w:p>
        </w:tc>
        <w:tc>
          <w:tcPr>
            <w:tcW w:w="1610" w:type="dxa"/>
            <w:gridSpan w:val="2"/>
            <w:tcBorders>
              <w:left w:val="single" w:sz="4" w:space="0" w:color="auto"/>
              <w:right w:val="single" w:sz="4" w:space="0" w:color="auto"/>
            </w:tcBorders>
          </w:tcPr>
          <w:p w:rsidR="00000000" w:rsidRDefault="00000000">
            <w:pPr>
              <w:ind w:right="428"/>
              <w:jc w:val="right"/>
              <w:rPr>
                <w:snapToGrid w:val="0"/>
              </w:rPr>
            </w:pPr>
            <w:r>
              <w:rPr>
                <w:snapToGrid w:val="0"/>
              </w:rPr>
              <w:t xml:space="preserve">    15</w:t>
            </w:r>
          </w:p>
        </w:tc>
      </w:tr>
      <w:tr w:rsidR="00000000">
        <w:tblPrEx>
          <w:tblCellMar>
            <w:top w:w="0" w:type="dxa"/>
            <w:bottom w:w="0" w:type="dxa"/>
          </w:tblCellMar>
        </w:tblPrEx>
        <w:trPr>
          <w:gridAfter w:val="1"/>
          <w:wAfter w:w="11" w:type="dxa"/>
          <w:cantSplit/>
          <w:trHeight w:val="192"/>
          <w:jc w:val="center"/>
        </w:trPr>
        <w:tc>
          <w:tcPr>
            <w:tcW w:w="2267" w:type="dxa"/>
            <w:gridSpan w:val="2"/>
            <w:vMerge/>
            <w:tcBorders>
              <w:left w:val="single" w:sz="4" w:space="0" w:color="auto"/>
              <w:bottom w:val="single" w:sz="4" w:space="0" w:color="auto"/>
              <w:right w:val="single" w:sz="4" w:space="0" w:color="auto"/>
            </w:tcBorders>
          </w:tcPr>
          <w:p w:rsidR="00000000" w:rsidRDefault="00000000">
            <w:pPr>
              <w:rPr>
                <w:snapToGrid w:val="0"/>
              </w:rPr>
            </w:pPr>
          </w:p>
        </w:tc>
        <w:tc>
          <w:tcPr>
            <w:tcW w:w="993" w:type="dxa"/>
            <w:gridSpan w:val="2"/>
            <w:tcBorders>
              <w:left w:val="single" w:sz="4" w:space="0" w:color="auto"/>
              <w:bottom w:val="single" w:sz="4" w:space="0" w:color="auto"/>
              <w:right w:val="single" w:sz="4" w:space="0" w:color="auto"/>
            </w:tcBorders>
          </w:tcPr>
          <w:p w:rsidR="00000000" w:rsidRDefault="00000000">
            <w:pPr>
              <w:ind w:right="284"/>
              <w:jc w:val="right"/>
              <w:rPr>
                <w:snapToGrid w:val="0"/>
              </w:rPr>
            </w:pPr>
            <w:r>
              <w:rPr>
                <w:snapToGrid w:val="0"/>
              </w:rPr>
              <w:t>1999</w:t>
            </w:r>
          </w:p>
        </w:tc>
        <w:tc>
          <w:tcPr>
            <w:tcW w:w="1139" w:type="dxa"/>
            <w:gridSpan w:val="2"/>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599</w:t>
            </w:r>
          </w:p>
        </w:tc>
        <w:tc>
          <w:tcPr>
            <w:tcW w:w="993" w:type="dxa"/>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443</w:t>
            </w:r>
          </w:p>
        </w:tc>
        <w:tc>
          <w:tcPr>
            <w:tcW w:w="1271" w:type="dxa"/>
            <w:tcBorders>
              <w:left w:val="single" w:sz="4" w:space="0" w:color="auto"/>
              <w:bottom w:val="single" w:sz="4" w:space="0" w:color="auto"/>
              <w:right w:val="single" w:sz="4" w:space="0" w:color="auto"/>
            </w:tcBorders>
          </w:tcPr>
          <w:p w:rsidR="00000000" w:rsidRDefault="00000000">
            <w:pPr>
              <w:ind w:right="227"/>
              <w:jc w:val="right"/>
              <w:rPr>
                <w:snapToGrid w:val="0"/>
              </w:rPr>
            </w:pPr>
            <w:r>
              <w:rPr>
                <w:snapToGrid w:val="0"/>
              </w:rPr>
              <w:t xml:space="preserve">   138</w:t>
            </w:r>
          </w:p>
        </w:tc>
        <w:tc>
          <w:tcPr>
            <w:tcW w:w="1610" w:type="dxa"/>
            <w:gridSpan w:val="2"/>
            <w:tcBorders>
              <w:left w:val="single" w:sz="4" w:space="0" w:color="auto"/>
              <w:bottom w:val="single" w:sz="4" w:space="0" w:color="auto"/>
              <w:right w:val="single" w:sz="4" w:space="0" w:color="auto"/>
            </w:tcBorders>
          </w:tcPr>
          <w:p w:rsidR="00000000" w:rsidRDefault="00000000">
            <w:pPr>
              <w:ind w:right="428"/>
              <w:jc w:val="right"/>
              <w:rPr>
                <w:snapToGrid w:val="0"/>
              </w:rPr>
            </w:pPr>
            <w:r>
              <w:rPr>
                <w:snapToGrid w:val="0"/>
              </w:rPr>
              <w:t xml:space="preserve">    18</w:t>
            </w:r>
          </w:p>
        </w:tc>
      </w:tr>
      <w:tr w:rsidR="00000000">
        <w:tblPrEx>
          <w:tblCellMar>
            <w:top w:w="0" w:type="dxa"/>
            <w:bottom w:w="0" w:type="dxa"/>
          </w:tblCellMar>
        </w:tblPrEx>
        <w:trPr>
          <w:gridAfter w:val="1"/>
          <w:wAfter w:w="11" w:type="dxa"/>
          <w:cantSplit/>
          <w:trHeight w:val="192"/>
          <w:jc w:val="center"/>
        </w:trPr>
        <w:tc>
          <w:tcPr>
            <w:tcW w:w="2267"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rPr>
                <w:snapToGrid w:val="0"/>
              </w:rPr>
            </w:pPr>
            <w:r>
              <w:rPr>
                <w:snapToGrid w:val="0"/>
              </w:rPr>
              <w:t>Ceará</w:t>
            </w:r>
          </w:p>
        </w:tc>
        <w:tc>
          <w:tcPr>
            <w:tcW w:w="993" w:type="dxa"/>
            <w:gridSpan w:val="2"/>
            <w:tcBorders>
              <w:top w:val="single" w:sz="4" w:space="0" w:color="auto"/>
              <w:left w:val="single" w:sz="4" w:space="0" w:color="auto"/>
              <w:right w:val="single" w:sz="4" w:space="0" w:color="auto"/>
            </w:tcBorders>
          </w:tcPr>
          <w:p w:rsidR="00000000" w:rsidRDefault="00000000">
            <w:pPr>
              <w:ind w:right="284"/>
              <w:jc w:val="right"/>
              <w:rPr>
                <w:snapToGrid w:val="0"/>
              </w:rPr>
            </w:pPr>
            <w:r>
              <w:rPr>
                <w:snapToGrid w:val="0"/>
              </w:rPr>
              <w:t>1997</w:t>
            </w:r>
          </w:p>
        </w:tc>
        <w:tc>
          <w:tcPr>
            <w:tcW w:w="1139" w:type="dxa"/>
            <w:gridSpan w:val="2"/>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3 193</w:t>
            </w:r>
          </w:p>
        </w:tc>
        <w:tc>
          <w:tcPr>
            <w:tcW w:w="993" w:type="dxa"/>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2 371</w:t>
            </w:r>
          </w:p>
        </w:tc>
        <w:tc>
          <w:tcPr>
            <w:tcW w:w="1271" w:type="dxa"/>
            <w:tcBorders>
              <w:top w:val="single" w:sz="4" w:space="0" w:color="auto"/>
              <w:left w:val="single" w:sz="4" w:space="0" w:color="auto"/>
              <w:right w:val="single" w:sz="4" w:space="0" w:color="auto"/>
            </w:tcBorders>
          </w:tcPr>
          <w:p w:rsidR="00000000" w:rsidRDefault="00000000">
            <w:pPr>
              <w:ind w:right="227"/>
              <w:jc w:val="right"/>
              <w:rPr>
                <w:snapToGrid w:val="0"/>
              </w:rPr>
            </w:pPr>
            <w:r>
              <w:rPr>
                <w:snapToGrid w:val="0"/>
              </w:rPr>
              <w:t xml:space="preserve">   585</w:t>
            </w:r>
          </w:p>
        </w:tc>
        <w:tc>
          <w:tcPr>
            <w:tcW w:w="1610" w:type="dxa"/>
            <w:gridSpan w:val="2"/>
            <w:tcBorders>
              <w:top w:val="single" w:sz="4" w:space="0" w:color="auto"/>
              <w:left w:val="single" w:sz="4" w:space="0" w:color="auto"/>
              <w:right w:val="single" w:sz="4" w:space="0" w:color="auto"/>
            </w:tcBorders>
          </w:tcPr>
          <w:p w:rsidR="00000000" w:rsidRDefault="00000000">
            <w:pPr>
              <w:ind w:right="428"/>
              <w:jc w:val="right"/>
              <w:rPr>
                <w:snapToGrid w:val="0"/>
              </w:rPr>
            </w:pPr>
            <w:r>
              <w:rPr>
                <w:snapToGrid w:val="0"/>
              </w:rPr>
              <w:t xml:space="preserve">   237</w:t>
            </w:r>
          </w:p>
        </w:tc>
      </w:tr>
      <w:tr w:rsidR="00000000">
        <w:tblPrEx>
          <w:tblCellMar>
            <w:top w:w="0" w:type="dxa"/>
            <w:bottom w:w="0" w:type="dxa"/>
          </w:tblCellMar>
        </w:tblPrEx>
        <w:trPr>
          <w:gridAfter w:val="1"/>
          <w:wAfter w:w="11" w:type="dxa"/>
          <w:cantSplit/>
          <w:trHeight w:val="192"/>
          <w:jc w:val="center"/>
        </w:trPr>
        <w:tc>
          <w:tcPr>
            <w:tcW w:w="2267"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rPr>
                <w:snapToGrid w:val="0"/>
              </w:rPr>
            </w:pPr>
          </w:p>
        </w:tc>
        <w:tc>
          <w:tcPr>
            <w:tcW w:w="993" w:type="dxa"/>
            <w:gridSpan w:val="2"/>
            <w:tcBorders>
              <w:left w:val="single" w:sz="4" w:space="0" w:color="auto"/>
              <w:right w:val="single" w:sz="4" w:space="0" w:color="auto"/>
            </w:tcBorders>
          </w:tcPr>
          <w:p w:rsidR="00000000" w:rsidRDefault="00000000">
            <w:pPr>
              <w:ind w:right="284"/>
              <w:jc w:val="right"/>
              <w:rPr>
                <w:snapToGrid w:val="0"/>
              </w:rPr>
            </w:pPr>
            <w:r>
              <w:rPr>
                <w:snapToGrid w:val="0"/>
              </w:rPr>
              <w:t>1998</w:t>
            </w:r>
          </w:p>
        </w:tc>
        <w:tc>
          <w:tcPr>
            <w:tcW w:w="1139" w:type="dxa"/>
            <w:gridSpan w:val="2"/>
            <w:tcBorders>
              <w:left w:val="single" w:sz="4" w:space="0" w:color="auto"/>
              <w:right w:val="single" w:sz="4" w:space="0" w:color="auto"/>
            </w:tcBorders>
          </w:tcPr>
          <w:p w:rsidR="00000000" w:rsidRDefault="00000000">
            <w:pPr>
              <w:ind w:right="113"/>
              <w:jc w:val="right"/>
              <w:rPr>
                <w:snapToGrid w:val="0"/>
              </w:rPr>
            </w:pPr>
            <w:r>
              <w:rPr>
                <w:snapToGrid w:val="0"/>
              </w:rPr>
              <w:t xml:space="preserve">  3 243</w:t>
            </w:r>
          </w:p>
        </w:tc>
        <w:tc>
          <w:tcPr>
            <w:tcW w:w="993" w:type="dxa"/>
            <w:tcBorders>
              <w:left w:val="single" w:sz="4" w:space="0" w:color="auto"/>
              <w:right w:val="single" w:sz="4" w:space="0" w:color="auto"/>
            </w:tcBorders>
          </w:tcPr>
          <w:p w:rsidR="00000000" w:rsidRDefault="00000000">
            <w:pPr>
              <w:ind w:right="113"/>
              <w:jc w:val="right"/>
              <w:rPr>
                <w:snapToGrid w:val="0"/>
              </w:rPr>
            </w:pPr>
            <w:r>
              <w:rPr>
                <w:snapToGrid w:val="0"/>
              </w:rPr>
              <w:t xml:space="preserve">  2 360</w:t>
            </w:r>
          </w:p>
        </w:tc>
        <w:tc>
          <w:tcPr>
            <w:tcW w:w="1271" w:type="dxa"/>
            <w:tcBorders>
              <w:left w:val="single" w:sz="4" w:space="0" w:color="auto"/>
              <w:right w:val="single" w:sz="4" w:space="0" w:color="auto"/>
            </w:tcBorders>
          </w:tcPr>
          <w:p w:rsidR="00000000" w:rsidRDefault="00000000">
            <w:pPr>
              <w:ind w:right="227"/>
              <w:jc w:val="right"/>
              <w:rPr>
                <w:snapToGrid w:val="0"/>
              </w:rPr>
            </w:pPr>
            <w:r>
              <w:rPr>
                <w:snapToGrid w:val="0"/>
              </w:rPr>
              <w:t xml:space="preserve">   619</w:t>
            </w:r>
          </w:p>
        </w:tc>
        <w:tc>
          <w:tcPr>
            <w:tcW w:w="1610" w:type="dxa"/>
            <w:gridSpan w:val="2"/>
            <w:tcBorders>
              <w:left w:val="single" w:sz="4" w:space="0" w:color="auto"/>
              <w:right w:val="single" w:sz="4" w:space="0" w:color="auto"/>
            </w:tcBorders>
          </w:tcPr>
          <w:p w:rsidR="00000000" w:rsidRDefault="00000000">
            <w:pPr>
              <w:ind w:right="428"/>
              <w:jc w:val="right"/>
              <w:rPr>
                <w:snapToGrid w:val="0"/>
              </w:rPr>
            </w:pPr>
            <w:r>
              <w:rPr>
                <w:snapToGrid w:val="0"/>
              </w:rPr>
              <w:t xml:space="preserve">   264</w:t>
            </w:r>
          </w:p>
        </w:tc>
      </w:tr>
      <w:tr w:rsidR="00000000">
        <w:tblPrEx>
          <w:tblCellMar>
            <w:top w:w="0" w:type="dxa"/>
            <w:bottom w:w="0" w:type="dxa"/>
          </w:tblCellMar>
        </w:tblPrEx>
        <w:trPr>
          <w:gridAfter w:val="1"/>
          <w:wAfter w:w="11" w:type="dxa"/>
          <w:cantSplit/>
          <w:trHeight w:val="192"/>
          <w:jc w:val="center"/>
        </w:trPr>
        <w:tc>
          <w:tcPr>
            <w:tcW w:w="2267"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rPr>
                <w:snapToGrid w:val="0"/>
              </w:rPr>
            </w:pPr>
          </w:p>
        </w:tc>
        <w:tc>
          <w:tcPr>
            <w:tcW w:w="993" w:type="dxa"/>
            <w:gridSpan w:val="2"/>
            <w:tcBorders>
              <w:left w:val="single" w:sz="4" w:space="0" w:color="auto"/>
              <w:bottom w:val="single" w:sz="4" w:space="0" w:color="auto"/>
              <w:right w:val="single" w:sz="4" w:space="0" w:color="auto"/>
            </w:tcBorders>
          </w:tcPr>
          <w:p w:rsidR="00000000" w:rsidRDefault="00000000">
            <w:pPr>
              <w:ind w:right="284"/>
              <w:jc w:val="right"/>
              <w:rPr>
                <w:snapToGrid w:val="0"/>
              </w:rPr>
            </w:pPr>
            <w:r>
              <w:rPr>
                <w:snapToGrid w:val="0"/>
              </w:rPr>
              <w:t>1999</w:t>
            </w:r>
          </w:p>
        </w:tc>
        <w:tc>
          <w:tcPr>
            <w:tcW w:w="1139" w:type="dxa"/>
            <w:gridSpan w:val="2"/>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3 551</w:t>
            </w:r>
          </w:p>
        </w:tc>
        <w:tc>
          <w:tcPr>
            <w:tcW w:w="993" w:type="dxa"/>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2 630</w:t>
            </w:r>
          </w:p>
        </w:tc>
        <w:tc>
          <w:tcPr>
            <w:tcW w:w="1271" w:type="dxa"/>
            <w:tcBorders>
              <w:left w:val="single" w:sz="4" w:space="0" w:color="auto"/>
              <w:bottom w:val="single" w:sz="4" w:space="0" w:color="auto"/>
              <w:right w:val="single" w:sz="4" w:space="0" w:color="auto"/>
            </w:tcBorders>
          </w:tcPr>
          <w:p w:rsidR="00000000" w:rsidRDefault="00000000">
            <w:pPr>
              <w:ind w:right="227"/>
              <w:jc w:val="right"/>
              <w:rPr>
                <w:snapToGrid w:val="0"/>
              </w:rPr>
            </w:pPr>
            <w:r>
              <w:rPr>
                <w:snapToGrid w:val="0"/>
              </w:rPr>
              <w:t xml:space="preserve">   617</w:t>
            </w:r>
          </w:p>
        </w:tc>
        <w:tc>
          <w:tcPr>
            <w:tcW w:w="1610" w:type="dxa"/>
            <w:gridSpan w:val="2"/>
            <w:tcBorders>
              <w:left w:val="single" w:sz="4" w:space="0" w:color="auto"/>
              <w:bottom w:val="single" w:sz="4" w:space="0" w:color="auto"/>
              <w:right w:val="single" w:sz="4" w:space="0" w:color="auto"/>
            </w:tcBorders>
          </w:tcPr>
          <w:p w:rsidR="00000000" w:rsidRDefault="00000000">
            <w:pPr>
              <w:ind w:right="428"/>
              <w:jc w:val="right"/>
              <w:rPr>
                <w:snapToGrid w:val="0"/>
              </w:rPr>
            </w:pPr>
            <w:r>
              <w:rPr>
                <w:snapToGrid w:val="0"/>
              </w:rPr>
              <w:t xml:space="preserve">   304</w:t>
            </w:r>
          </w:p>
        </w:tc>
      </w:tr>
      <w:tr w:rsidR="00000000">
        <w:tblPrEx>
          <w:tblCellMar>
            <w:top w:w="0" w:type="dxa"/>
            <w:bottom w:w="0" w:type="dxa"/>
          </w:tblCellMar>
        </w:tblPrEx>
        <w:trPr>
          <w:gridAfter w:val="1"/>
          <w:wAfter w:w="11" w:type="dxa"/>
          <w:cantSplit/>
          <w:trHeight w:val="192"/>
          <w:jc w:val="center"/>
        </w:trPr>
        <w:tc>
          <w:tcPr>
            <w:tcW w:w="2267"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rPr>
                <w:snapToGrid w:val="0"/>
              </w:rPr>
            </w:pPr>
            <w:r>
              <w:rPr>
                <w:snapToGrid w:val="0"/>
              </w:rPr>
              <w:t>Rio G. do Norte</w:t>
            </w:r>
          </w:p>
        </w:tc>
        <w:tc>
          <w:tcPr>
            <w:tcW w:w="993" w:type="dxa"/>
            <w:gridSpan w:val="2"/>
            <w:tcBorders>
              <w:top w:val="single" w:sz="4" w:space="0" w:color="auto"/>
              <w:left w:val="single" w:sz="4" w:space="0" w:color="auto"/>
              <w:right w:val="single" w:sz="4" w:space="0" w:color="auto"/>
            </w:tcBorders>
          </w:tcPr>
          <w:p w:rsidR="00000000" w:rsidRDefault="00000000">
            <w:pPr>
              <w:ind w:right="284"/>
              <w:jc w:val="right"/>
              <w:rPr>
                <w:snapToGrid w:val="0"/>
              </w:rPr>
            </w:pPr>
            <w:r>
              <w:rPr>
                <w:snapToGrid w:val="0"/>
              </w:rPr>
              <w:t>1997</w:t>
            </w:r>
          </w:p>
        </w:tc>
        <w:tc>
          <w:tcPr>
            <w:tcW w:w="1139" w:type="dxa"/>
            <w:gridSpan w:val="2"/>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1 450</w:t>
            </w:r>
          </w:p>
        </w:tc>
        <w:tc>
          <w:tcPr>
            <w:tcW w:w="993" w:type="dxa"/>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1 229</w:t>
            </w:r>
          </w:p>
        </w:tc>
        <w:tc>
          <w:tcPr>
            <w:tcW w:w="1271" w:type="dxa"/>
            <w:tcBorders>
              <w:top w:val="single" w:sz="4" w:space="0" w:color="auto"/>
              <w:left w:val="single" w:sz="4" w:space="0" w:color="auto"/>
              <w:right w:val="single" w:sz="4" w:space="0" w:color="auto"/>
            </w:tcBorders>
          </w:tcPr>
          <w:p w:rsidR="00000000" w:rsidRDefault="00000000">
            <w:pPr>
              <w:ind w:right="227"/>
              <w:jc w:val="right"/>
              <w:rPr>
                <w:snapToGrid w:val="0"/>
              </w:rPr>
            </w:pPr>
            <w:r>
              <w:rPr>
                <w:snapToGrid w:val="0"/>
              </w:rPr>
              <w:t xml:space="preserve">   193</w:t>
            </w:r>
          </w:p>
        </w:tc>
        <w:tc>
          <w:tcPr>
            <w:tcW w:w="1610" w:type="dxa"/>
            <w:gridSpan w:val="2"/>
            <w:tcBorders>
              <w:top w:val="single" w:sz="4" w:space="0" w:color="auto"/>
              <w:left w:val="single" w:sz="4" w:space="0" w:color="auto"/>
              <w:right w:val="single" w:sz="4" w:space="0" w:color="auto"/>
            </w:tcBorders>
          </w:tcPr>
          <w:p w:rsidR="00000000" w:rsidRDefault="00000000">
            <w:pPr>
              <w:ind w:right="428"/>
              <w:jc w:val="right"/>
              <w:rPr>
                <w:snapToGrid w:val="0"/>
              </w:rPr>
            </w:pPr>
            <w:r>
              <w:rPr>
                <w:snapToGrid w:val="0"/>
              </w:rPr>
              <w:t xml:space="preserve">      28</w:t>
            </w:r>
          </w:p>
        </w:tc>
      </w:tr>
      <w:tr w:rsidR="00000000">
        <w:tblPrEx>
          <w:tblCellMar>
            <w:top w:w="0" w:type="dxa"/>
            <w:bottom w:w="0" w:type="dxa"/>
          </w:tblCellMar>
        </w:tblPrEx>
        <w:trPr>
          <w:gridAfter w:val="1"/>
          <w:wAfter w:w="11" w:type="dxa"/>
          <w:cantSplit/>
          <w:trHeight w:val="192"/>
          <w:jc w:val="center"/>
        </w:trPr>
        <w:tc>
          <w:tcPr>
            <w:tcW w:w="2267"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rPr>
                <w:snapToGrid w:val="0"/>
              </w:rPr>
            </w:pPr>
          </w:p>
        </w:tc>
        <w:tc>
          <w:tcPr>
            <w:tcW w:w="993" w:type="dxa"/>
            <w:gridSpan w:val="2"/>
            <w:tcBorders>
              <w:left w:val="single" w:sz="4" w:space="0" w:color="auto"/>
              <w:right w:val="single" w:sz="4" w:space="0" w:color="auto"/>
            </w:tcBorders>
          </w:tcPr>
          <w:p w:rsidR="00000000" w:rsidRDefault="00000000">
            <w:pPr>
              <w:ind w:right="284"/>
              <w:jc w:val="right"/>
              <w:rPr>
                <w:snapToGrid w:val="0"/>
              </w:rPr>
            </w:pPr>
            <w:r>
              <w:rPr>
                <w:snapToGrid w:val="0"/>
              </w:rPr>
              <w:t>1998</w:t>
            </w:r>
          </w:p>
        </w:tc>
        <w:tc>
          <w:tcPr>
            <w:tcW w:w="1139" w:type="dxa"/>
            <w:gridSpan w:val="2"/>
            <w:tcBorders>
              <w:left w:val="single" w:sz="4" w:space="0" w:color="auto"/>
              <w:right w:val="single" w:sz="4" w:space="0" w:color="auto"/>
            </w:tcBorders>
          </w:tcPr>
          <w:p w:rsidR="00000000" w:rsidRDefault="00000000">
            <w:pPr>
              <w:ind w:right="113"/>
              <w:jc w:val="right"/>
              <w:rPr>
                <w:snapToGrid w:val="0"/>
              </w:rPr>
            </w:pPr>
            <w:r>
              <w:rPr>
                <w:snapToGrid w:val="0"/>
              </w:rPr>
              <w:t xml:space="preserve">  1 695</w:t>
            </w:r>
          </w:p>
        </w:tc>
        <w:tc>
          <w:tcPr>
            <w:tcW w:w="993" w:type="dxa"/>
            <w:tcBorders>
              <w:left w:val="single" w:sz="4" w:space="0" w:color="auto"/>
              <w:right w:val="single" w:sz="4" w:space="0" w:color="auto"/>
            </w:tcBorders>
          </w:tcPr>
          <w:p w:rsidR="00000000" w:rsidRDefault="00000000">
            <w:pPr>
              <w:ind w:right="113"/>
              <w:jc w:val="right"/>
              <w:rPr>
                <w:snapToGrid w:val="0"/>
              </w:rPr>
            </w:pPr>
            <w:r>
              <w:rPr>
                <w:snapToGrid w:val="0"/>
              </w:rPr>
              <w:t xml:space="preserve">  1 431</w:t>
            </w:r>
          </w:p>
        </w:tc>
        <w:tc>
          <w:tcPr>
            <w:tcW w:w="1271" w:type="dxa"/>
            <w:tcBorders>
              <w:left w:val="single" w:sz="4" w:space="0" w:color="auto"/>
              <w:right w:val="single" w:sz="4" w:space="0" w:color="auto"/>
            </w:tcBorders>
          </w:tcPr>
          <w:p w:rsidR="00000000" w:rsidRDefault="00000000">
            <w:pPr>
              <w:ind w:right="227"/>
              <w:jc w:val="right"/>
              <w:rPr>
                <w:snapToGrid w:val="0"/>
              </w:rPr>
            </w:pPr>
            <w:r>
              <w:rPr>
                <w:snapToGrid w:val="0"/>
              </w:rPr>
              <w:t xml:space="preserve">   216</w:t>
            </w:r>
          </w:p>
        </w:tc>
        <w:tc>
          <w:tcPr>
            <w:tcW w:w="1610" w:type="dxa"/>
            <w:gridSpan w:val="2"/>
            <w:tcBorders>
              <w:left w:val="single" w:sz="4" w:space="0" w:color="auto"/>
              <w:right w:val="single" w:sz="4" w:space="0" w:color="auto"/>
            </w:tcBorders>
          </w:tcPr>
          <w:p w:rsidR="00000000" w:rsidRDefault="00000000">
            <w:pPr>
              <w:ind w:right="428"/>
              <w:jc w:val="right"/>
              <w:rPr>
                <w:snapToGrid w:val="0"/>
              </w:rPr>
            </w:pPr>
            <w:r>
              <w:rPr>
                <w:snapToGrid w:val="0"/>
              </w:rPr>
              <w:t xml:space="preserve">      48</w:t>
            </w:r>
          </w:p>
        </w:tc>
      </w:tr>
      <w:tr w:rsidR="00000000">
        <w:tblPrEx>
          <w:tblCellMar>
            <w:top w:w="0" w:type="dxa"/>
            <w:bottom w:w="0" w:type="dxa"/>
          </w:tblCellMar>
        </w:tblPrEx>
        <w:trPr>
          <w:gridAfter w:val="1"/>
          <w:wAfter w:w="11" w:type="dxa"/>
          <w:cantSplit/>
          <w:trHeight w:val="192"/>
          <w:jc w:val="center"/>
        </w:trPr>
        <w:tc>
          <w:tcPr>
            <w:tcW w:w="2267"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rPr>
                <w:snapToGrid w:val="0"/>
              </w:rPr>
            </w:pPr>
          </w:p>
        </w:tc>
        <w:tc>
          <w:tcPr>
            <w:tcW w:w="993" w:type="dxa"/>
            <w:gridSpan w:val="2"/>
            <w:tcBorders>
              <w:left w:val="single" w:sz="4" w:space="0" w:color="auto"/>
              <w:bottom w:val="single" w:sz="4" w:space="0" w:color="auto"/>
              <w:right w:val="single" w:sz="4" w:space="0" w:color="auto"/>
            </w:tcBorders>
          </w:tcPr>
          <w:p w:rsidR="00000000" w:rsidRDefault="00000000">
            <w:pPr>
              <w:ind w:right="284"/>
              <w:jc w:val="right"/>
              <w:rPr>
                <w:snapToGrid w:val="0"/>
              </w:rPr>
            </w:pPr>
            <w:r>
              <w:rPr>
                <w:snapToGrid w:val="0"/>
              </w:rPr>
              <w:t>1999</w:t>
            </w:r>
          </w:p>
        </w:tc>
        <w:tc>
          <w:tcPr>
            <w:tcW w:w="1139" w:type="dxa"/>
            <w:gridSpan w:val="2"/>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1 613</w:t>
            </w:r>
          </w:p>
        </w:tc>
        <w:tc>
          <w:tcPr>
            <w:tcW w:w="993" w:type="dxa"/>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1 359</w:t>
            </w:r>
          </w:p>
        </w:tc>
        <w:tc>
          <w:tcPr>
            <w:tcW w:w="1271" w:type="dxa"/>
            <w:tcBorders>
              <w:left w:val="single" w:sz="4" w:space="0" w:color="auto"/>
              <w:bottom w:val="single" w:sz="4" w:space="0" w:color="auto"/>
              <w:right w:val="single" w:sz="4" w:space="0" w:color="auto"/>
            </w:tcBorders>
          </w:tcPr>
          <w:p w:rsidR="00000000" w:rsidRDefault="00000000">
            <w:pPr>
              <w:ind w:right="227"/>
              <w:jc w:val="right"/>
              <w:rPr>
                <w:snapToGrid w:val="0"/>
              </w:rPr>
            </w:pPr>
            <w:r>
              <w:rPr>
                <w:snapToGrid w:val="0"/>
              </w:rPr>
              <w:t xml:space="preserve">   214</w:t>
            </w:r>
          </w:p>
        </w:tc>
        <w:tc>
          <w:tcPr>
            <w:tcW w:w="1610" w:type="dxa"/>
            <w:gridSpan w:val="2"/>
            <w:tcBorders>
              <w:left w:val="single" w:sz="4" w:space="0" w:color="auto"/>
              <w:bottom w:val="single" w:sz="4" w:space="0" w:color="auto"/>
              <w:right w:val="single" w:sz="4" w:space="0" w:color="auto"/>
            </w:tcBorders>
          </w:tcPr>
          <w:p w:rsidR="00000000" w:rsidRDefault="00000000">
            <w:pPr>
              <w:ind w:right="428"/>
              <w:jc w:val="right"/>
              <w:rPr>
                <w:snapToGrid w:val="0"/>
              </w:rPr>
            </w:pPr>
            <w:r>
              <w:rPr>
                <w:snapToGrid w:val="0"/>
              </w:rPr>
              <w:t xml:space="preserve">      40</w:t>
            </w:r>
          </w:p>
        </w:tc>
      </w:tr>
      <w:tr w:rsidR="00000000">
        <w:tblPrEx>
          <w:tblCellMar>
            <w:top w:w="0" w:type="dxa"/>
            <w:bottom w:w="0" w:type="dxa"/>
          </w:tblCellMar>
        </w:tblPrEx>
        <w:trPr>
          <w:gridAfter w:val="1"/>
          <w:wAfter w:w="11" w:type="dxa"/>
          <w:cantSplit/>
          <w:trHeight w:val="192"/>
          <w:jc w:val="center"/>
        </w:trPr>
        <w:tc>
          <w:tcPr>
            <w:tcW w:w="2267"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rPr>
                <w:snapToGrid w:val="0"/>
              </w:rPr>
            </w:pPr>
            <w:r>
              <w:rPr>
                <w:snapToGrid w:val="0"/>
              </w:rPr>
              <w:t>Paraíba</w:t>
            </w:r>
          </w:p>
        </w:tc>
        <w:tc>
          <w:tcPr>
            <w:tcW w:w="993" w:type="dxa"/>
            <w:gridSpan w:val="2"/>
            <w:tcBorders>
              <w:top w:val="single" w:sz="4" w:space="0" w:color="auto"/>
              <w:left w:val="single" w:sz="4" w:space="0" w:color="auto"/>
              <w:right w:val="single" w:sz="4" w:space="0" w:color="auto"/>
            </w:tcBorders>
          </w:tcPr>
          <w:p w:rsidR="00000000" w:rsidRDefault="00000000">
            <w:pPr>
              <w:ind w:right="284"/>
              <w:jc w:val="right"/>
              <w:rPr>
                <w:snapToGrid w:val="0"/>
              </w:rPr>
            </w:pPr>
            <w:r>
              <w:rPr>
                <w:snapToGrid w:val="0"/>
              </w:rPr>
              <w:t>1997</w:t>
            </w:r>
          </w:p>
        </w:tc>
        <w:tc>
          <w:tcPr>
            <w:tcW w:w="1139" w:type="dxa"/>
            <w:gridSpan w:val="2"/>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1 500</w:t>
            </w:r>
          </w:p>
        </w:tc>
        <w:tc>
          <w:tcPr>
            <w:tcW w:w="993" w:type="dxa"/>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1 209</w:t>
            </w:r>
          </w:p>
        </w:tc>
        <w:tc>
          <w:tcPr>
            <w:tcW w:w="1271" w:type="dxa"/>
            <w:tcBorders>
              <w:top w:val="single" w:sz="4" w:space="0" w:color="auto"/>
              <w:left w:val="single" w:sz="4" w:space="0" w:color="auto"/>
              <w:right w:val="single" w:sz="4" w:space="0" w:color="auto"/>
            </w:tcBorders>
          </w:tcPr>
          <w:p w:rsidR="00000000" w:rsidRDefault="00000000">
            <w:pPr>
              <w:ind w:right="227"/>
              <w:jc w:val="right"/>
              <w:rPr>
                <w:snapToGrid w:val="0"/>
              </w:rPr>
            </w:pPr>
            <w:r>
              <w:rPr>
                <w:snapToGrid w:val="0"/>
              </w:rPr>
              <w:t xml:space="preserve">   173</w:t>
            </w:r>
          </w:p>
        </w:tc>
        <w:tc>
          <w:tcPr>
            <w:tcW w:w="1610" w:type="dxa"/>
            <w:gridSpan w:val="2"/>
            <w:tcBorders>
              <w:top w:val="single" w:sz="4" w:space="0" w:color="auto"/>
              <w:left w:val="single" w:sz="4" w:space="0" w:color="auto"/>
              <w:right w:val="single" w:sz="4" w:space="0" w:color="auto"/>
            </w:tcBorders>
          </w:tcPr>
          <w:p w:rsidR="00000000" w:rsidRDefault="00000000">
            <w:pPr>
              <w:ind w:right="428"/>
              <w:jc w:val="right"/>
              <w:rPr>
                <w:snapToGrid w:val="0"/>
              </w:rPr>
            </w:pPr>
            <w:r>
              <w:rPr>
                <w:snapToGrid w:val="0"/>
              </w:rPr>
              <w:t xml:space="preserve">     118</w:t>
            </w:r>
          </w:p>
        </w:tc>
      </w:tr>
      <w:tr w:rsidR="00000000">
        <w:tblPrEx>
          <w:tblCellMar>
            <w:top w:w="0" w:type="dxa"/>
            <w:bottom w:w="0" w:type="dxa"/>
          </w:tblCellMar>
        </w:tblPrEx>
        <w:trPr>
          <w:gridAfter w:val="1"/>
          <w:wAfter w:w="11" w:type="dxa"/>
          <w:cantSplit/>
          <w:trHeight w:val="192"/>
          <w:jc w:val="center"/>
        </w:trPr>
        <w:tc>
          <w:tcPr>
            <w:tcW w:w="2267"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rPr>
                <w:snapToGrid w:val="0"/>
              </w:rPr>
            </w:pPr>
          </w:p>
        </w:tc>
        <w:tc>
          <w:tcPr>
            <w:tcW w:w="993" w:type="dxa"/>
            <w:gridSpan w:val="2"/>
            <w:tcBorders>
              <w:left w:val="single" w:sz="4" w:space="0" w:color="auto"/>
              <w:right w:val="single" w:sz="4" w:space="0" w:color="auto"/>
            </w:tcBorders>
          </w:tcPr>
          <w:p w:rsidR="00000000" w:rsidRDefault="00000000">
            <w:pPr>
              <w:ind w:right="284"/>
              <w:jc w:val="right"/>
              <w:rPr>
                <w:snapToGrid w:val="0"/>
              </w:rPr>
            </w:pPr>
            <w:r>
              <w:rPr>
                <w:snapToGrid w:val="0"/>
              </w:rPr>
              <w:t>1998</w:t>
            </w:r>
          </w:p>
        </w:tc>
        <w:tc>
          <w:tcPr>
            <w:tcW w:w="1139" w:type="dxa"/>
            <w:gridSpan w:val="2"/>
            <w:tcBorders>
              <w:left w:val="single" w:sz="4" w:space="0" w:color="auto"/>
              <w:right w:val="single" w:sz="4" w:space="0" w:color="auto"/>
            </w:tcBorders>
          </w:tcPr>
          <w:p w:rsidR="00000000" w:rsidRDefault="00000000">
            <w:pPr>
              <w:ind w:right="113"/>
              <w:jc w:val="right"/>
              <w:rPr>
                <w:snapToGrid w:val="0"/>
              </w:rPr>
            </w:pPr>
            <w:r>
              <w:rPr>
                <w:snapToGrid w:val="0"/>
              </w:rPr>
              <w:t xml:space="preserve">  1 340</w:t>
            </w:r>
          </w:p>
        </w:tc>
        <w:tc>
          <w:tcPr>
            <w:tcW w:w="993" w:type="dxa"/>
            <w:tcBorders>
              <w:left w:val="single" w:sz="4" w:space="0" w:color="auto"/>
              <w:right w:val="single" w:sz="4" w:space="0" w:color="auto"/>
            </w:tcBorders>
          </w:tcPr>
          <w:p w:rsidR="00000000" w:rsidRDefault="00000000">
            <w:pPr>
              <w:ind w:right="113"/>
              <w:jc w:val="right"/>
              <w:rPr>
                <w:snapToGrid w:val="0"/>
              </w:rPr>
            </w:pPr>
            <w:r>
              <w:rPr>
                <w:snapToGrid w:val="0"/>
              </w:rPr>
              <w:t xml:space="preserve">  1 051</w:t>
            </w:r>
          </w:p>
        </w:tc>
        <w:tc>
          <w:tcPr>
            <w:tcW w:w="1271" w:type="dxa"/>
            <w:tcBorders>
              <w:left w:val="single" w:sz="4" w:space="0" w:color="auto"/>
              <w:right w:val="single" w:sz="4" w:space="0" w:color="auto"/>
            </w:tcBorders>
          </w:tcPr>
          <w:p w:rsidR="00000000" w:rsidRDefault="00000000">
            <w:pPr>
              <w:ind w:right="227"/>
              <w:jc w:val="right"/>
              <w:rPr>
                <w:snapToGrid w:val="0"/>
              </w:rPr>
            </w:pPr>
            <w:r>
              <w:rPr>
                <w:snapToGrid w:val="0"/>
              </w:rPr>
              <w:t xml:space="preserve">   144</w:t>
            </w:r>
          </w:p>
        </w:tc>
        <w:tc>
          <w:tcPr>
            <w:tcW w:w="1610" w:type="dxa"/>
            <w:gridSpan w:val="2"/>
            <w:tcBorders>
              <w:left w:val="single" w:sz="4" w:space="0" w:color="auto"/>
              <w:right w:val="single" w:sz="4" w:space="0" w:color="auto"/>
            </w:tcBorders>
          </w:tcPr>
          <w:p w:rsidR="00000000" w:rsidRDefault="00000000">
            <w:pPr>
              <w:ind w:right="428"/>
              <w:jc w:val="right"/>
              <w:rPr>
                <w:snapToGrid w:val="0"/>
              </w:rPr>
            </w:pPr>
            <w:r>
              <w:rPr>
                <w:snapToGrid w:val="0"/>
              </w:rPr>
              <w:t xml:space="preserve">     145</w:t>
            </w:r>
          </w:p>
        </w:tc>
      </w:tr>
      <w:tr w:rsidR="00000000">
        <w:tblPrEx>
          <w:tblCellMar>
            <w:top w:w="0" w:type="dxa"/>
            <w:bottom w:w="0" w:type="dxa"/>
          </w:tblCellMar>
        </w:tblPrEx>
        <w:trPr>
          <w:gridAfter w:val="1"/>
          <w:wAfter w:w="11" w:type="dxa"/>
          <w:cantSplit/>
          <w:trHeight w:val="192"/>
          <w:jc w:val="center"/>
        </w:trPr>
        <w:tc>
          <w:tcPr>
            <w:tcW w:w="2267"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rPr>
                <w:snapToGrid w:val="0"/>
              </w:rPr>
            </w:pPr>
          </w:p>
        </w:tc>
        <w:tc>
          <w:tcPr>
            <w:tcW w:w="993" w:type="dxa"/>
            <w:gridSpan w:val="2"/>
            <w:tcBorders>
              <w:left w:val="single" w:sz="4" w:space="0" w:color="auto"/>
              <w:bottom w:val="single" w:sz="4" w:space="0" w:color="auto"/>
              <w:right w:val="single" w:sz="4" w:space="0" w:color="auto"/>
            </w:tcBorders>
          </w:tcPr>
          <w:p w:rsidR="00000000" w:rsidRDefault="00000000">
            <w:pPr>
              <w:ind w:right="284"/>
              <w:jc w:val="right"/>
              <w:rPr>
                <w:snapToGrid w:val="0"/>
              </w:rPr>
            </w:pPr>
            <w:r>
              <w:rPr>
                <w:snapToGrid w:val="0"/>
              </w:rPr>
              <w:t>1999</w:t>
            </w:r>
          </w:p>
        </w:tc>
        <w:tc>
          <w:tcPr>
            <w:tcW w:w="1139" w:type="dxa"/>
            <w:gridSpan w:val="2"/>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1 126</w:t>
            </w:r>
          </w:p>
        </w:tc>
        <w:tc>
          <w:tcPr>
            <w:tcW w:w="993" w:type="dxa"/>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858</w:t>
            </w:r>
          </w:p>
        </w:tc>
        <w:tc>
          <w:tcPr>
            <w:tcW w:w="1271" w:type="dxa"/>
            <w:tcBorders>
              <w:left w:val="single" w:sz="4" w:space="0" w:color="auto"/>
              <w:bottom w:val="single" w:sz="4" w:space="0" w:color="auto"/>
              <w:right w:val="single" w:sz="4" w:space="0" w:color="auto"/>
            </w:tcBorders>
          </w:tcPr>
          <w:p w:rsidR="00000000" w:rsidRDefault="00000000">
            <w:pPr>
              <w:ind w:right="227"/>
              <w:jc w:val="right"/>
              <w:rPr>
                <w:snapToGrid w:val="0"/>
              </w:rPr>
            </w:pPr>
            <w:r>
              <w:rPr>
                <w:snapToGrid w:val="0"/>
              </w:rPr>
              <w:t xml:space="preserve">   166</w:t>
            </w:r>
          </w:p>
        </w:tc>
        <w:tc>
          <w:tcPr>
            <w:tcW w:w="1610" w:type="dxa"/>
            <w:gridSpan w:val="2"/>
            <w:tcBorders>
              <w:left w:val="single" w:sz="4" w:space="0" w:color="auto"/>
              <w:bottom w:val="single" w:sz="4" w:space="0" w:color="auto"/>
              <w:right w:val="single" w:sz="4" w:space="0" w:color="auto"/>
            </w:tcBorders>
          </w:tcPr>
          <w:p w:rsidR="00000000" w:rsidRDefault="00000000">
            <w:pPr>
              <w:ind w:right="428"/>
              <w:jc w:val="right"/>
              <w:rPr>
                <w:snapToGrid w:val="0"/>
              </w:rPr>
            </w:pPr>
            <w:r>
              <w:rPr>
                <w:snapToGrid w:val="0"/>
              </w:rPr>
              <w:t xml:space="preserve">     102</w:t>
            </w:r>
          </w:p>
        </w:tc>
      </w:tr>
      <w:tr w:rsidR="00000000">
        <w:tblPrEx>
          <w:tblCellMar>
            <w:top w:w="0" w:type="dxa"/>
            <w:bottom w:w="0" w:type="dxa"/>
          </w:tblCellMar>
        </w:tblPrEx>
        <w:trPr>
          <w:gridAfter w:val="1"/>
          <w:wAfter w:w="11" w:type="dxa"/>
          <w:cantSplit/>
          <w:trHeight w:val="192"/>
          <w:jc w:val="center"/>
        </w:trPr>
        <w:tc>
          <w:tcPr>
            <w:tcW w:w="2267"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rPr>
                <w:snapToGrid w:val="0"/>
              </w:rPr>
            </w:pPr>
            <w:r>
              <w:rPr>
                <w:snapToGrid w:val="0"/>
              </w:rPr>
              <w:t>Pernambuco</w:t>
            </w:r>
          </w:p>
        </w:tc>
        <w:tc>
          <w:tcPr>
            <w:tcW w:w="993" w:type="dxa"/>
            <w:gridSpan w:val="2"/>
            <w:tcBorders>
              <w:top w:val="single" w:sz="4" w:space="0" w:color="auto"/>
              <w:left w:val="single" w:sz="4" w:space="0" w:color="auto"/>
              <w:right w:val="single" w:sz="4" w:space="0" w:color="auto"/>
            </w:tcBorders>
          </w:tcPr>
          <w:p w:rsidR="00000000" w:rsidRDefault="00000000">
            <w:pPr>
              <w:ind w:right="284"/>
              <w:jc w:val="right"/>
              <w:rPr>
                <w:snapToGrid w:val="0"/>
              </w:rPr>
            </w:pPr>
            <w:r>
              <w:rPr>
                <w:snapToGrid w:val="0"/>
              </w:rPr>
              <w:t>1997</w:t>
            </w:r>
          </w:p>
        </w:tc>
        <w:tc>
          <w:tcPr>
            <w:tcW w:w="1139" w:type="dxa"/>
            <w:gridSpan w:val="2"/>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7 087</w:t>
            </w:r>
          </w:p>
        </w:tc>
        <w:tc>
          <w:tcPr>
            <w:tcW w:w="993" w:type="dxa"/>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5 880</w:t>
            </w:r>
          </w:p>
        </w:tc>
        <w:tc>
          <w:tcPr>
            <w:tcW w:w="1271" w:type="dxa"/>
            <w:tcBorders>
              <w:top w:val="single" w:sz="4" w:space="0" w:color="auto"/>
              <w:left w:val="single" w:sz="4" w:space="0" w:color="auto"/>
              <w:right w:val="single" w:sz="4" w:space="0" w:color="auto"/>
            </w:tcBorders>
          </w:tcPr>
          <w:p w:rsidR="00000000" w:rsidRDefault="00000000">
            <w:pPr>
              <w:ind w:right="227"/>
              <w:jc w:val="right"/>
              <w:rPr>
                <w:snapToGrid w:val="0"/>
              </w:rPr>
            </w:pPr>
            <w:r>
              <w:rPr>
                <w:snapToGrid w:val="0"/>
              </w:rPr>
              <w:t xml:space="preserve">   867</w:t>
            </w:r>
          </w:p>
        </w:tc>
        <w:tc>
          <w:tcPr>
            <w:tcW w:w="1610" w:type="dxa"/>
            <w:gridSpan w:val="2"/>
            <w:tcBorders>
              <w:top w:val="single" w:sz="4" w:space="0" w:color="auto"/>
              <w:left w:val="single" w:sz="4" w:space="0" w:color="auto"/>
              <w:right w:val="single" w:sz="4" w:space="0" w:color="auto"/>
            </w:tcBorders>
          </w:tcPr>
          <w:p w:rsidR="00000000" w:rsidRDefault="00000000">
            <w:pPr>
              <w:ind w:right="428"/>
              <w:jc w:val="right"/>
              <w:rPr>
                <w:snapToGrid w:val="0"/>
              </w:rPr>
            </w:pPr>
            <w:r>
              <w:rPr>
                <w:snapToGrid w:val="0"/>
              </w:rPr>
              <w:t xml:space="preserve">    340</w:t>
            </w:r>
          </w:p>
        </w:tc>
      </w:tr>
      <w:tr w:rsidR="00000000">
        <w:tblPrEx>
          <w:tblCellMar>
            <w:top w:w="0" w:type="dxa"/>
            <w:bottom w:w="0" w:type="dxa"/>
          </w:tblCellMar>
        </w:tblPrEx>
        <w:trPr>
          <w:gridAfter w:val="1"/>
          <w:wAfter w:w="11" w:type="dxa"/>
          <w:cantSplit/>
          <w:trHeight w:val="192"/>
          <w:jc w:val="center"/>
        </w:trPr>
        <w:tc>
          <w:tcPr>
            <w:tcW w:w="2267"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rPr>
                <w:snapToGrid w:val="0"/>
              </w:rPr>
            </w:pPr>
          </w:p>
        </w:tc>
        <w:tc>
          <w:tcPr>
            <w:tcW w:w="993" w:type="dxa"/>
            <w:gridSpan w:val="2"/>
            <w:tcBorders>
              <w:left w:val="single" w:sz="4" w:space="0" w:color="auto"/>
              <w:right w:val="single" w:sz="4" w:space="0" w:color="auto"/>
            </w:tcBorders>
          </w:tcPr>
          <w:p w:rsidR="00000000" w:rsidRDefault="00000000">
            <w:pPr>
              <w:ind w:right="284"/>
              <w:jc w:val="right"/>
              <w:rPr>
                <w:snapToGrid w:val="0"/>
              </w:rPr>
            </w:pPr>
            <w:r>
              <w:rPr>
                <w:snapToGrid w:val="0"/>
              </w:rPr>
              <w:t>1998</w:t>
            </w:r>
          </w:p>
        </w:tc>
        <w:tc>
          <w:tcPr>
            <w:tcW w:w="1139" w:type="dxa"/>
            <w:gridSpan w:val="2"/>
            <w:tcBorders>
              <w:left w:val="single" w:sz="4" w:space="0" w:color="auto"/>
              <w:right w:val="single" w:sz="4" w:space="0" w:color="auto"/>
            </w:tcBorders>
          </w:tcPr>
          <w:p w:rsidR="00000000" w:rsidRDefault="00000000">
            <w:pPr>
              <w:ind w:right="113"/>
              <w:jc w:val="right"/>
              <w:rPr>
                <w:snapToGrid w:val="0"/>
              </w:rPr>
            </w:pPr>
            <w:r>
              <w:rPr>
                <w:snapToGrid w:val="0"/>
              </w:rPr>
              <w:t xml:space="preserve">  6 111</w:t>
            </w:r>
          </w:p>
        </w:tc>
        <w:tc>
          <w:tcPr>
            <w:tcW w:w="993" w:type="dxa"/>
            <w:tcBorders>
              <w:left w:val="single" w:sz="4" w:space="0" w:color="auto"/>
              <w:right w:val="single" w:sz="4" w:space="0" w:color="auto"/>
            </w:tcBorders>
          </w:tcPr>
          <w:p w:rsidR="00000000" w:rsidRDefault="00000000">
            <w:pPr>
              <w:ind w:right="113"/>
              <w:jc w:val="right"/>
              <w:rPr>
                <w:snapToGrid w:val="0"/>
              </w:rPr>
            </w:pPr>
            <w:r>
              <w:rPr>
                <w:snapToGrid w:val="0"/>
              </w:rPr>
              <w:t xml:space="preserve">  4 948</w:t>
            </w:r>
          </w:p>
        </w:tc>
        <w:tc>
          <w:tcPr>
            <w:tcW w:w="1271" w:type="dxa"/>
            <w:tcBorders>
              <w:left w:val="single" w:sz="4" w:space="0" w:color="auto"/>
              <w:right w:val="single" w:sz="4" w:space="0" w:color="auto"/>
            </w:tcBorders>
          </w:tcPr>
          <w:p w:rsidR="00000000" w:rsidRDefault="00000000">
            <w:pPr>
              <w:ind w:right="227"/>
              <w:jc w:val="right"/>
              <w:rPr>
                <w:snapToGrid w:val="0"/>
              </w:rPr>
            </w:pPr>
            <w:r>
              <w:rPr>
                <w:snapToGrid w:val="0"/>
              </w:rPr>
              <w:t xml:space="preserve">   845</w:t>
            </w:r>
          </w:p>
        </w:tc>
        <w:tc>
          <w:tcPr>
            <w:tcW w:w="1610" w:type="dxa"/>
            <w:gridSpan w:val="2"/>
            <w:tcBorders>
              <w:left w:val="single" w:sz="4" w:space="0" w:color="auto"/>
              <w:right w:val="single" w:sz="4" w:space="0" w:color="auto"/>
            </w:tcBorders>
          </w:tcPr>
          <w:p w:rsidR="00000000" w:rsidRDefault="00000000">
            <w:pPr>
              <w:ind w:right="428"/>
              <w:jc w:val="right"/>
              <w:rPr>
                <w:snapToGrid w:val="0"/>
              </w:rPr>
            </w:pPr>
            <w:r>
              <w:rPr>
                <w:snapToGrid w:val="0"/>
              </w:rPr>
              <w:t xml:space="preserve">     318</w:t>
            </w:r>
          </w:p>
        </w:tc>
      </w:tr>
      <w:tr w:rsidR="00000000">
        <w:tblPrEx>
          <w:tblCellMar>
            <w:top w:w="0" w:type="dxa"/>
            <w:bottom w:w="0" w:type="dxa"/>
          </w:tblCellMar>
        </w:tblPrEx>
        <w:trPr>
          <w:gridAfter w:val="1"/>
          <w:wAfter w:w="11" w:type="dxa"/>
          <w:cantSplit/>
          <w:trHeight w:val="192"/>
          <w:jc w:val="center"/>
        </w:trPr>
        <w:tc>
          <w:tcPr>
            <w:tcW w:w="2267"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rPr>
                <w:snapToGrid w:val="0"/>
              </w:rPr>
            </w:pPr>
          </w:p>
        </w:tc>
        <w:tc>
          <w:tcPr>
            <w:tcW w:w="993" w:type="dxa"/>
            <w:gridSpan w:val="2"/>
            <w:tcBorders>
              <w:left w:val="single" w:sz="4" w:space="0" w:color="auto"/>
              <w:bottom w:val="single" w:sz="4" w:space="0" w:color="auto"/>
              <w:right w:val="single" w:sz="4" w:space="0" w:color="auto"/>
            </w:tcBorders>
          </w:tcPr>
          <w:p w:rsidR="00000000" w:rsidRDefault="00000000">
            <w:pPr>
              <w:ind w:right="284"/>
              <w:jc w:val="right"/>
              <w:rPr>
                <w:snapToGrid w:val="0"/>
              </w:rPr>
            </w:pPr>
            <w:r>
              <w:rPr>
                <w:snapToGrid w:val="0"/>
              </w:rPr>
              <w:t>1999</w:t>
            </w:r>
          </w:p>
        </w:tc>
        <w:tc>
          <w:tcPr>
            <w:tcW w:w="1139" w:type="dxa"/>
            <w:gridSpan w:val="2"/>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5 924</w:t>
            </w:r>
          </w:p>
        </w:tc>
        <w:tc>
          <w:tcPr>
            <w:tcW w:w="993" w:type="dxa"/>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4 677</w:t>
            </w:r>
          </w:p>
        </w:tc>
        <w:tc>
          <w:tcPr>
            <w:tcW w:w="1271" w:type="dxa"/>
            <w:tcBorders>
              <w:left w:val="single" w:sz="4" w:space="0" w:color="auto"/>
              <w:bottom w:val="single" w:sz="4" w:space="0" w:color="auto"/>
              <w:right w:val="single" w:sz="4" w:space="0" w:color="auto"/>
            </w:tcBorders>
          </w:tcPr>
          <w:p w:rsidR="00000000" w:rsidRDefault="00000000">
            <w:pPr>
              <w:ind w:right="227"/>
              <w:jc w:val="right"/>
              <w:rPr>
                <w:snapToGrid w:val="0"/>
              </w:rPr>
            </w:pPr>
            <w:r>
              <w:rPr>
                <w:snapToGrid w:val="0"/>
              </w:rPr>
              <w:t xml:space="preserve">   870</w:t>
            </w:r>
          </w:p>
        </w:tc>
        <w:tc>
          <w:tcPr>
            <w:tcW w:w="1610" w:type="dxa"/>
            <w:gridSpan w:val="2"/>
            <w:tcBorders>
              <w:left w:val="single" w:sz="4" w:space="0" w:color="auto"/>
              <w:bottom w:val="single" w:sz="4" w:space="0" w:color="auto"/>
              <w:right w:val="single" w:sz="4" w:space="0" w:color="auto"/>
            </w:tcBorders>
          </w:tcPr>
          <w:p w:rsidR="00000000" w:rsidRDefault="00000000">
            <w:pPr>
              <w:ind w:right="428"/>
              <w:jc w:val="right"/>
              <w:rPr>
                <w:snapToGrid w:val="0"/>
              </w:rPr>
            </w:pPr>
            <w:r>
              <w:rPr>
                <w:snapToGrid w:val="0"/>
              </w:rPr>
              <w:t xml:space="preserve">     377</w:t>
            </w:r>
          </w:p>
        </w:tc>
      </w:tr>
      <w:tr w:rsidR="00000000">
        <w:tblPrEx>
          <w:tblCellMar>
            <w:top w:w="0" w:type="dxa"/>
            <w:bottom w:w="0" w:type="dxa"/>
          </w:tblCellMar>
        </w:tblPrEx>
        <w:trPr>
          <w:gridAfter w:val="1"/>
          <w:wAfter w:w="11" w:type="dxa"/>
          <w:cantSplit/>
          <w:trHeight w:val="192"/>
          <w:jc w:val="center"/>
        </w:trPr>
        <w:tc>
          <w:tcPr>
            <w:tcW w:w="2267" w:type="dxa"/>
            <w:gridSpan w:val="2"/>
            <w:vMerge w:val="restart"/>
            <w:tcBorders>
              <w:top w:val="single" w:sz="4" w:space="0" w:color="auto"/>
              <w:left w:val="single" w:sz="4" w:space="0" w:color="auto"/>
              <w:right w:val="single" w:sz="4" w:space="0" w:color="auto"/>
            </w:tcBorders>
            <w:vAlign w:val="center"/>
          </w:tcPr>
          <w:p w:rsidR="00000000" w:rsidRDefault="00000000">
            <w:pPr>
              <w:rPr>
                <w:snapToGrid w:val="0"/>
              </w:rPr>
            </w:pPr>
            <w:r>
              <w:rPr>
                <w:snapToGrid w:val="0"/>
              </w:rPr>
              <w:t>Alagoas</w:t>
            </w:r>
          </w:p>
        </w:tc>
        <w:tc>
          <w:tcPr>
            <w:tcW w:w="993" w:type="dxa"/>
            <w:gridSpan w:val="2"/>
            <w:tcBorders>
              <w:top w:val="single" w:sz="4" w:space="0" w:color="auto"/>
              <w:left w:val="single" w:sz="4" w:space="0" w:color="auto"/>
              <w:right w:val="single" w:sz="4" w:space="0" w:color="auto"/>
            </w:tcBorders>
          </w:tcPr>
          <w:p w:rsidR="00000000" w:rsidRDefault="00000000">
            <w:pPr>
              <w:ind w:right="284"/>
              <w:jc w:val="right"/>
              <w:rPr>
                <w:snapToGrid w:val="0"/>
              </w:rPr>
            </w:pPr>
            <w:r>
              <w:rPr>
                <w:snapToGrid w:val="0"/>
              </w:rPr>
              <w:t>1997</w:t>
            </w:r>
          </w:p>
        </w:tc>
        <w:tc>
          <w:tcPr>
            <w:tcW w:w="1139" w:type="dxa"/>
            <w:gridSpan w:val="2"/>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3 409</w:t>
            </w:r>
          </w:p>
        </w:tc>
        <w:tc>
          <w:tcPr>
            <w:tcW w:w="993" w:type="dxa"/>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3 010</w:t>
            </w:r>
          </w:p>
        </w:tc>
        <w:tc>
          <w:tcPr>
            <w:tcW w:w="1271" w:type="dxa"/>
            <w:tcBorders>
              <w:top w:val="single" w:sz="4" w:space="0" w:color="auto"/>
              <w:left w:val="single" w:sz="4" w:space="0" w:color="auto"/>
              <w:right w:val="single" w:sz="4" w:space="0" w:color="auto"/>
            </w:tcBorders>
          </w:tcPr>
          <w:p w:rsidR="00000000" w:rsidRDefault="00000000">
            <w:pPr>
              <w:ind w:right="227"/>
              <w:jc w:val="right"/>
              <w:rPr>
                <w:snapToGrid w:val="0"/>
              </w:rPr>
            </w:pPr>
            <w:r>
              <w:rPr>
                <w:snapToGrid w:val="0"/>
              </w:rPr>
              <w:t xml:space="preserve">   295</w:t>
            </w:r>
          </w:p>
        </w:tc>
        <w:tc>
          <w:tcPr>
            <w:tcW w:w="1610" w:type="dxa"/>
            <w:gridSpan w:val="2"/>
            <w:tcBorders>
              <w:top w:val="single" w:sz="4" w:space="0" w:color="auto"/>
              <w:left w:val="single" w:sz="4" w:space="0" w:color="auto"/>
              <w:right w:val="single" w:sz="4" w:space="0" w:color="auto"/>
            </w:tcBorders>
          </w:tcPr>
          <w:p w:rsidR="00000000" w:rsidRDefault="00000000">
            <w:pPr>
              <w:ind w:right="428"/>
              <w:jc w:val="right"/>
              <w:rPr>
                <w:snapToGrid w:val="0"/>
              </w:rPr>
            </w:pPr>
            <w:r>
              <w:rPr>
                <w:snapToGrid w:val="0"/>
              </w:rPr>
              <w:t xml:space="preserve">     104</w:t>
            </w:r>
          </w:p>
        </w:tc>
      </w:tr>
      <w:tr w:rsidR="00000000">
        <w:tblPrEx>
          <w:tblCellMar>
            <w:top w:w="0" w:type="dxa"/>
            <w:bottom w:w="0" w:type="dxa"/>
          </w:tblCellMar>
        </w:tblPrEx>
        <w:trPr>
          <w:gridAfter w:val="1"/>
          <w:wAfter w:w="11" w:type="dxa"/>
          <w:cantSplit/>
          <w:trHeight w:val="192"/>
          <w:jc w:val="center"/>
        </w:trPr>
        <w:tc>
          <w:tcPr>
            <w:tcW w:w="2267" w:type="dxa"/>
            <w:gridSpan w:val="2"/>
            <w:vMerge/>
            <w:tcBorders>
              <w:left w:val="single" w:sz="4" w:space="0" w:color="auto"/>
              <w:right w:val="single" w:sz="4" w:space="0" w:color="auto"/>
            </w:tcBorders>
            <w:vAlign w:val="center"/>
          </w:tcPr>
          <w:p w:rsidR="00000000" w:rsidRDefault="00000000">
            <w:pPr>
              <w:rPr>
                <w:snapToGrid w:val="0"/>
              </w:rPr>
            </w:pPr>
          </w:p>
        </w:tc>
        <w:tc>
          <w:tcPr>
            <w:tcW w:w="993" w:type="dxa"/>
            <w:gridSpan w:val="2"/>
            <w:tcBorders>
              <w:left w:val="single" w:sz="4" w:space="0" w:color="auto"/>
              <w:right w:val="single" w:sz="4" w:space="0" w:color="auto"/>
            </w:tcBorders>
          </w:tcPr>
          <w:p w:rsidR="00000000" w:rsidRDefault="00000000">
            <w:pPr>
              <w:ind w:right="284"/>
              <w:jc w:val="right"/>
              <w:rPr>
                <w:snapToGrid w:val="0"/>
              </w:rPr>
            </w:pPr>
            <w:r>
              <w:rPr>
                <w:snapToGrid w:val="0"/>
              </w:rPr>
              <w:t>1998</w:t>
            </w:r>
          </w:p>
        </w:tc>
        <w:tc>
          <w:tcPr>
            <w:tcW w:w="1139" w:type="dxa"/>
            <w:gridSpan w:val="2"/>
            <w:tcBorders>
              <w:left w:val="single" w:sz="4" w:space="0" w:color="auto"/>
              <w:right w:val="single" w:sz="4" w:space="0" w:color="auto"/>
            </w:tcBorders>
          </w:tcPr>
          <w:p w:rsidR="00000000" w:rsidRDefault="00000000">
            <w:pPr>
              <w:ind w:right="113"/>
              <w:jc w:val="right"/>
              <w:rPr>
                <w:snapToGrid w:val="0"/>
              </w:rPr>
            </w:pPr>
            <w:r>
              <w:rPr>
                <w:snapToGrid w:val="0"/>
              </w:rPr>
              <w:t xml:space="preserve">  3 264</w:t>
            </w:r>
          </w:p>
        </w:tc>
        <w:tc>
          <w:tcPr>
            <w:tcW w:w="993" w:type="dxa"/>
            <w:tcBorders>
              <w:left w:val="single" w:sz="4" w:space="0" w:color="auto"/>
              <w:right w:val="single" w:sz="4" w:space="0" w:color="auto"/>
            </w:tcBorders>
          </w:tcPr>
          <w:p w:rsidR="00000000" w:rsidRDefault="00000000">
            <w:pPr>
              <w:ind w:right="113"/>
              <w:jc w:val="right"/>
              <w:rPr>
                <w:snapToGrid w:val="0"/>
              </w:rPr>
            </w:pPr>
            <w:r>
              <w:rPr>
                <w:snapToGrid w:val="0"/>
              </w:rPr>
              <w:t xml:space="preserve">  2 950</w:t>
            </w:r>
          </w:p>
        </w:tc>
        <w:tc>
          <w:tcPr>
            <w:tcW w:w="1271" w:type="dxa"/>
            <w:tcBorders>
              <w:left w:val="single" w:sz="4" w:space="0" w:color="auto"/>
              <w:right w:val="single" w:sz="4" w:space="0" w:color="auto"/>
            </w:tcBorders>
          </w:tcPr>
          <w:p w:rsidR="00000000" w:rsidRDefault="00000000">
            <w:pPr>
              <w:ind w:right="227"/>
              <w:jc w:val="right"/>
              <w:rPr>
                <w:snapToGrid w:val="0"/>
              </w:rPr>
            </w:pPr>
            <w:r>
              <w:rPr>
                <w:snapToGrid w:val="0"/>
              </w:rPr>
              <w:t xml:space="preserve">   215</w:t>
            </w:r>
          </w:p>
        </w:tc>
        <w:tc>
          <w:tcPr>
            <w:tcW w:w="1610" w:type="dxa"/>
            <w:gridSpan w:val="2"/>
            <w:tcBorders>
              <w:left w:val="single" w:sz="4" w:space="0" w:color="auto"/>
              <w:right w:val="single" w:sz="4" w:space="0" w:color="auto"/>
            </w:tcBorders>
          </w:tcPr>
          <w:p w:rsidR="00000000" w:rsidRDefault="00000000">
            <w:pPr>
              <w:ind w:right="428"/>
              <w:jc w:val="right"/>
              <w:rPr>
                <w:snapToGrid w:val="0"/>
              </w:rPr>
            </w:pPr>
            <w:r>
              <w:rPr>
                <w:snapToGrid w:val="0"/>
              </w:rPr>
              <w:t xml:space="preserve">      99</w:t>
            </w:r>
          </w:p>
        </w:tc>
      </w:tr>
      <w:tr w:rsidR="00000000">
        <w:tblPrEx>
          <w:tblCellMar>
            <w:top w:w="0" w:type="dxa"/>
            <w:bottom w:w="0" w:type="dxa"/>
          </w:tblCellMar>
        </w:tblPrEx>
        <w:trPr>
          <w:gridAfter w:val="1"/>
          <w:wAfter w:w="11" w:type="dxa"/>
          <w:cantSplit/>
          <w:trHeight w:val="192"/>
          <w:jc w:val="center"/>
        </w:trPr>
        <w:tc>
          <w:tcPr>
            <w:tcW w:w="2267" w:type="dxa"/>
            <w:gridSpan w:val="2"/>
            <w:vMerge/>
            <w:tcBorders>
              <w:left w:val="single" w:sz="4" w:space="0" w:color="auto"/>
              <w:bottom w:val="single" w:sz="4" w:space="0" w:color="auto"/>
              <w:right w:val="single" w:sz="4" w:space="0" w:color="auto"/>
            </w:tcBorders>
            <w:vAlign w:val="center"/>
          </w:tcPr>
          <w:p w:rsidR="00000000" w:rsidRDefault="00000000">
            <w:pPr>
              <w:rPr>
                <w:snapToGrid w:val="0"/>
              </w:rPr>
            </w:pPr>
          </w:p>
        </w:tc>
        <w:tc>
          <w:tcPr>
            <w:tcW w:w="993" w:type="dxa"/>
            <w:gridSpan w:val="2"/>
            <w:tcBorders>
              <w:left w:val="single" w:sz="4" w:space="0" w:color="auto"/>
              <w:bottom w:val="single" w:sz="4" w:space="0" w:color="auto"/>
              <w:right w:val="single" w:sz="4" w:space="0" w:color="auto"/>
            </w:tcBorders>
          </w:tcPr>
          <w:p w:rsidR="00000000" w:rsidRDefault="00000000">
            <w:pPr>
              <w:ind w:right="284"/>
              <w:jc w:val="right"/>
              <w:rPr>
                <w:snapToGrid w:val="0"/>
              </w:rPr>
            </w:pPr>
            <w:r>
              <w:rPr>
                <w:snapToGrid w:val="0"/>
              </w:rPr>
              <w:t>1999</w:t>
            </w:r>
          </w:p>
        </w:tc>
        <w:tc>
          <w:tcPr>
            <w:tcW w:w="1139" w:type="dxa"/>
            <w:gridSpan w:val="2"/>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2 703</w:t>
            </w:r>
          </w:p>
        </w:tc>
        <w:tc>
          <w:tcPr>
            <w:tcW w:w="993" w:type="dxa"/>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2 406</w:t>
            </w:r>
          </w:p>
        </w:tc>
        <w:tc>
          <w:tcPr>
            <w:tcW w:w="1271" w:type="dxa"/>
            <w:tcBorders>
              <w:left w:val="single" w:sz="4" w:space="0" w:color="auto"/>
              <w:bottom w:val="single" w:sz="4" w:space="0" w:color="auto"/>
              <w:right w:val="single" w:sz="4" w:space="0" w:color="auto"/>
            </w:tcBorders>
          </w:tcPr>
          <w:p w:rsidR="00000000" w:rsidRDefault="00000000">
            <w:pPr>
              <w:ind w:right="227"/>
              <w:jc w:val="right"/>
              <w:rPr>
                <w:snapToGrid w:val="0"/>
              </w:rPr>
            </w:pPr>
            <w:r>
              <w:rPr>
                <w:snapToGrid w:val="0"/>
              </w:rPr>
              <w:t xml:space="preserve">   198</w:t>
            </w:r>
          </w:p>
        </w:tc>
        <w:tc>
          <w:tcPr>
            <w:tcW w:w="1610" w:type="dxa"/>
            <w:gridSpan w:val="2"/>
            <w:tcBorders>
              <w:left w:val="single" w:sz="4" w:space="0" w:color="auto"/>
              <w:bottom w:val="single" w:sz="4" w:space="0" w:color="auto"/>
              <w:right w:val="single" w:sz="4" w:space="0" w:color="auto"/>
            </w:tcBorders>
          </w:tcPr>
          <w:p w:rsidR="00000000" w:rsidRDefault="00000000">
            <w:pPr>
              <w:ind w:right="428"/>
              <w:jc w:val="right"/>
              <w:rPr>
                <w:snapToGrid w:val="0"/>
              </w:rPr>
            </w:pPr>
            <w:r>
              <w:rPr>
                <w:snapToGrid w:val="0"/>
              </w:rPr>
              <w:t xml:space="preserve">      99</w:t>
            </w:r>
          </w:p>
        </w:tc>
      </w:tr>
      <w:tr w:rsidR="00000000">
        <w:tblPrEx>
          <w:tblCellMar>
            <w:top w:w="0" w:type="dxa"/>
            <w:bottom w:w="0" w:type="dxa"/>
          </w:tblCellMar>
        </w:tblPrEx>
        <w:trPr>
          <w:gridAfter w:val="1"/>
          <w:wAfter w:w="11" w:type="dxa"/>
          <w:cantSplit/>
          <w:trHeight w:val="192"/>
          <w:jc w:val="center"/>
        </w:trPr>
        <w:tc>
          <w:tcPr>
            <w:tcW w:w="2267" w:type="dxa"/>
            <w:gridSpan w:val="2"/>
            <w:vMerge w:val="restart"/>
            <w:tcBorders>
              <w:top w:val="single" w:sz="4" w:space="0" w:color="auto"/>
              <w:left w:val="single" w:sz="4" w:space="0" w:color="auto"/>
              <w:right w:val="single" w:sz="4" w:space="0" w:color="auto"/>
            </w:tcBorders>
            <w:vAlign w:val="center"/>
          </w:tcPr>
          <w:p w:rsidR="00000000" w:rsidRDefault="00000000">
            <w:pPr>
              <w:rPr>
                <w:snapToGrid w:val="0"/>
              </w:rPr>
            </w:pPr>
            <w:r>
              <w:rPr>
                <w:snapToGrid w:val="0"/>
              </w:rPr>
              <w:t>Sergipe</w:t>
            </w:r>
          </w:p>
        </w:tc>
        <w:tc>
          <w:tcPr>
            <w:tcW w:w="993" w:type="dxa"/>
            <w:gridSpan w:val="2"/>
            <w:tcBorders>
              <w:top w:val="single" w:sz="4" w:space="0" w:color="auto"/>
              <w:left w:val="single" w:sz="4" w:space="0" w:color="auto"/>
              <w:right w:val="single" w:sz="4" w:space="0" w:color="auto"/>
            </w:tcBorders>
          </w:tcPr>
          <w:p w:rsidR="00000000" w:rsidRDefault="00000000">
            <w:pPr>
              <w:ind w:right="284"/>
              <w:jc w:val="right"/>
              <w:rPr>
                <w:snapToGrid w:val="0"/>
              </w:rPr>
            </w:pPr>
            <w:r>
              <w:rPr>
                <w:snapToGrid w:val="0"/>
              </w:rPr>
              <w:t>1997</w:t>
            </w:r>
          </w:p>
        </w:tc>
        <w:tc>
          <w:tcPr>
            <w:tcW w:w="1139" w:type="dxa"/>
            <w:gridSpan w:val="2"/>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1 284</w:t>
            </w:r>
          </w:p>
        </w:tc>
        <w:tc>
          <w:tcPr>
            <w:tcW w:w="993" w:type="dxa"/>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1 001</w:t>
            </w:r>
          </w:p>
        </w:tc>
        <w:tc>
          <w:tcPr>
            <w:tcW w:w="1271" w:type="dxa"/>
            <w:tcBorders>
              <w:top w:val="single" w:sz="4" w:space="0" w:color="auto"/>
              <w:left w:val="single" w:sz="4" w:space="0" w:color="auto"/>
              <w:right w:val="single" w:sz="4" w:space="0" w:color="auto"/>
            </w:tcBorders>
          </w:tcPr>
          <w:p w:rsidR="00000000" w:rsidRDefault="00000000">
            <w:pPr>
              <w:ind w:right="227"/>
              <w:jc w:val="right"/>
              <w:rPr>
                <w:snapToGrid w:val="0"/>
              </w:rPr>
            </w:pPr>
            <w:r>
              <w:rPr>
                <w:snapToGrid w:val="0"/>
              </w:rPr>
              <w:t xml:space="preserve">   136</w:t>
            </w:r>
          </w:p>
        </w:tc>
        <w:tc>
          <w:tcPr>
            <w:tcW w:w="1610" w:type="dxa"/>
            <w:gridSpan w:val="2"/>
            <w:tcBorders>
              <w:top w:val="single" w:sz="4" w:space="0" w:color="auto"/>
              <w:left w:val="single" w:sz="4" w:space="0" w:color="auto"/>
              <w:right w:val="single" w:sz="4" w:space="0" w:color="auto"/>
            </w:tcBorders>
          </w:tcPr>
          <w:p w:rsidR="00000000" w:rsidRDefault="00000000">
            <w:pPr>
              <w:ind w:right="428"/>
              <w:jc w:val="right"/>
              <w:rPr>
                <w:snapToGrid w:val="0"/>
              </w:rPr>
            </w:pPr>
            <w:r>
              <w:rPr>
                <w:snapToGrid w:val="0"/>
              </w:rPr>
              <w:t xml:space="preserve">    147</w:t>
            </w:r>
          </w:p>
        </w:tc>
      </w:tr>
      <w:tr w:rsidR="00000000">
        <w:tblPrEx>
          <w:tblCellMar>
            <w:top w:w="0" w:type="dxa"/>
            <w:bottom w:w="0" w:type="dxa"/>
          </w:tblCellMar>
        </w:tblPrEx>
        <w:trPr>
          <w:gridAfter w:val="1"/>
          <w:wAfter w:w="11" w:type="dxa"/>
          <w:cantSplit/>
          <w:trHeight w:val="192"/>
          <w:jc w:val="center"/>
        </w:trPr>
        <w:tc>
          <w:tcPr>
            <w:tcW w:w="2267" w:type="dxa"/>
            <w:gridSpan w:val="2"/>
            <w:vMerge/>
            <w:tcBorders>
              <w:left w:val="single" w:sz="4" w:space="0" w:color="auto"/>
              <w:right w:val="single" w:sz="4" w:space="0" w:color="auto"/>
            </w:tcBorders>
            <w:vAlign w:val="center"/>
          </w:tcPr>
          <w:p w:rsidR="00000000" w:rsidRDefault="00000000">
            <w:pPr>
              <w:rPr>
                <w:snapToGrid w:val="0"/>
              </w:rPr>
            </w:pPr>
          </w:p>
        </w:tc>
        <w:tc>
          <w:tcPr>
            <w:tcW w:w="993" w:type="dxa"/>
            <w:gridSpan w:val="2"/>
            <w:tcBorders>
              <w:left w:val="single" w:sz="4" w:space="0" w:color="auto"/>
              <w:right w:val="single" w:sz="4" w:space="0" w:color="auto"/>
            </w:tcBorders>
          </w:tcPr>
          <w:p w:rsidR="00000000" w:rsidRDefault="00000000">
            <w:pPr>
              <w:ind w:right="284"/>
              <w:jc w:val="right"/>
              <w:rPr>
                <w:snapToGrid w:val="0"/>
              </w:rPr>
            </w:pPr>
            <w:r>
              <w:rPr>
                <w:snapToGrid w:val="0"/>
              </w:rPr>
              <w:t>1998</w:t>
            </w:r>
          </w:p>
        </w:tc>
        <w:tc>
          <w:tcPr>
            <w:tcW w:w="1139" w:type="dxa"/>
            <w:gridSpan w:val="2"/>
            <w:tcBorders>
              <w:left w:val="single" w:sz="4" w:space="0" w:color="auto"/>
              <w:right w:val="single" w:sz="4" w:space="0" w:color="auto"/>
            </w:tcBorders>
          </w:tcPr>
          <w:p w:rsidR="00000000" w:rsidRDefault="00000000">
            <w:pPr>
              <w:ind w:right="113"/>
              <w:jc w:val="right"/>
              <w:rPr>
                <w:snapToGrid w:val="0"/>
              </w:rPr>
            </w:pPr>
            <w:r>
              <w:rPr>
                <w:snapToGrid w:val="0"/>
              </w:rPr>
              <w:t xml:space="preserve">  1 358</w:t>
            </w:r>
          </w:p>
        </w:tc>
        <w:tc>
          <w:tcPr>
            <w:tcW w:w="993" w:type="dxa"/>
            <w:tcBorders>
              <w:left w:val="single" w:sz="4" w:space="0" w:color="auto"/>
              <w:right w:val="single" w:sz="4" w:space="0" w:color="auto"/>
            </w:tcBorders>
          </w:tcPr>
          <w:p w:rsidR="00000000" w:rsidRDefault="00000000">
            <w:pPr>
              <w:ind w:right="113"/>
              <w:jc w:val="right"/>
              <w:rPr>
                <w:snapToGrid w:val="0"/>
              </w:rPr>
            </w:pPr>
            <w:r>
              <w:rPr>
                <w:snapToGrid w:val="0"/>
              </w:rPr>
              <w:t xml:space="preserve"> 1 094</w:t>
            </w:r>
          </w:p>
        </w:tc>
        <w:tc>
          <w:tcPr>
            <w:tcW w:w="1271" w:type="dxa"/>
            <w:tcBorders>
              <w:left w:val="single" w:sz="4" w:space="0" w:color="auto"/>
              <w:right w:val="single" w:sz="4" w:space="0" w:color="auto"/>
            </w:tcBorders>
          </w:tcPr>
          <w:p w:rsidR="00000000" w:rsidRDefault="00000000">
            <w:pPr>
              <w:ind w:right="227"/>
              <w:jc w:val="right"/>
              <w:rPr>
                <w:snapToGrid w:val="0"/>
              </w:rPr>
            </w:pPr>
            <w:r>
              <w:rPr>
                <w:snapToGrid w:val="0"/>
              </w:rPr>
              <w:t xml:space="preserve">    111</w:t>
            </w:r>
          </w:p>
        </w:tc>
        <w:tc>
          <w:tcPr>
            <w:tcW w:w="1610" w:type="dxa"/>
            <w:gridSpan w:val="2"/>
            <w:tcBorders>
              <w:left w:val="single" w:sz="4" w:space="0" w:color="auto"/>
              <w:right w:val="single" w:sz="4" w:space="0" w:color="auto"/>
            </w:tcBorders>
          </w:tcPr>
          <w:p w:rsidR="00000000" w:rsidRDefault="00000000">
            <w:pPr>
              <w:ind w:right="428"/>
              <w:jc w:val="right"/>
              <w:rPr>
                <w:snapToGrid w:val="0"/>
              </w:rPr>
            </w:pPr>
            <w:r>
              <w:rPr>
                <w:snapToGrid w:val="0"/>
              </w:rPr>
              <w:t xml:space="preserve">    153</w:t>
            </w:r>
          </w:p>
        </w:tc>
      </w:tr>
      <w:tr w:rsidR="00000000">
        <w:tblPrEx>
          <w:tblCellMar>
            <w:top w:w="0" w:type="dxa"/>
            <w:bottom w:w="0" w:type="dxa"/>
          </w:tblCellMar>
        </w:tblPrEx>
        <w:trPr>
          <w:gridAfter w:val="1"/>
          <w:wAfter w:w="11" w:type="dxa"/>
          <w:cantSplit/>
          <w:trHeight w:val="192"/>
          <w:jc w:val="center"/>
        </w:trPr>
        <w:tc>
          <w:tcPr>
            <w:tcW w:w="2267" w:type="dxa"/>
            <w:gridSpan w:val="2"/>
            <w:vMerge/>
            <w:tcBorders>
              <w:left w:val="single" w:sz="4" w:space="0" w:color="auto"/>
              <w:bottom w:val="single" w:sz="4" w:space="0" w:color="auto"/>
              <w:right w:val="single" w:sz="4" w:space="0" w:color="auto"/>
            </w:tcBorders>
            <w:vAlign w:val="center"/>
          </w:tcPr>
          <w:p w:rsidR="00000000" w:rsidRDefault="00000000">
            <w:pPr>
              <w:rPr>
                <w:snapToGrid w:val="0"/>
              </w:rPr>
            </w:pPr>
          </w:p>
        </w:tc>
        <w:tc>
          <w:tcPr>
            <w:tcW w:w="993" w:type="dxa"/>
            <w:gridSpan w:val="2"/>
            <w:tcBorders>
              <w:left w:val="single" w:sz="4" w:space="0" w:color="auto"/>
              <w:bottom w:val="single" w:sz="4" w:space="0" w:color="auto"/>
              <w:right w:val="single" w:sz="4" w:space="0" w:color="auto"/>
            </w:tcBorders>
          </w:tcPr>
          <w:p w:rsidR="00000000" w:rsidRDefault="00000000">
            <w:pPr>
              <w:ind w:right="284"/>
              <w:jc w:val="right"/>
              <w:rPr>
                <w:snapToGrid w:val="0"/>
              </w:rPr>
            </w:pPr>
            <w:r>
              <w:rPr>
                <w:snapToGrid w:val="0"/>
              </w:rPr>
              <w:t>1999</w:t>
            </w:r>
          </w:p>
        </w:tc>
        <w:tc>
          <w:tcPr>
            <w:tcW w:w="1139" w:type="dxa"/>
            <w:gridSpan w:val="2"/>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1 165</w:t>
            </w:r>
          </w:p>
        </w:tc>
        <w:tc>
          <w:tcPr>
            <w:tcW w:w="993" w:type="dxa"/>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918</w:t>
            </w:r>
          </w:p>
        </w:tc>
        <w:tc>
          <w:tcPr>
            <w:tcW w:w="1271" w:type="dxa"/>
            <w:tcBorders>
              <w:left w:val="single" w:sz="4" w:space="0" w:color="auto"/>
              <w:bottom w:val="single" w:sz="4" w:space="0" w:color="auto"/>
              <w:right w:val="single" w:sz="4" w:space="0" w:color="auto"/>
            </w:tcBorders>
          </w:tcPr>
          <w:p w:rsidR="00000000" w:rsidRDefault="00000000">
            <w:pPr>
              <w:ind w:right="227"/>
              <w:jc w:val="right"/>
              <w:rPr>
                <w:snapToGrid w:val="0"/>
              </w:rPr>
            </w:pPr>
            <w:r>
              <w:rPr>
                <w:snapToGrid w:val="0"/>
              </w:rPr>
              <w:t xml:space="preserve">   116</w:t>
            </w:r>
          </w:p>
        </w:tc>
        <w:tc>
          <w:tcPr>
            <w:tcW w:w="1610" w:type="dxa"/>
            <w:gridSpan w:val="2"/>
            <w:tcBorders>
              <w:left w:val="single" w:sz="4" w:space="0" w:color="auto"/>
              <w:bottom w:val="single" w:sz="4" w:space="0" w:color="auto"/>
              <w:right w:val="single" w:sz="4" w:space="0" w:color="auto"/>
            </w:tcBorders>
          </w:tcPr>
          <w:p w:rsidR="00000000" w:rsidRDefault="00000000">
            <w:pPr>
              <w:ind w:right="428"/>
              <w:jc w:val="right"/>
              <w:rPr>
                <w:snapToGrid w:val="0"/>
              </w:rPr>
            </w:pPr>
            <w:r>
              <w:rPr>
                <w:snapToGrid w:val="0"/>
              </w:rPr>
              <w:t xml:space="preserve">    131</w:t>
            </w:r>
          </w:p>
        </w:tc>
      </w:tr>
      <w:tr w:rsidR="00000000">
        <w:tblPrEx>
          <w:tblCellMar>
            <w:top w:w="0" w:type="dxa"/>
            <w:bottom w:w="0" w:type="dxa"/>
          </w:tblCellMar>
        </w:tblPrEx>
        <w:trPr>
          <w:gridAfter w:val="1"/>
          <w:wAfter w:w="11" w:type="dxa"/>
          <w:cantSplit/>
          <w:trHeight w:val="192"/>
          <w:jc w:val="center"/>
        </w:trPr>
        <w:tc>
          <w:tcPr>
            <w:tcW w:w="2267" w:type="dxa"/>
            <w:gridSpan w:val="2"/>
            <w:vMerge w:val="restart"/>
            <w:tcBorders>
              <w:top w:val="single" w:sz="4" w:space="0" w:color="auto"/>
              <w:left w:val="single" w:sz="4" w:space="0" w:color="auto"/>
              <w:right w:val="single" w:sz="4" w:space="0" w:color="auto"/>
            </w:tcBorders>
            <w:vAlign w:val="center"/>
          </w:tcPr>
          <w:p w:rsidR="00000000" w:rsidRDefault="00000000">
            <w:pPr>
              <w:rPr>
                <w:snapToGrid w:val="0"/>
              </w:rPr>
            </w:pPr>
            <w:r>
              <w:rPr>
                <w:snapToGrid w:val="0"/>
              </w:rPr>
              <w:t>Bahia</w:t>
            </w:r>
          </w:p>
        </w:tc>
        <w:tc>
          <w:tcPr>
            <w:tcW w:w="993" w:type="dxa"/>
            <w:gridSpan w:val="2"/>
            <w:tcBorders>
              <w:top w:val="single" w:sz="4" w:space="0" w:color="auto"/>
              <w:left w:val="single" w:sz="4" w:space="0" w:color="auto"/>
              <w:right w:val="single" w:sz="4" w:space="0" w:color="auto"/>
            </w:tcBorders>
          </w:tcPr>
          <w:p w:rsidR="00000000" w:rsidRDefault="00000000">
            <w:pPr>
              <w:ind w:right="284"/>
              <w:jc w:val="right"/>
              <w:rPr>
                <w:snapToGrid w:val="0"/>
              </w:rPr>
            </w:pPr>
            <w:r>
              <w:rPr>
                <w:snapToGrid w:val="0"/>
              </w:rPr>
              <w:t>1997</w:t>
            </w:r>
          </w:p>
        </w:tc>
        <w:tc>
          <w:tcPr>
            <w:tcW w:w="1139" w:type="dxa"/>
            <w:gridSpan w:val="2"/>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10 321</w:t>
            </w:r>
          </w:p>
        </w:tc>
        <w:tc>
          <w:tcPr>
            <w:tcW w:w="993" w:type="dxa"/>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7.475</w:t>
            </w:r>
          </w:p>
        </w:tc>
        <w:tc>
          <w:tcPr>
            <w:tcW w:w="1271" w:type="dxa"/>
            <w:tcBorders>
              <w:top w:val="single" w:sz="4" w:space="0" w:color="auto"/>
              <w:left w:val="single" w:sz="4" w:space="0" w:color="auto"/>
              <w:right w:val="single" w:sz="4" w:space="0" w:color="auto"/>
            </w:tcBorders>
          </w:tcPr>
          <w:p w:rsidR="00000000" w:rsidRDefault="00000000">
            <w:pPr>
              <w:ind w:right="227"/>
              <w:jc w:val="right"/>
              <w:rPr>
                <w:snapToGrid w:val="0"/>
              </w:rPr>
            </w:pPr>
            <w:r>
              <w:rPr>
                <w:snapToGrid w:val="0"/>
              </w:rPr>
              <w:t xml:space="preserve">    921</w:t>
            </w:r>
          </w:p>
        </w:tc>
        <w:tc>
          <w:tcPr>
            <w:tcW w:w="1610" w:type="dxa"/>
            <w:gridSpan w:val="2"/>
            <w:tcBorders>
              <w:top w:val="single" w:sz="4" w:space="0" w:color="auto"/>
              <w:left w:val="single" w:sz="4" w:space="0" w:color="auto"/>
              <w:right w:val="single" w:sz="4" w:space="0" w:color="auto"/>
            </w:tcBorders>
          </w:tcPr>
          <w:p w:rsidR="00000000" w:rsidRDefault="00000000">
            <w:pPr>
              <w:ind w:right="428"/>
              <w:jc w:val="right"/>
              <w:rPr>
                <w:snapToGrid w:val="0"/>
              </w:rPr>
            </w:pPr>
            <w:r>
              <w:rPr>
                <w:snapToGrid w:val="0"/>
              </w:rPr>
              <w:t>1.925</w:t>
            </w:r>
          </w:p>
        </w:tc>
      </w:tr>
      <w:tr w:rsidR="00000000">
        <w:tblPrEx>
          <w:tblCellMar>
            <w:top w:w="0" w:type="dxa"/>
            <w:bottom w:w="0" w:type="dxa"/>
          </w:tblCellMar>
        </w:tblPrEx>
        <w:trPr>
          <w:gridAfter w:val="1"/>
          <w:wAfter w:w="11" w:type="dxa"/>
          <w:cantSplit/>
          <w:trHeight w:val="192"/>
          <w:jc w:val="center"/>
        </w:trPr>
        <w:tc>
          <w:tcPr>
            <w:tcW w:w="2267" w:type="dxa"/>
            <w:gridSpan w:val="2"/>
            <w:vMerge/>
            <w:tcBorders>
              <w:left w:val="single" w:sz="4" w:space="0" w:color="auto"/>
              <w:right w:val="single" w:sz="4" w:space="0" w:color="auto"/>
            </w:tcBorders>
            <w:vAlign w:val="center"/>
          </w:tcPr>
          <w:p w:rsidR="00000000" w:rsidRDefault="00000000">
            <w:pPr>
              <w:rPr>
                <w:snapToGrid w:val="0"/>
              </w:rPr>
            </w:pPr>
          </w:p>
        </w:tc>
        <w:tc>
          <w:tcPr>
            <w:tcW w:w="993" w:type="dxa"/>
            <w:gridSpan w:val="2"/>
            <w:tcBorders>
              <w:left w:val="single" w:sz="4" w:space="0" w:color="auto"/>
              <w:right w:val="single" w:sz="4" w:space="0" w:color="auto"/>
            </w:tcBorders>
          </w:tcPr>
          <w:p w:rsidR="00000000" w:rsidRDefault="00000000">
            <w:pPr>
              <w:ind w:right="284"/>
              <w:jc w:val="right"/>
              <w:rPr>
                <w:snapToGrid w:val="0"/>
              </w:rPr>
            </w:pPr>
            <w:r>
              <w:rPr>
                <w:snapToGrid w:val="0"/>
              </w:rPr>
              <w:t>1998</w:t>
            </w:r>
          </w:p>
        </w:tc>
        <w:tc>
          <w:tcPr>
            <w:tcW w:w="1139" w:type="dxa"/>
            <w:gridSpan w:val="2"/>
            <w:tcBorders>
              <w:left w:val="single" w:sz="4" w:space="0" w:color="auto"/>
              <w:right w:val="single" w:sz="4" w:space="0" w:color="auto"/>
            </w:tcBorders>
          </w:tcPr>
          <w:p w:rsidR="00000000" w:rsidRDefault="00000000">
            <w:pPr>
              <w:ind w:right="113"/>
              <w:jc w:val="right"/>
              <w:rPr>
                <w:snapToGrid w:val="0"/>
              </w:rPr>
            </w:pPr>
            <w:r>
              <w:rPr>
                <w:snapToGrid w:val="0"/>
              </w:rPr>
              <w:t xml:space="preserve">  8.829</w:t>
            </w:r>
          </w:p>
        </w:tc>
        <w:tc>
          <w:tcPr>
            <w:tcW w:w="993" w:type="dxa"/>
            <w:tcBorders>
              <w:left w:val="single" w:sz="4" w:space="0" w:color="auto"/>
              <w:right w:val="single" w:sz="4" w:space="0" w:color="auto"/>
            </w:tcBorders>
          </w:tcPr>
          <w:p w:rsidR="00000000" w:rsidRDefault="00000000">
            <w:pPr>
              <w:ind w:right="113"/>
              <w:jc w:val="right"/>
              <w:rPr>
                <w:snapToGrid w:val="0"/>
              </w:rPr>
            </w:pPr>
            <w:r>
              <w:rPr>
                <w:snapToGrid w:val="0"/>
              </w:rPr>
              <w:t xml:space="preserve">   6.585</w:t>
            </w:r>
          </w:p>
        </w:tc>
        <w:tc>
          <w:tcPr>
            <w:tcW w:w="1271" w:type="dxa"/>
            <w:tcBorders>
              <w:left w:val="single" w:sz="4" w:space="0" w:color="auto"/>
              <w:right w:val="single" w:sz="4" w:space="0" w:color="auto"/>
            </w:tcBorders>
          </w:tcPr>
          <w:p w:rsidR="00000000" w:rsidRDefault="00000000">
            <w:pPr>
              <w:ind w:right="227"/>
              <w:jc w:val="right"/>
              <w:rPr>
                <w:snapToGrid w:val="0"/>
              </w:rPr>
            </w:pPr>
            <w:r>
              <w:rPr>
                <w:snapToGrid w:val="0"/>
              </w:rPr>
              <w:t xml:space="preserve">   790</w:t>
            </w:r>
          </w:p>
        </w:tc>
        <w:tc>
          <w:tcPr>
            <w:tcW w:w="1610" w:type="dxa"/>
            <w:gridSpan w:val="2"/>
            <w:tcBorders>
              <w:left w:val="single" w:sz="4" w:space="0" w:color="auto"/>
              <w:right w:val="single" w:sz="4" w:space="0" w:color="auto"/>
            </w:tcBorders>
          </w:tcPr>
          <w:p w:rsidR="00000000" w:rsidRDefault="00000000">
            <w:pPr>
              <w:ind w:right="428"/>
              <w:jc w:val="right"/>
              <w:rPr>
                <w:snapToGrid w:val="0"/>
              </w:rPr>
            </w:pPr>
            <w:r>
              <w:rPr>
                <w:snapToGrid w:val="0"/>
              </w:rPr>
              <w:t>1.454</w:t>
            </w:r>
          </w:p>
        </w:tc>
      </w:tr>
      <w:tr w:rsidR="00000000">
        <w:tblPrEx>
          <w:tblCellMar>
            <w:top w:w="0" w:type="dxa"/>
            <w:bottom w:w="0" w:type="dxa"/>
          </w:tblCellMar>
        </w:tblPrEx>
        <w:trPr>
          <w:gridAfter w:val="1"/>
          <w:wAfter w:w="11" w:type="dxa"/>
          <w:cantSplit/>
          <w:trHeight w:val="192"/>
          <w:jc w:val="center"/>
        </w:trPr>
        <w:tc>
          <w:tcPr>
            <w:tcW w:w="2267" w:type="dxa"/>
            <w:gridSpan w:val="2"/>
            <w:vMerge/>
            <w:tcBorders>
              <w:left w:val="single" w:sz="4" w:space="0" w:color="auto"/>
              <w:bottom w:val="single" w:sz="4" w:space="0" w:color="auto"/>
              <w:right w:val="single" w:sz="4" w:space="0" w:color="auto"/>
            </w:tcBorders>
            <w:vAlign w:val="center"/>
          </w:tcPr>
          <w:p w:rsidR="00000000" w:rsidRDefault="00000000">
            <w:pPr>
              <w:rPr>
                <w:snapToGrid w:val="0"/>
              </w:rPr>
            </w:pPr>
          </w:p>
        </w:tc>
        <w:tc>
          <w:tcPr>
            <w:tcW w:w="993" w:type="dxa"/>
            <w:gridSpan w:val="2"/>
            <w:tcBorders>
              <w:left w:val="single" w:sz="4" w:space="0" w:color="auto"/>
              <w:bottom w:val="single" w:sz="4" w:space="0" w:color="auto"/>
              <w:right w:val="single" w:sz="4" w:space="0" w:color="auto"/>
            </w:tcBorders>
          </w:tcPr>
          <w:p w:rsidR="00000000" w:rsidRDefault="00000000">
            <w:pPr>
              <w:ind w:right="284"/>
              <w:jc w:val="right"/>
              <w:rPr>
                <w:snapToGrid w:val="0"/>
              </w:rPr>
            </w:pPr>
            <w:r>
              <w:rPr>
                <w:snapToGrid w:val="0"/>
              </w:rPr>
              <w:t>1999</w:t>
            </w:r>
          </w:p>
        </w:tc>
        <w:tc>
          <w:tcPr>
            <w:tcW w:w="1139" w:type="dxa"/>
            <w:gridSpan w:val="2"/>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7.482</w:t>
            </w:r>
          </w:p>
        </w:tc>
        <w:tc>
          <w:tcPr>
            <w:tcW w:w="993" w:type="dxa"/>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5.725</w:t>
            </w:r>
          </w:p>
        </w:tc>
        <w:tc>
          <w:tcPr>
            <w:tcW w:w="1271" w:type="dxa"/>
            <w:tcBorders>
              <w:left w:val="single" w:sz="4" w:space="0" w:color="auto"/>
              <w:bottom w:val="single" w:sz="4" w:space="0" w:color="auto"/>
              <w:right w:val="single" w:sz="4" w:space="0" w:color="auto"/>
            </w:tcBorders>
          </w:tcPr>
          <w:p w:rsidR="00000000" w:rsidRDefault="00000000">
            <w:pPr>
              <w:ind w:right="227"/>
              <w:jc w:val="right"/>
              <w:rPr>
                <w:snapToGrid w:val="0"/>
              </w:rPr>
            </w:pPr>
            <w:r>
              <w:rPr>
                <w:snapToGrid w:val="0"/>
              </w:rPr>
              <w:t xml:space="preserve">    845</w:t>
            </w:r>
          </w:p>
        </w:tc>
        <w:tc>
          <w:tcPr>
            <w:tcW w:w="1610" w:type="dxa"/>
            <w:gridSpan w:val="2"/>
            <w:tcBorders>
              <w:left w:val="single" w:sz="4" w:space="0" w:color="auto"/>
              <w:bottom w:val="single" w:sz="4" w:space="0" w:color="auto"/>
              <w:right w:val="single" w:sz="4" w:space="0" w:color="auto"/>
            </w:tcBorders>
          </w:tcPr>
          <w:p w:rsidR="00000000" w:rsidRDefault="00000000">
            <w:pPr>
              <w:ind w:right="428"/>
              <w:jc w:val="right"/>
              <w:rPr>
                <w:snapToGrid w:val="0"/>
              </w:rPr>
            </w:pPr>
            <w:r>
              <w:rPr>
                <w:snapToGrid w:val="0"/>
              </w:rPr>
              <w:t xml:space="preserve">    912</w:t>
            </w:r>
          </w:p>
        </w:tc>
      </w:tr>
      <w:tr w:rsidR="00000000">
        <w:tblPrEx>
          <w:tblCellMar>
            <w:top w:w="0" w:type="dxa"/>
            <w:bottom w:w="0" w:type="dxa"/>
          </w:tblCellMar>
        </w:tblPrEx>
        <w:trPr>
          <w:gridAfter w:val="1"/>
          <w:wAfter w:w="11" w:type="dxa"/>
          <w:cantSplit/>
          <w:trHeight w:val="192"/>
          <w:jc w:val="center"/>
        </w:trPr>
        <w:tc>
          <w:tcPr>
            <w:tcW w:w="2267" w:type="dxa"/>
            <w:gridSpan w:val="2"/>
            <w:vMerge w:val="restart"/>
            <w:tcBorders>
              <w:top w:val="single" w:sz="4" w:space="0" w:color="auto"/>
              <w:left w:val="single" w:sz="4" w:space="0" w:color="auto"/>
              <w:right w:val="single" w:sz="4" w:space="0" w:color="auto"/>
            </w:tcBorders>
            <w:vAlign w:val="center"/>
          </w:tcPr>
          <w:p w:rsidR="00000000" w:rsidRDefault="00000000">
            <w:pPr>
              <w:rPr>
                <w:b/>
                <w:snapToGrid w:val="0"/>
              </w:rPr>
            </w:pPr>
            <w:r>
              <w:rPr>
                <w:b/>
                <w:snapToGrid w:val="0"/>
              </w:rPr>
              <w:t>South</w:t>
            </w:r>
            <w:r>
              <w:rPr>
                <w:b/>
                <w:snapToGrid w:val="0"/>
              </w:rPr>
              <w:noBreakHyphen/>
              <w:t>eastern</w:t>
            </w:r>
          </w:p>
          <w:p w:rsidR="00000000" w:rsidRDefault="00000000">
            <w:pPr>
              <w:rPr>
                <w:b/>
                <w:snapToGrid w:val="0"/>
              </w:rPr>
            </w:pPr>
            <w:r>
              <w:rPr>
                <w:b/>
                <w:snapToGrid w:val="0"/>
              </w:rPr>
              <w:t>Region</w:t>
            </w:r>
          </w:p>
        </w:tc>
        <w:tc>
          <w:tcPr>
            <w:tcW w:w="993" w:type="dxa"/>
            <w:gridSpan w:val="2"/>
            <w:tcBorders>
              <w:top w:val="single" w:sz="4" w:space="0" w:color="auto"/>
              <w:left w:val="single" w:sz="4" w:space="0" w:color="auto"/>
              <w:right w:val="single" w:sz="4" w:space="0" w:color="auto"/>
            </w:tcBorders>
          </w:tcPr>
          <w:p w:rsidR="00000000" w:rsidRDefault="00000000">
            <w:pPr>
              <w:ind w:right="284"/>
              <w:jc w:val="right"/>
              <w:rPr>
                <w:b/>
                <w:snapToGrid w:val="0"/>
              </w:rPr>
            </w:pPr>
            <w:r>
              <w:rPr>
                <w:b/>
                <w:snapToGrid w:val="0"/>
              </w:rPr>
              <w:t>1997</w:t>
            </w:r>
          </w:p>
        </w:tc>
        <w:tc>
          <w:tcPr>
            <w:tcW w:w="1139" w:type="dxa"/>
            <w:gridSpan w:val="2"/>
            <w:tcBorders>
              <w:top w:val="single" w:sz="4" w:space="0" w:color="auto"/>
              <w:left w:val="single" w:sz="4" w:space="0" w:color="auto"/>
              <w:right w:val="single" w:sz="4" w:space="0" w:color="auto"/>
            </w:tcBorders>
          </w:tcPr>
          <w:p w:rsidR="00000000" w:rsidRDefault="00000000">
            <w:pPr>
              <w:ind w:right="113"/>
              <w:jc w:val="right"/>
              <w:rPr>
                <w:b/>
                <w:snapToGrid w:val="0"/>
              </w:rPr>
            </w:pPr>
            <w:r>
              <w:rPr>
                <w:b/>
                <w:snapToGrid w:val="0"/>
              </w:rPr>
              <w:t>277.938</w:t>
            </w:r>
          </w:p>
        </w:tc>
        <w:tc>
          <w:tcPr>
            <w:tcW w:w="993" w:type="dxa"/>
            <w:tcBorders>
              <w:top w:val="single" w:sz="4" w:space="0" w:color="auto"/>
              <w:left w:val="single" w:sz="4" w:space="0" w:color="auto"/>
              <w:right w:val="single" w:sz="4" w:space="0" w:color="auto"/>
            </w:tcBorders>
          </w:tcPr>
          <w:p w:rsidR="00000000" w:rsidRDefault="00000000">
            <w:pPr>
              <w:ind w:right="113"/>
              <w:jc w:val="right"/>
              <w:rPr>
                <w:b/>
                <w:snapToGrid w:val="0"/>
              </w:rPr>
            </w:pPr>
            <w:r>
              <w:rPr>
                <w:b/>
                <w:snapToGrid w:val="0"/>
              </w:rPr>
              <w:t>227.208</w:t>
            </w:r>
          </w:p>
        </w:tc>
        <w:tc>
          <w:tcPr>
            <w:tcW w:w="1271" w:type="dxa"/>
            <w:tcBorders>
              <w:top w:val="single" w:sz="4" w:space="0" w:color="auto"/>
              <w:left w:val="single" w:sz="4" w:space="0" w:color="auto"/>
              <w:right w:val="single" w:sz="4" w:space="0" w:color="auto"/>
            </w:tcBorders>
          </w:tcPr>
          <w:p w:rsidR="00000000" w:rsidRDefault="00000000">
            <w:pPr>
              <w:ind w:right="227"/>
              <w:jc w:val="right"/>
              <w:rPr>
                <w:b/>
                <w:snapToGrid w:val="0"/>
              </w:rPr>
            </w:pPr>
            <w:r>
              <w:rPr>
                <w:b/>
                <w:snapToGrid w:val="0"/>
              </w:rPr>
              <w:t>23.958</w:t>
            </w:r>
          </w:p>
        </w:tc>
        <w:tc>
          <w:tcPr>
            <w:tcW w:w="1610" w:type="dxa"/>
            <w:gridSpan w:val="2"/>
            <w:tcBorders>
              <w:top w:val="single" w:sz="4" w:space="0" w:color="auto"/>
              <w:left w:val="single" w:sz="4" w:space="0" w:color="auto"/>
              <w:right w:val="single" w:sz="4" w:space="0" w:color="auto"/>
            </w:tcBorders>
          </w:tcPr>
          <w:p w:rsidR="00000000" w:rsidRDefault="00000000">
            <w:pPr>
              <w:ind w:right="428"/>
              <w:jc w:val="right"/>
              <w:rPr>
                <w:b/>
                <w:snapToGrid w:val="0"/>
              </w:rPr>
            </w:pPr>
            <w:r>
              <w:rPr>
                <w:b/>
                <w:snapToGrid w:val="0"/>
              </w:rPr>
              <w:t>26.772</w:t>
            </w:r>
          </w:p>
        </w:tc>
      </w:tr>
      <w:tr w:rsidR="00000000">
        <w:tblPrEx>
          <w:tblCellMar>
            <w:top w:w="0" w:type="dxa"/>
            <w:bottom w:w="0" w:type="dxa"/>
          </w:tblCellMar>
        </w:tblPrEx>
        <w:trPr>
          <w:gridAfter w:val="1"/>
          <w:wAfter w:w="11" w:type="dxa"/>
          <w:cantSplit/>
          <w:trHeight w:val="192"/>
          <w:jc w:val="center"/>
        </w:trPr>
        <w:tc>
          <w:tcPr>
            <w:tcW w:w="2267" w:type="dxa"/>
            <w:gridSpan w:val="2"/>
            <w:vMerge/>
            <w:tcBorders>
              <w:left w:val="single" w:sz="4" w:space="0" w:color="auto"/>
              <w:right w:val="single" w:sz="4" w:space="0" w:color="auto"/>
            </w:tcBorders>
            <w:vAlign w:val="center"/>
          </w:tcPr>
          <w:p w:rsidR="00000000" w:rsidRDefault="00000000">
            <w:pPr>
              <w:rPr>
                <w:b/>
                <w:snapToGrid w:val="0"/>
              </w:rPr>
            </w:pPr>
          </w:p>
        </w:tc>
        <w:tc>
          <w:tcPr>
            <w:tcW w:w="993" w:type="dxa"/>
            <w:gridSpan w:val="2"/>
            <w:tcBorders>
              <w:left w:val="single" w:sz="4" w:space="0" w:color="auto"/>
              <w:right w:val="single" w:sz="4" w:space="0" w:color="auto"/>
            </w:tcBorders>
          </w:tcPr>
          <w:p w:rsidR="00000000" w:rsidRDefault="00000000">
            <w:pPr>
              <w:ind w:right="284"/>
              <w:jc w:val="right"/>
              <w:rPr>
                <w:b/>
                <w:snapToGrid w:val="0"/>
              </w:rPr>
            </w:pPr>
            <w:r>
              <w:rPr>
                <w:b/>
                <w:snapToGrid w:val="0"/>
              </w:rPr>
              <w:t>1998</w:t>
            </w:r>
          </w:p>
        </w:tc>
        <w:tc>
          <w:tcPr>
            <w:tcW w:w="1139" w:type="dxa"/>
            <w:gridSpan w:val="2"/>
            <w:tcBorders>
              <w:left w:val="single" w:sz="4" w:space="0" w:color="auto"/>
              <w:right w:val="single" w:sz="4" w:space="0" w:color="auto"/>
            </w:tcBorders>
          </w:tcPr>
          <w:p w:rsidR="00000000" w:rsidRDefault="00000000">
            <w:pPr>
              <w:ind w:right="113"/>
              <w:jc w:val="right"/>
              <w:rPr>
                <w:b/>
                <w:snapToGrid w:val="0"/>
              </w:rPr>
            </w:pPr>
            <w:r>
              <w:rPr>
                <w:b/>
                <w:snapToGrid w:val="0"/>
              </w:rPr>
              <w:t>271.499</w:t>
            </w:r>
          </w:p>
        </w:tc>
        <w:tc>
          <w:tcPr>
            <w:tcW w:w="993" w:type="dxa"/>
            <w:tcBorders>
              <w:left w:val="single" w:sz="4" w:space="0" w:color="auto"/>
              <w:right w:val="single" w:sz="4" w:space="0" w:color="auto"/>
            </w:tcBorders>
          </w:tcPr>
          <w:p w:rsidR="00000000" w:rsidRDefault="00000000">
            <w:pPr>
              <w:ind w:right="113"/>
              <w:jc w:val="right"/>
              <w:rPr>
                <w:b/>
                <w:snapToGrid w:val="0"/>
              </w:rPr>
            </w:pPr>
            <w:r>
              <w:rPr>
                <w:b/>
                <w:snapToGrid w:val="0"/>
              </w:rPr>
              <w:t>226.993</w:t>
            </w:r>
          </w:p>
        </w:tc>
        <w:tc>
          <w:tcPr>
            <w:tcW w:w="1271" w:type="dxa"/>
            <w:tcBorders>
              <w:left w:val="single" w:sz="4" w:space="0" w:color="auto"/>
              <w:right w:val="single" w:sz="4" w:space="0" w:color="auto"/>
            </w:tcBorders>
          </w:tcPr>
          <w:p w:rsidR="00000000" w:rsidRDefault="00000000">
            <w:pPr>
              <w:ind w:right="227"/>
              <w:jc w:val="right"/>
              <w:rPr>
                <w:b/>
                <w:snapToGrid w:val="0"/>
              </w:rPr>
            </w:pPr>
            <w:r>
              <w:rPr>
                <w:b/>
                <w:snapToGrid w:val="0"/>
              </w:rPr>
              <w:t>22.789</w:t>
            </w:r>
          </w:p>
        </w:tc>
        <w:tc>
          <w:tcPr>
            <w:tcW w:w="1610" w:type="dxa"/>
            <w:gridSpan w:val="2"/>
            <w:tcBorders>
              <w:left w:val="single" w:sz="4" w:space="0" w:color="auto"/>
              <w:right w:val="single" w:sz="4" w:space="0" w:color="auto"/>
            </w:tcBorders>
          </w:tcPr>
          <w:p w:rsidR="00000000" w:rsidRDefault="00000000">
            <w:pPr>
              <w:ind w:right="428"/>
              <w:jc w:val="right"/>
              <w:rPr>
                <w:b/>
                <w:snapToGrid w:val="0"/>
              </w:rPr>
            </w:pPr>
            <w:r>
              <w:rPr>
                <w:b/>
                <w:snapToGrid w:val="0"/>
              </w:rPr>
              <w:t>21.717</w:t>
            </w:r>
          </w:p>
        </w:tc>
      </w:tr>
      <w:tr w:rsidR="00000000">
        <w:tblPrEx>
          <w:tblCellMar>
            <w:top w:w="0" w:type="dxa"/>
            <w:bottom w:w="0" w:type="dxa"/>
          </w:tblCellMar>
        </w:tblPrEx>
        <w:trPr>
          <w:gridAfter w:val="1"/>
          <w:wAfter w:w="11" w:type="dxa"/>
          <w:cantSplit/>
          <w:jc w:val="center"/>
        </w:trPr>
        <w:tc>
          <w:tcPr>
            <w:tcW w:w="2267" w:type="dxa"/>
            <w:gridSpan w:val="2"/>
            <w:vMerge/>
            <w:tcBorders>
              <w:left w:val="single" w:sz="4" w:space="0" w:color="auto"/>
              <w:bottom w:val="single" w:sz="4" w:space="0" w:color="auto"/>
              <w:right w:val="single" w:sz="4" w:space="0" w:color="auto"/>
            </w:tcBorders>
            <w:vAlign w:val="center"/>
          </w:tcPr>
          <w:p w:rsidR="00000000" w:rsidRDefault="00000000">
            <w:pPr>
              <w:rPr>
                <w:b/>
                <w:snapToGrid w:val="0"/>
              </w:rPr>
            </w:pPr>
          </w:p>
        </w:tc>
        <w:tc>
          <w:tcPr>
            <w:tcW w:w="993" w:type="dxa"/>
            <w:gridSpan w:val="2"/>
            <w:tcBorders>
              <w:left w:val="single" w:sz="4" w:space="0" w:color="auto"/>
              <w:bottom w:val="single" w:sz="4" w:space="0" w:color="auto"/>
              <w:right w:val="single" w:sz="4" w:space="0" w:color="auto"/>
            </w:tcBorders>
          </w:tcPr>
          <w:p w:rsidR="00000000" w:rsidRDefault="00000000">
            <w:pPr>
              <w:ind w:right="284"/>
              <w:jc w:val="right"/>
              <w:rPr>
                <w:b/>
                <w:snapToGrid w:val="0"/>
              </w:rPr>
            </w:pPr>
            <w:r>
              <w:rPr>
                <w:b/>
                <w:snapToGrid w:val="0"/>
              </w:rPr>
              <w:t>1999</w:t>
            </w:r>
          </w:p>
        </w:tc>
        <w:tc>
          <w:tcPr>
            <w:tcW w:w="1139" w:type="dxa"/>
            <w:gridSpan w:val="2"/>
            <w:tcBorders>
              <w:left w:val="single" w:sz="4" w:space="0" w:color="auto"/>
              <w:bottom w:val="single" w:sz="4" w:space="0" w:color="auto"/>
              <w:right w:val="single" w:sz="4" w:space="0" w:color="auto"/>
            </w:tcBorders>
          </w:tcPr>
          <w:p w:rsidR="00000000" w:rsidRDefault="00000000">
            <w:pPr>
              <w:ind w:right="113"/>
              <w:jc w:val="right"/>
              <w:rPr>
                <w:b/>
                <w:snapToGrid w:val="0"/>
              </w:rPr>
            </w:pPr>
            <w:r>
              <w:rPr>
                <w:b/>
                <w:snapToGrid w:val="0"/>
              </w:rPr>
              <w:t>242.702</w:t>
            </w:r>
          </w:p>
        </w:tc>
        <w:tc>
          <w:tcPr>
            <w:tcW w:w="993" w:type="dxa"/>
            <w:tcBorders>
              <w:left w:val="single" w:sz="4" w:space="0" w:color="auto"/>
              <w:bottom w:val="single" w:sz="4" w:space="0" w:color="auto"/>
              <w:right w:val="single" w:sz="4" w:space="0" w:color="auto"/>
            </w:tcBorders>
          </w:tcPr>
          <w:p w:rsidR="00000000" w:rsidRDefault="00000000">
            <w:pPr>
              <w:ind w:right="113"/>
              <w:jc w:val="right"/>
              <w:rPr>
                <w:b/>
                <w:snapToGrid w:val="0"/>
              </w:rPr>
            </w:pPr>
            <w:r>
              <w:rPr>
                <w:b/>
                <w:snapToGrid w:val="0"/>
              </w:rPr>
              <w:t>204.579</w:t>
            </w:r>
          </w:p>
        </w:tc>
        <w:tc>
          <w:tcPr>
            <w:tcW w:w="1271" w:type="dxa"/>
            <w:tcBorders>
              <w:left w:val="single" w:sz="4" w:space="0" w:color="auto"/>
              <w:bottom w:val="single" w:sz="4" w:space="0" w:color="auto"/>
              <w:right w:val="single" w:sz="4" w:space="0" w:color="auto"/>
            </w:tcBorders>
          </w:tcPr>
          <w:p w:rsidR="00000000" w:rsidRDefault="00000000">
            <w:pPr>
              <w:ind w:right="227"/>
              <w:jc w:val="right"/>
              <w:rPr>
                <w:b/>
                <w:snapToGrid w:val="0"/>
              </w:rPr>
            </w:pPr>
            <w:r>
              <w:rPr>
                <w:b/>
                <w:snapToGrid w:val="0"/>
              </w:rPr>
              <w:t>22.942</w:t>
            </w:r>
          </w:p>
        </w:tc>
        <w:tc>
          <w:tcPr>
            <w:tcW w:w="1610" w:type="dxa"/>
            <w:gridSpan w:val="2"/>
            <w:tcBorders>
              <w:left w:val="single" w:sz="4" w:space="0" w:color="auto"/>
              <w:bottom w:val="single" w:sz="4" w:space="0" w:color="auto"/>
              <w:right w:val="single" w:sz="4" w:space="0" w:color="auto"/>
            </w:tcBorders>
          </w:tcPr>
          <w:p w:rsidR="00000000" w:rsidRDefault="00000000">
            <w:pPr>
              <w:ind w:right="428"/>
              <w:jc w:val="right"/>
              <w:rPr>
                <w:b/>
                <w:snapToGrid w:val="0"/>
              </w:rPr>
            </w:pPr>
            <w:r>
              <w:rPr>
                <w:b/>
                <w:snapToGrid w:val="0"/>
              </w:rPr>
              <w:t>15.181</w:t>
            </w:r>
          </w:p>
        </w:tc>
      </w:tr>
      <w:tr w:rsidR="00000000">
        <w:tblPrEx>
          <w:tblCellMar>
            <w:top w:w="0" w:type="dxa"/>
            <w:bottom w:w="0" w:type="dxa"/>
          </w:tblCellMar>
        </w:tblPrEx>
        <w:trPr>
          <w:gridAfter w:val="1"/>
          <w:wAfter w:w="11" w:type="dxa"/>
          <w:cantSplit/>
          <w:jc w:val="center"/>
        </w:trPr>
        <w:tc>
          <w:tcPr>
            <w:tcW w:w="2267"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rPr>
                <w:snapToGrid w:val="0"/>
              </w:rPr>
            </w:pPr>
            <w:r>
              <w:rPr>
                <w:snapToGrid w:val="0"/>
              </w:rPr>
              <w:t>Minas Gerais</w:t>
            </w:r>
          </w:p>
        </w:tc>
        <w:tc>
          <w:tcPr>
            <w:tcW w:w="993" w:type="dxa"/>
            <w:gridSpan w:val="2"/>
            <w:tcBorders>
              <w:top w:val="single" w:sz="4" w:space="0" w:color="auto"/>
              <w:left w:val="single" w:sz="4" w:space="0" w:color="auto"/>
              <w:right w:val="single" w:sz="4" w:space="0" w:color="auto"/>
            </w:tcBorders>
          </w:tcPr>
          <w:p w:rsidR="00000000" w:rsidRDefault="00000000">
            <w:pPr>
              <w:ind w:right="284"/>
              <w:jc w:val="right"/>
              <w:rPr>
                <w:snapToGrid w:val="0"/>
              </w:rPr>
            </w:pPr>
            <w:r>
              <w:rPr>
                <w:snapToGrid w:val="0"/>
              </w:rPr>
              <w:t>1997</w:t>
            </w:r>
          </w:p>
        </w:tc>
        <w:tc>
          <w:tcPr>
            <w:tcW w:w="1139" w:type="dxa"/>
            <w:gridSpan w:val="2"/>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51.494</w:t>
            </w:r>
          </w:p>
        </w:tc>
        <w:tc>
          <w:tcPr>
            <w:tcW w:w="993" w:type="dxa"/>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39.202</w:t>
            </w:r>
          </w:p>
        </w:tc>
        <w:tc>
          <w:tcPr>
            <w:tcW w:w="1271" w:type="dxa"/>
            <w:tcBorders>
              <w:top w:val="single" w:sz="4" w:space="0" w:color="auto"/>
              <w:left w:val="single" w:sz="4" w:space="0" w:color="auto"/>
              <w:right w:val="single" w:sz="4" w:space="0" w:color="auto"/>
            </w:tcBorders>
          </w:tcPr>
          <w:p w:rsidR="00000000" w:rsidRDefault="00000000">
            <w:pPr>
              <w:ind w:right="227"/>
              <w:jc w:val="right"/>
              <w:rPr>
                <w:snapToGrid w:val="0"/>
              </w:rPr>
            </w:pPr>
            <w:r>
              <w:rPr>
                <w:snapToGrid w:val="0"/>
              </w:rPr>
              <w:t xml:space="preserve">  3.806</w:t>
            </w:r>
          </w:p>
        </w:tc>
        <w:tc>
          <w:tcPr>
            <w:tcW w:w="1610" w:type="dxa"/>
            <w:gridSpan w:val="2"/>
            <w:tcBorders>
              <w:top w:val="single" w:sz="4" w:space="0" w:color="auto"/>
              <w:left w:val="single" w:sz="4" w:space="0" w:color="auto"/>
              <w:right w:val="single" w:sz="4" w:space="0" w:color="auto"/>
            </w:tcBorders>
          </w:tcPr>
          <w:p w:rsidR="00000000" w:rsidRDefault="00000000">
            <w:pPr>
              <w:ind w:right="428"/>
              <w:jc w:val="right"/>
              <w:rPr>
                <w:snapToGrid w:val="0"/>
              </w:rPr>
            </w:pPr>
            <w:r>
              <w:rPr>
                <w:snapToGrid w:val="0"/>
              </w:rPr>
              <w:t xml:space="preserve"> 8.486</w:t>
            </w:r>
          </w:p>
        </w:tc>
      </w:tr>
      <w:tr w:rsidR="00000000">
        <w:tblPrEx>
          <w:tblCellMar>
            <w:top w:w="0" w:type="dxa"/>
            <w:bottom w:w="0" w:type="dxa"/>
          </w:tblCellMar>
        </w:tblPrEx>
        <w:trPr>
          <w:gridAfter w:val="1"/>
          <w:wAfter w:w="11" w:type="dxa"/>
          <w:cantSplit/>
          <w:jc w:val="center"/>
        </w:trPr>
        <w:tc>
          <w:tcPr>
            <w:tcW w:w="2267" w:type="dxa"/>
            <w:gridSpan w:val="2"/>
            <w:vMerge/>
            <w:tcBorders>
              <w:left w:val="single" w:sz="4" w:space="0" w:color="auto"/>
              <w:bottom w:val="single" w:sz="4" w:space="0" w:color="auto"/>
              <w:right w:val="single" w:sz="4" w:space="0" w:color="auto"/>
            </w:tcBorders>
            <w:vAlign w:val="center"/>
          </w:tcPr>
          <w:p w:rsidR="00000000" w:rsidRDefault="00000000">
            <w:pPr>
              <w:rPr>
                <w:snapToGrid w:val="0"/>
              </w:rPr>
            </w:pPr>
          </w:p>
        </w:tc>
        <w:tc>
          <w:tcPr>
            <w:tcW w:w="993" w:type="dxa"/>
            <w:gridSpan w:val="2"/>
            <w:tcBorders>
              <w:left w:val="single" w:sz="4" w:space="0" w:color="auto"/>
              <w:right w:val="single" w:sz="4" w:space="0" w:color="auto"/>
            </w:tcBorders>
          </w:tcPr>
          <w:p w:rsidR="00000000" w:rsidRDefault="00000000">
            <w:pPr>
              <w:ind w:right="284"/>
              <w:jc w:val="right"/>
              <w:rPr>
                <w:snapToGrid w:val="0"/>
              </w:rPr>
            </w:pPr>
            <w:r>
              <w:rPr>
                <w:snapToGrid w:val="0"/>
              </w:rPr>
              <w:t>1998</w:t>
            </w:r>
          </w:p>
        </w:tc>
        <w:tc>
          <w:tcPr>
            <w:tcW w:w="1139" w:type="dxa"/>
            <w:gridSpan w:val="2"/>
            <w:tcBorders>
              <w:left w:val="single" w:sz="4" w:space="0" w:color="auto"/>
              <w:right w:val="single" w:sz="4" w:space="0" w:color="auto"/>
            </w:tcBorders>
          </w:tcPr>
          <w:p w:rsidR="00000000" w:rsidRDefault="00000000">
            <w:pPr>
              <w:ind w:right="113"/>
              <w:jc w:val="right"/>
              <w:rPr>
                <w:snapToGrid w:val="0"/>
              </w:rPr>
            </w:pPr>
            <w:r>
              <w:rPr>
                <w:snapToGrid w:val="0"/>
              </w:rPr>
              <w:t xml:space="preserve"> 48.643</w:t>
            </w:r>
          </w:p>
        </w:tc>
        <w:tc>
          <w:tcPr>
            <w:tcW w:w="993" w:type="dxa"/>
            <w:tcBorders>
              <w:left w:val="single" w:sz="4" w:space="0" w:color="auto"/>
              <w:right w:val="single" w:sz="4" w:space="0" w:color="auto"/>
            </w:tcBorders>
          </w:tcPr>
          <w:p w:rsidR="00000000" w:rsidRDefault="00000000">
            <w:pPr>
              <w:ind w:right="113"/>
              <w:jc w:val="right"/>
              <w:rPr>
                <w:snapToGrid w:val="0"/>
              </w:rPr>
            </w:pPr>
            <w:r>
              <w:rPr>
                <w:snapToGrid w:val="0"/>
              </w:rPr>
              <w:t>40.051</w:t>
            </w:r>
          </w:p>
        </w:tc>
        <w:tc>
          <w:tcPr>
            <w:tcW w:w="1271" w:type="dxa"/>
            <w:tcBorders>
              <w:left w:val="single" w:sz="4" w:space="0" w:color="auto"/>
              <w:right w:val="single" w:sz="4" w:space="0" w:color="auto"/>
            </w:tcBorders>
          </w:tcPr>
          <w:p w:rsidR="00000000" w:rsidRDefault="00000000">
            <w:pPr>
              <w:ind w:right="227"/>
              <w:jc w:val="right"/>
              <w:rPr>
                <w:snapToGrid w:val="0"/>
              </w:rPr>
            </w:pPr>
            <w:r>
              <w:rPr>
                <w:snapToGrid w:val="0"/>
              </w:rPr>
              <w:t xml:space="preserve">  3.319</w:t>
            </w:r>
          </w:p>
        </w:tc>
        <w:tc>
          <w:tcPr>
            <w:tcW w:w="1610" w:type="dxa"/>
            <w:gridSpan w:val="2"/>
            <w:tcBorders>
              <w:left w:val="single" w:sz="4" w:space="0" w:color="auto"/>
              <w:right w:val="single" w:sz="4" w:space="0" w:color="auto"/>
            </w:tcBorders>
          </w:tcPr>
          <w:p w:rsidR="00000000" w:rsidRDefault="00000000">
            <w:pPr>
              <w:ind w:right="428"/>
              <w:jc w:val="right"/>
              <w:rPr>
                <w:snapToGrid w:val="0"/>
              </w:rPr>
            </w:pPr>
            <w:r>
              <w:rPr>
                <w:snapToGrid w:val="0"/>
              </w:rPr>
              <w:t xml:space="preserve"> 5.273</w:t>
            </w:r>
          </w:p>
        </w:tc>
      </w:tr>
      <w:tr w:rsidR="00000000">
        <w:tblPrEx>
          <w:tblCellMar>
            <w:top w:w="0" w:type="dxa"/>
            <w:bottom w:w="0" w:type="dxa"/>
          </w:tblCellMar>
        </w:tblPrEx>
        <w:trPr>
          <w:gridAfter w:val="1"/>
          <w:wAfter w:w="11" w:type="dxa"/>
          <w:cantSplit/>
          <w:jc w:val="center"/>
        </w:trPr>
        <w:tc>
          <w:tcPr>
            <w:tcW w:w="2267" w:type="dxa"/>
            <w:gridSpan w:val="2"/>
            <w:vMerge/>
            <w:tcBorders>
              <w:left w:val="single" w:sz="4" w:space="0" w:color="auto"/>
              <w:bottom w:val="single" w:sz="4" w:space="0" w:color="auto"/>
              <w:right w:val="single" w:sz="4" w:space="0" w:color="auto"/>
            </w:tcBorders>
            <w:vAlign w:val="center"/>
          </w:tcPr>
          <w:p w:rsidR="00000000" w:rsidRDefault="00000000">
            <w:pPr>
              <w:rPr>
                <w:snapToGrid w:val="0"/>
              </w:rPr>
            </w:pPr>
          </w:p>
        </w:tc>
        <w:tc>
          <w:tcPr>
            <w:tcW w:w="993" w:type="dxa"/>
            <w:gridSpan w:val="2"/>
            <w:tcBorders>
              <w:left w:val="single" w:sz="4" w:space="0" w:color="auto"/>
              <w:bottom w:val="single" w:sz="4" w:space="0" w:color="auto"/>
              <w:right w:val="single" w:sz="4" w:space="0" w:color="auto"/>
            </w:tcBorders>
          </w:tcPr>
          <w:p w:rsidR="00000000" w:rsidRDefault="00000000">
            <w:pPr>
              <w:ind w:right="284"/>
              <w:jc w:val="right"/>
              <w:rPr>
                <w:snapToGrid w:val="0"/>
              </w:rPr>
            </w:pPr>
            <w:r>
              <w:rPr>
                <w:snapToGrid w:val="0"/>
              </w:rPr>
              <w:t>1999</w:t>
            </w:r>
          </w:p>
        </w:tc>
        <w:tc>
          <w:tcPr>
            <w:tcW w:w="1139" w:type="dxa"/>
            <w:gridSpan w:val="2"/>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46.491</w:t>
            </w:r>
          </w:p>
        </w:tc>
        <w:tc>
          <w:tcPr>
            <w:tcW w:w="993" w:type="dxa"/>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39.780</w:t>
            </w:r>
          </w:p>
        </w:tc>
        <w:tc>
          <w:tcPr>
            <w:tcW w:w="1271" w:type="dxa"/>
            <w:tcBorders>
              <w:left w:val="single" w:sz="4" w:space="0" w:color="auto"/>
              <w:bottom w:val="single" w:sz="4" w:space="0" w:color="auto"/>
              <w:right w:val="single" w:sz="4" w:space="0" w:color="auto"/>
            </w:tcBorders>
          </w:tcPr>
          <w:p w:rsidR="00000000" w:rsidRDefault="00000000">
            <w:pPr>
              <w:ind w:right="227"/>
              <w:jc w:val="right"/>
              <w:rPr>
                <w:snapToGrid w:val="0"/>
              </w:rPr>
            </w:pPr>
            <w:r>
              <w:rPr>
                <w:snapToGrid w:val="0"/>
              </w:rPr>
              <w:t xml:space="preserve">  3.771</w:t>
            </w:r>
          </w:p>
        </w:tc>
        <w:tc>
          <w:tcPr>
            <w:tcW w:w="1610" w:type="dxa"/>
            <w:gridSpan w:val="2"/>
            <w:tcBorders>
              <w:left w:val="single" w:sz="4" w:space="0" w:color="auto"/>
              <w:bottom w:val="single" w:sz="4" w:space="0" w:color="auto"/>
              <w:right w:val="single" w:sz="4" w:space="0" w:color="auto"/>
            </w:tcBorders>
          </w:tcPr>
          <w:p w:rsidR="00000000" w:rsidRDefault="00000000">
            <w:pPr>
              <w:ind w:right="428"/>
              <w:jc w:val="right"/>
              <w:rPr>
                <w:snapToGrid w:val="0"/>
              </w:rPr>
            </w:pPr>
            <w:r>
              <w:rPr>
                <w:snapToGrid w:val="0"/>
              </w:rPr>
              <w:t xml:space="preserve"> 2.940</w:t>
            </w:r>
          </w:p>
        </w:tc>
      </w:tr>
      <w:tr w:rsidR="00000000">
        <w:tblPrEx>
          <w:tblCellMar>
            <w:top w:w="0" w:type="dxa"/>
            <w:bottom w:w="0" w:type="dxa"/>
          </w:tblCellMar>
        </w:tblPrEx>
        <w:trPr>
          <w:gridAfter w:val="1"/>
          <w:wAfter w:w="11" w:type="dxa"/>
          <w:cantSplit/>
          <w:jc w:val="center"/>
        </w:trPr>
        <w:tc>
          <w:tcPr>
            <w:tcW w:w="2267" w:type="dxa"/>
            <w:gridSpan w:val="2"/>
            <w:vMerge w:val="restart"/>
            <w:tcBorders>
              <w:left w:val="single" w:sz="4" w:space="0" w:color="auto"/>
              <w:right w:val="single" w:sz="4" w:space="0" w:color="auto"/>
            </w:tcBorders>
            <w:vAlign w:val="center"/>
          </w:tcPr>
          <w:p w:rsidR="00000000" w:rsidRDefault="00000000">
            <w:pPr>
              <w:rPr>
                <w:snapToGrid w:val="0"/>
              </w:rPr>
            </w:pPr>
            <w:r>
              <w:rPr>
                <w:snapToGrid w:val="0"/>
              </w:rPr>
              <w:t>Espírito Santo</w:t>
            </w:r>
          </w:p>
        </w:tc>
        <w:tc>
          <w:tcPr>
            <w:tcW w:w="993" w:type="dxa"/>
            <w:gridSpan w:val="2"/>
            <w:tcBorders>
              <w:top w:val="single" w:sz="4" w:space="0" w:color="auto"/>
              <w:left w:val="single" w:sz="4" w:space="0" w:color="auto"/>
              <w:right w:val="single" w:sz="4" w:space="0" w:color="auto"/>
            </w:tcBorders>
          </w:tcPr>
          <w:p w:rsidR="00000000" w:rsidRDefault="00000000">
            <w:pPr>
              <w:ind w:right="284"/>
              <w:jc w:val="right"/>
              <w:rPr>
                <w:snapToGrid w:val="0"/>
              </w:rPr>
            </w:pPr>
            <w:r>
              <w:rPr>
                <w:snapToGrid w:val="0"/>
              </w:rPr>
              <w:t>1997</w:t>
            </w:r>
          </w:p>
        </w:tc>
        <w:tc>
          <w:tcPr>
            <w:tcW w:w="1139" w:type="dxa"/>
            <w:gridSpan w:val="2"/>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6.200</w:t>
            </w:r>
          </w:p>
        </w:tc>
        <w:tc>
          <w:tcPr>
            <w:tcW w:w="993" w:type="dxa"/>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5.056</w:t>
            </w:r>
          </w:p>
        </w:tc>
        <w:tc>
          <w:tcPr>
            <w:tcW w:w="1271" w:type="dxa"/>
            <w:tcBorders>
              <w:top w:val="single" w:sz="4" w:space="0" w:color="auto"/>
              <w:left w:val="single" w:sz="4" w:space="0" w:color="auto"/>
              <w:right w:val="single" w:sz="4" w:space="0" w:color="auto"/>
            </w:tcBorders>
          </w:tcPr>
          <w:p w:rsidR="00000000" w:rsidRDefault="00000000">
            <w:pPr>
              <w:ind w:right="227"/>
              <w:jc w:val="right"/>
              <w:rPr>
                <w:snapToGrid w:val="0"/>
              </w:rPr>
            </w:pPr>
            <w:r>
              <w:rPr>
                <w:snapToGrid w:val="0"/>
              </w:rPr>
              <w:t xml:space="preserve">    604</w:t>
            </w:r>
          </w:p>
        </w:tc>
        <w:tc>
          <w:tcPr>
            <w:tcW w:w="1610" w:type="dxa"/>
            <w:gridSpan w:val="2"/>
            <w:tcBorders>
              <w:top w:val="single" w:sz="4" w:space="0" w:color="auto"/>
              <w:left w:val="single" w:sz="4" w:space="0" w:color="auto"/>
              <w:right w:val="single" w:sz="4" w:space="0" w:color="auto"/>
            </w:tcBorders>
          </w:tcPr>
          <w:p w:rsidR="00000000" w:rsidRDefault="00000000">
            <w:pPr>
              <w:ind w:right="428"/>
              <w:jc w:val="right"/>
              <w:rPr>
                <w:snapToGrid w:val="0"/>
              </w:rPr>
            </w:pPr>
            <w:r>
              <w:rPr>
                <w:snapToGrid w:val="0"/>
              </w:rPr>
              <w:t xml:space="preserve">   540</w:t>
            </w:r>
          </w:p>
        </w:tc>
      </w:tr>
      <w:tr w:rsidR="00000000">
        <w:tblPrEx>
          <w:tblCellMar>
            <w:top w:w="0" w:type="dxa"/>
            <w:bottom w:w="0" w:type="dxa"/>
          </w:tblCellMar>
        </w:tblPrEx>
        <w:trPr>
          <w:gridAfter w:val="1"/>
          <w:wAfter w:w="11" w:type="dxa"/>
          <w:cantSplit/>
          <w:jc w:val="center"/>
        </w:trPr>
        <w:tc>
          <w:tcPr>
            <w:tcW w:w="2267" w:type="dxa"/>
            <w:gridSpan w:val="2"/>
            <w:vMerge/>
            <w:tcBorders>
              <w:left w:val="single" w:sz="4" w:space="0" w:color="auto"/>
              <w:right w:val="single" w:sz="4" w:space="0" w:color="auto"/>
            </w:tcBorders>
            <w:vAlign w:val="center"/>
          </w:tcPr>
          <w:p w:rsidR="00000000" w:rsidRDefault="00000000">
            <w:pPr>
              <w:rPr>
                <w:snapToGrid w:val="0"/>
              </w:rPr>
            </w:pPr>
          </w:p>
        </w:tc>
        <w:tc>
          <w:tcPr>
            <w:tcW w:w="993" w:type="dxa"/>
            <w:gridSpan w:val="2"/>
            <w:tcBorders>
              <w:left w:val="single" w:sz="4" w:space="0" w:color="auto"/>
              <w:right w:val="single" w:sz="4" w:space="0" w:color="auto"/>
            </w:tcBorders>
          </w:tcPr>
          <w:p w:rsidR="00000000" w:rsidRDefault="00000000">
            <w:pPr>
              <w:ind w:right="284"/>
              <w:jc w:val="right"/>
              <w:rPr>
                <w:snapToGrid w:val="0"/>
              </w:rPr>
            </w:pPr>
            <w:r>
              <w:rPr>
                <w:snapToGrid w:val="0"/>
              </w:rPr>
              <w:t>1998</w:t>
            </w:r>
          </w:p>
        </w:tc>
        <w:tc>
          <w:tcPr>
            <w:tcW w:w="1139" w:type="dxa"/>
            <w:gridSpan w:val="2"/>
            <w:tcBorders>
              <w:left w:val="single" w:sz="4" w:space="0" w:color="auto"/>
              <w:right w:val="single" w:sz="4" w:space="0" w:color="auto"/>
            </w:tcBorders>
          </w:tcPr>
          <w:p w:rsidR="00000000" w:rsidRDefault="00000000">
            <w:pPr>
              <w:ind w:right="113"/>
              <w:jc w:val="right"/>
              <w:rPr>
                <w:snapToGrid w:val="0"/>
              </w:rPr>
            </w:pPr>
            <w:r>
              <w:rPr>
                <w:snapToGrid w:val="0"/>
              </w:rPr>
              <w:t xml:space="preserve"> 5.925</w:t>
            </w:r>
          </w:p>
        </w:tc>
        <w:tc>
          <w:tcPr>
            <w:tcW w:w="993" w:type="dxa"/>
            <w:tcBorders>
              <w:left w:val="single" w:sz="4" w:space="0" w:color="auto"/>
              <w:right w:val="single" w:sz="4" w:space="0" w:color="auto"/>
            </w:tcBorders>
          </w:tcPr>
          <w:p w:rsidR="00000000" w:rsidRDefault="00000000">
            <w:pPr>
              <w:ind w:right="113"/>
              <w:jc w:val="right"/>
              <w:rPr>
                <w:snapToGrid w:val="0"/>
              </w:rPr>
            </w:pPr>
            <w:r>
              <w:rPr>
                <w:snapToGrid w:val="0"/>
              </w:rPr>
              <w:t xml:space="preserve">  5.070</w:t>
            </w:r>
          </w:p>
        </w:tc>
        <w:tc>
          <w:tcPr>
            <w:tcW w:w="1271" w:type="dxa"/>
            <w:tcBorders>
              <w:left w:val="single" w:sz="4" w:space="0" w:color="auto"/>
              <w:right w:val="single" w:sz="4" w:space="0" w:color="auto"/>
            </w:tcBorders>
          </w:tcPr>
          <w:p w:rsidR="00000000" w:rsidRDefault="00000000">
            <w:pPr>
              <w:ind w:right="227"/>
              <w:jc w:val="right"/>
              <w:rPr>
                <w:snapToGrid w:val="0"/>
              </w:rPr>
            </w:pPr>
            <w:r>
              <w:rPr>
                <w:snapToGrid w:val="0"/>
              </w:rPr>
              <w:t xml:space="preserve">    516</w:t>
            </w:r>
          </w:p>
        </w:tc>
        <w:tc>
          <w:tcPr>
            <w:tcW w:w="1610" w:type="dxa"/>
            <w:gridSpan w:val="2"/>
            <w:tcBorders>
              <w:left w:val="single" w:sz="4" w:space="0" w:color="auto"/>
              <w:right w:val="single" w:sz="4" w:space="0" w:color="auto"/>
            </w:tcBorders>
          </w:tcPr>
          <w:p w:rsidR="00000000" w:rsidRDefault="00000000">
            <w:pPr>
              <w:ind w:right="428"/>
              <w:jc w:val="right"/>
              <w:rPr>
                <w:snapToGrid w:val="0"/>
              </w:rPr>
            </w:pPr>
            <w:r>
              <w:rPr>
                <w:snapToGrid w:val="0"/>
              </w:rPr>
              <w:t xml:space="preserve">   339</w:t>
            </w:r>
          </w:p>
        </w:tc>
      </w:tr>
      <w:tr w:rsidR="00000000">
        <w:tblPrEx>
          <w:tblCellMar>
            <w:top w:w="0" w:type="dxa"/>
            <w:bottom w:w="0" w:type="dxa"/>
          </w:tblCellMar>
        </w:tblPrEx>
        <w:trPr>
          <w:gridAfter w:val="1"/>
          <w:wAfter w:w="11" w:type="dxa"/>
          <w:cantSplit/>
          <w:jc w:val="center"/>
        </w:trPr>
        <w:tc>
          <w:tcPr>
            <w:tcW w:w="2267" w:type="dxa"/>
            <w:gridSpan w:val="2"/>
            <w:vMerge/>
            <w:tcBorders>
              <w:left w:val="single" w:sz="4" w:space="0" w:color="auto"/>
              <w:bottom w:val="single" w:sz="4" w:space="0" w:color="auto"/>
              <w:right w:val="single" w:sz="4" w:space="0" w:color="auto"/>
            </w:tcBorders>
            <w:vAlign w:val="center"/>
          </w:tcPr>
          <w:p w:rsidR="00000000" w:rsidRDefault="00000000">
            <w:pPr>
              <w:rPr>
                <w:snapToGrid w:val="0"/>
              </w:rPr>
            </w:pPr>
          </w:p>
        </w:tc>
        <w:tc>
          <w:tcPr>
            <w:tcW w:w="993" w:type="dxa"/>
            <w:gridSpan w:val="2"/>
            <w:tcBorders>
              <w:left w:val="single" w:sz="4" w:space="0" w:color="auto"/>
              <w:bottom w:val="single" w:sz="4" w:space="0" w:color="auto"/>
              <w:right w:val="single" w:sz="4" w:space="0" w:color="auto"/>
            </w:tcBorders>
          </w:tcPr>
          <w:p w:rsidR="00000000" w:rsidRDefault="00000000">
            <w:pPr>
              <w:ind w:right="284"/>
              <w:jc w:val="right"/>
              <w:rPr>
                <w:snapToGrid w:val="0"/>
              </w:rPr>
            </w:pPr>
            <w:r>
              <w:rPr>
                <w:snapToGrid w:val="0"/>
              </w:rPr>
              <w:t>1999</w:t>
            </w:r>
          </w:p>
        </w:tc>
        <w:tc>
          <w:tcPr>
            <w:tcW w:w="1139" w:type="dxa"/>
            <w:gridSpan w:val="2"/>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5.646</w:t>
            </w:r>
          </w:p>
        </w:tc>
        <w:tc>
          <w:tcPr>
            <w:tcW w:w="993" w:type="dxa"/>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4.842</w:t>
            </w:r>
          </w:p>
        </w:tc>
        <w:tc>
          <w:tcPr>
            <w:tcW w:w="1271" w:type="dxa"/>
            <w:tcBorders>
              <w:left w:val="single" w:sz="4" w:space="0" w:color="auto"/>
              <w:bottom w:val="single" w:sz="4" w:space="0" w:color="auto"/>
              <w:right w:val="single" w:sz="4" w:space="0" w:color="auto"/>
            </w:tcBorders>
          </w:tcPr>
          <w:p w:rsidR="00000000" w:rsidRDefault="00000000">
            <w:pPr>
              <w:ind w:right="227"/>
              <w:jc w:val="right"/>
              <w:rPr>
                <w:snapToGrid w:val="0"/>
              </w:rPr>
            </w:pPr>
            <w:r>
              <w:rPr>
                <w:snapToGrid w:val="0"/>
              </w:rPr>
              <w:t xml:space="preserve">    561</w:t>
            </w:r>
          </w:p>
        </w:tc>
        <w:tc>
          <w:tcPr>
            <w:tcW w:w="1610" w:type="dxa"/>
            <w:gridSpan w:val="2"/>
            <w:tcBorders>
              <w:left w:val="single" w:sz="4" w:space="0" w:color="auto"/>
              <w:bottom w:val="single" w:sz="4" w:space="0" w:color="auto"/>
              <w:right w:val="single" w:sz="4" w:space="0" w:color="auto"/>
            </w:tcBorders>
          </w:tcPr>
          <w:p w:rsidR="00000000" w:rsidRDefault="00000000">
            <w:pPr>
              <w:ind w:right="428"/>
              <w:jc w:val="right"/>
              <w:rPr>
                <w:snapToGrid w:val="0"/>
              </w:rPr>
            </w:pPr>
            <w:r>
              <w:rPr>
                <w:snapToGrid w:val="0"/>
              </w:rPr>
              <w:t xml:space="preserve">   243</w:t>
            </w:r>
          </w:p>
        </w:tc>
      </w:tr>
      <w:tr w:rsidR="00000000">
        <w:tblPrEx>
          <w:tblCellMar>
            <w:top w:w="0" w:type="dxa"/>
            <w:bottom w:w="0" w:type="dxa"/>
          </w:tblCellMar>
        </w:tblPrEx>
        <w:trPr>
          <w:gridAfter w:val="1"/>
          <w:wAfter w:w="11" w:type="dxa"/>
          <w:cantSplit/>
          <w:jc w:val="center"/>
        </w:trPr>
        <w:tc>
          <w:tcPr>
            <w:tcW w:w="2267" w:type="dxa"/>
            <w:gridSpan w:val="2"/>
            <w:vMerge w:val="restart"/>
            <w:tcBorders>
              <w:left w:val="single" w:sz="4" w:space="0" w:color="auto"/>
              <w:right w:val="single" w:sz="4" w:space="0" w:color="auto"/>
            </w:tcBorders>
            <w:vAlign w:val="center"/>
          </w:tcPr>
          <w:p w:rsidR="00000000" w:rsidRDefault="00000000">
            <w:pPr>
              <w:rPr>
                <w:snapToGrid w:val="0"/>
              </w:rPr>
            </w:pPr>
            <w:r>
              <w:rPr>
                <w:snapToGrid w:val="0"/>
              </w:rPr>
              <w:t>Rio de Janeiro</w:t>
            </w:r>
          </w:p>
        </w:tc>
        <w:tc>
          <w:tcPr>
            <w:tcW w:w="993" w:type="dxa"/>
            <w:gridSpan w:val="2"/>
            <w:tcBorders>
              <w:top w:val="single" w:sz="4" w:space="0" w:color="auto"/>
              <w:left w:val="single" w:sz="4" w:space="0" w:color="auto"/>
              <w:right w:val="single" w:sz="4" w:space="0" w:color="auto"/>
            </w:tcBorders>
          </w:tcPr>
          <w:p w:rsidR="00000000" w:rsidRDefault="00000000">
            <w:pPr>
              <w:ind w:right="284"/>
              <w:jc w:val="right"/>
              <w:rPr>
                <w:snapToGrid w:val="0"/>
              </w:rPr>
            </w:pPr>
            <w:r>
              <w:rPr>
                <w:snapToGrid w:val="0"/>
              </w:rPr>
              <w:t>1997</w:t>
            </w:r>
          </w:p>
        </w:tc>
        <w:tc>
          <w:tcPr>
            <w:tcW w:w="1139" w:type="dxa"/>
            <w:gridSpan w:val="2"/>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25.382</w:t>
            </w:r>
          </w:p>
        </w:tc>
        <w:tc>
          <w:tcPr>
            <w:tcW w:w="993" w:type="dxa"/>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 xml:space="preserve"> 20.386</w:t>
            </w:r>
          </w:p>
        </w:tc>
        <w:tc>
          <w:tcPr>
            <w:tcW w:w="1271" w:type="dxa"/>
            <w:tcBorders>
              <w:top w:val="single" w:sz="4" w:space="0" w:color="auto"/>
              <w:left w:val="single" w:sz="4" w:space="0" w:color="auto"/>
              <w:right w:val="single" w:sz="4" w:space="0" w:color="auto"/>
            </w:tcBorders>
          </w:tcPr>
          <w:p w:rsidR="00000000" w:rsidRDefault="00000000">
            <w:pPr>
              <w:ind w:right="227"/>
              <w:jc w:val="right"/>
              <w:rPr>
                <w:snapToGrid w:val="0"/>
              </w:rPr>
            </w:pPr>
            <w:r>
              <w:rPr>
                <w:snapToGrid w:val="0"/>
              </w:rPr>
              <w:t xml:space="preserve">  4.095</w:t>
            </w:r>
          </w:p>
        </w:tc>
        <w:tc>
          <w:tcPr>
            <w:tcW w:w="1610" w:type="dxa"/>
            <w:gridSpan w:val="2"/>
            <w:tcBorders>
              <w:top w:val="single" w:sz="4" w:space="0" w:color="auto"/>
              <w:left w:val="single" w:sz="4" w:space="0" w:color="auto"/>
              <w:right w:val="single" w:sz="4" w:space="0" w:color="auto"/>
            </w:tcBorders>
          </w:tcPr>
          <w:p w:rsidR="00000000" w:rsidRDefault="00000000">
            <w:pPr>
              <w:ind w:right="428"/>
              <w:jc w:val="right"/>
              <w:rPr>
                <w:snapToGrid w:val="0"/>
              </w:rPr>
            </w:pPr>
            <w:r>
              <w:rPr>
                <w:snapToGrid w:val="0"/>
              </w:rPr>
              <w:t xml:space="preserve">   901</w:t>
            </w:r>
          </w:p>
        </w:tc>
      </w:tr>
      <w:tr w:rsidR="00000000">
        <w:tblPrEx>
          <w:tblCellMar>
            <w:top w:w="0" w:type="dxa"/>
            <w:bottom w:w="0" w:type="dxa"/>
          </w:tblCellMar>
        </w:tblPrEx>
        <w:trPr>
          <w:gridAfter w:val="1"/>
          <w:wAfter w:w="11" w:type="dxa"/>
          <w:cantSplit/>
          <w:jc w:val="center"/>
        </w:trPr>
        <w:tc>
          <w:tcPr>
            <w:tcW w:w="2267" w:type="dxa"/>
            <w:gridSpan w:val="2"/>
            <w:vMerge/>
            <w:tcBorders>
              <w:left w:val="single" w:sz="4" w:space="0" w:color="auto"/>
              <w:right w:val="single" w:sz="4" w:space="0" w:color="auto"/>
            </w:tcBorders>
            <w:vAlign w:val="center"/>
          </w:tcPr>
          <w:p w:rsidR="00000000" w:rsidRDefault="00000000">
            <w:pPr>
              <w:rPr>
                <w:snapToGrid w:val="0"/>
              </w:rPr>
            </w:pPr>
          </w:p>
        </w:tc>
        <w:tc>
          <w:tcPr>
            <w:tcW w:w="993" w:type="dxa"/>
            <w:gridSpan w:val="2"/>
            <w:tcBorders>
              <w:left w:val="single" w:sz="4" w:space="0" w:color="auto"/>
              <w:right w:val="single" w:sz="4" w:space="0" w:color="auto"/>
            </w:tcBorders>
          </w:tcPr>
          <w:p w:rsidR="00000000" w:rsidRDefault="00000000">
            <w:pPr>
              <w:ind w:right="284"/>
              <w:jc w:val="right"/>
              <w:rPr>
                <w:snapToGrid w:val="0"/>
              </w:rPr>
            </w:pPr>
            <w:r>
              <w:rPr>
                <w:snapToGrid w:val="0"/>
              </w:rPr>
              <w:t>1998</w:t>
            </w:r>
          </w:p>
        </w:tc>
        <w:tc>
          <w:tcPr>
            <w:tcW w:w="1139" w:type="dxa"/>
            <w:gridSpan w:val="2"/>
            <w:tcBorders>
              <w:left w:val="single" w:sz="4" w:space="0" w:color="auto"/>
              <w:right w:val="single" w:sz="4" w:space="0" w:color="auto"/>
            </w:tcBorders>
          </w:tcPr>
          <w:p w:rsidR="00000000" w:rsidRDefault="00000000">
            <w:pPr>
              <w:ind w:right="113"/>
              <w:jc w:val="right"/>
              <w:rPr>
                <w:snapToGrid w:val="0"/>
              </w:rPr>
            </w:pPr>
            <w:r>
              <w:rPr>
                <w:snapToGrid w:val="0"/>
              </w:rPr>
              <w:t xml:space="preserve"> 24.738</w:t>
            </w:r>
          </w:p>
        </w:tc>
        <w:tc>
          <w:tcPr>
            <w:tcW w:w="993" w:type="dxa"/>
            <w:tcBorders>
              <w:left w:val="single" w:sz="4" w:space="0" w:color="auto"/>
              <w:right w:val="single" w:sz="4" w:space="0" w:color="auto"/>
            </w:tcBorders>
          </w:tcPr>
          <w:p w:rsidR="00000000" w:rsidRDefault="00000000">
            <w:pPr>
              <w:ind w:right="113"/>
              <w:jc w:val="right"/>
              <w:rPr>
                <w:snapToGrid w:val="0"/>
              </w:rPr>
            </w:pPr>
            <w:r>
              <w:rPr>
                <w:snapToGrid w:val="0"/>
              </w:rPr>
              <w:t xml:space="preserve"> 19.789</w:t>
            </w:r>
          </w:p>
        </w:tc>
        <w:tc>
          <w:tcPr>
            <w:tcW w:w="1271" w:type="dxa"/>
            <w:tcBorders>
              <w:left w:val="single" w:sz="4" w:space="0" w:color="auto"/>
              <w:right w:val="single" w:sz="4" w:space="0" w:color="auto"/>
            </w:tcBorders>
          </w:tcPr>
          <w:p w:rsidR="00000000" w:rsidRDefault="00000000">
            <w:pPr>
              <w:ind w:right="227"/>
              <w:jc w:val="right"/>
              <w:rPr>
                <w:snapToGrid w:val="0"/>
              </w:rPr>
            </w:pPr>
            <w:r>
              <w:rPr>
                <w:snapToGrid w:val="0"/>
              </w:rPr>
              <w:t xml:space="preserve">  3.806</w:t>
            </w:r>
          </w:p>
        </w:tc>
        <w:tc>
          <w:tcPr>
            <w:tcW w:w="1610" w:type="dxa"/>
            <w:gridSpan w:val="2"/>
            <w:tcBorders>
              <w:left w:val="single" w:sz="4" w:space="0" w:color="auto"/>
              <w:right w:val="single" w:sz="4" w:space="0" w:color="auto"/>
            </w:tcBorders>
          </w:tcPr>
          <w:p w:rsidR="00000000" w:rsidRDefault="00000000">
            <w:pPr>
              <w:ind w:right="428"/>
              <w:jc w:val="right"/>
              <w:rPr>
                <w:snapToGrid w:val="0"/>
              </w:rPr>
            </w:pPr>
            <w:r>
              <w:rPr>
                <w:snapToGrid w:val="0"/>
              </w:rPr>
              <w:t>1.143</w:t>
            </w:r>
          </w:p>
        </w:tc>
      </w:tr>
      <w:tr w:rsidR="00000000">
        <w:tblPrEx>
          <w:tblCellMar>
            <w:top w:w="0" w:type="dxa"/>
            <w:bottom w:w="0" w:type="dxa"/>
          </w:tblCellMar>
        </w:tblPrEx>
        <w:trPr>
          <w:gridAfter w:val="1"/>
          <w:wAfter w:w="11" w:type="dxa"/>
          <w:cantSplit/>
          <w:jc w:val="center"/>
        </w:trPr>
        <w:tc>
          <w:tcPr>
            <w:tcW w:w="2267" w:type="dxa"/>
            <w:gridSpan w:val="2"/>
            <w:vMerge/>
            <w:tcBorders>
              <w:left w:val="single" w:sz="4" w:space="0" w:color="auto"/>
              <w:bottom w:val="single" w:sz="4" w:space="0" w:color="auto"/>
              <w:right w:val="single" w:sz="4" w:space="0" w:color="auto"/>
            </w:tcBorders>
            <w:vAlign w:val="center"/>
          </w:tcPr>
          <w:p w:rsidR="00000000" w:rsidRDefault="00000000">
            <w:pPr>
              <w:rPr>
                <w:snapToGrid w:val="0"/>
              </w:rPr>
            </w:pPr>
          </w:p>
        </w:tc>
        <w:tc>
          <w:tcPr>
            <w:tcW w:w="993" w:type="dxa"/>
            <w:gridSpan w:val="2"/>
            <w:tcBorders>
              <w:left w:val="single" w:sz="4" w:space="0" w:color="auto"/>
              <w:bottom w:val="single" w:sz="4" w:space="0" w:color="auto"/>
              <w:right w:val="single" w:sz="4" w:space="0" w:color="auto"/>
            </w:tcBorders>
          </w:tcPr>
          <w:p w:rsidR="00000000" w:rsidRDefault="00000000">
            <w:pPr>
              <w:ind w:right="284"/>
              <w:jc w:val="right"/>
              <w:rPr>
                <w:snapToGrid w:val="0"/>
              </w:rPr>
            </w:pPr>
            <w:r>
              <w:rPr>
                <w:snapToGrid w:val="0"/>
              </w:rPr>
              <w:t>1999</w:t>
            </w:r>
          </w:p>
        </w:tc>
        <w:tc>
          <w:tcPr>
            <w:tcW w:w="1139" w:type="dxa"/>
            <w:gridSpan w:val="2"/>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23.272</w:t>
            </w:r>
          </w:p>
        </w:tc>
        <w:tc>
          <w:tcPr>
            <w:tcW w:w="993" w:type="dxa"/>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 xml:space="preserve"> 18.235</w:t>
            </w:r>
          </w:p>
        </w:tc>
        <w:tc>
          <w:tcPr>
            <w:tcW w:w="1271" w:type="dxa"/>
            <w:tcBorders>
              <w:left w:val="single" w:sz="4" w:space="0" w:color="auto"/>
              <w:bottom w:val="single" w:sz="4" w:space="0" w:color="auto"/>
              <w:right w:val="single" w:sz="4" w:space="0" w:color="auto"/>
            </w:tcBorders>
          </w:tcPr>
          <w:p w:rsidR="00000000" w:rsidRDefault="00000000">
            <w:pPr>
              <w:ind w:right="227"/>
              <w:jc w:val="right"/>
              <w:rPr>
                <w:snapToGrid w:val="0"/>
              </w:rPr>
            </w:pPr>
            <w:r>
              <w:rPr>
                <w:snapToGrid w:val="0"/>
              </w:rPr>
              <w:t xml:space="preserve">  3.729</w:t>
            </w:r>
          </w:p>
        </w:tc>
        <w:tc>
          <w:tcPr>
            <w:tcW w:w="1610" w:type="dxa"/>
            <w:gridSpan w:val="2"/>
            <w:tcBorders>
              <w:left w:val="single" w:sz="4" w:space="0" w:color="auto"/>
              <w:bottom w:val="single" w:sz="4" w:space="0" w:color="auto"/>
              <w:right w:val="single" w:sz="4" w:space="0" w:color="auto"/>
            </w:tcBorders>
          </w:tcPr>
          <w:p w:rsidR="00000000" w:rsidRDefault="00000000">
            <w:pPr>
              <w:ind w:right="428"/>
              <w:jc w:val="right"/>
              <w:rPr>
                <w:snapToGrid w:val="0"/>
              </w:rPr>
            </w:pPr>
            <w:r>
              <w:rPr>
                <w:snapToGrid w:val="0"/>
              </w:rPr>
              <w:t>1.308</w:t>
            </w:r>
          </w:p>
        </w:tc>
      </w:tr>
      <w:tr w:rsidR="00000000">
        <w:tblPrEx>
          <w:tblCellMar>
            <w:top w:w="0" w:type="dxa"/>
            <w:bottom w:w="0" w:type="dxa"/>
          </w:tblCellMar>
        </w:tblPrEx>
        <w:trPr>
          <w:gridAfter w:val="1"/>
          <w:wAfter w:w="11" w:type="dxa"/>
          <w:cantSplit/>
          <w:jc w:val="center"/>
        </w:trPr>
        <w:tc>
          <w:tcPr>
            <w:tcW w:w="2267" w:type="dxa"/>
            <w:gridSpan w:val="2"/>
            <w:vMerge w:val="restart"/>
            <w:tcBorders>
              <w:left w:val="single" w:sz="4" w:space="0" w:color="auto"/>
              <w:right w:val="single" w:sz="4" w:space="0" w:color="auto"/>
            </w:tcBorders>
            <w:vAlign w:val="center"/>
          </w:tcPr>
          <w:p w:rsidR="00000000" w:rsidRDefault="00000000">
            <w:pPr>
              <w:rPr>
                <w:snapToGrid w:val="0"/>
              </w:rPr>
            </w:pPr>
            <w:r>
              <w:rPr>
                <w:snapToGrid w:val="0"/>
              </w:rPr>
              <w:t>São Paulo</w:t>
            </w:r>
          </w:p>
        </w:tc>
        <w:tc>
          <w:tcPr>
            <w:tcW w:w="993" w:type="dxa"/>
            <w:gridSpan w:val="2"/>
            <w:tcBorders>
              <w:top w:val="single" w:sz="4" w:space="0" w:color="auto"/>
              <w:left w:val="single" w:sz="4" w:space="0" w:color="auto"/>
              <w:right w:val="single" w:sz="4" w:space="0" w:color="auto"/>
            </w:tcBorders>
          </w:tcPr>
          <w:p w:rsidR="00000000" w:rsidRDefault="00000000">
            <w:pPr>
              <w:ind w:right="284"/>
              <w:jc w:val="right"/>
              <w:rPr>
                <w:snapToGrid w:val="0"/>
              </w:rPr>
            </w:pPr>
            <w:r>
              <w:rPr>
                <w:snapToGrid w:val="0"/>
              </w:rPr>
              <w:t>1997</w:t>
            </w:r>
          </w:p>
        </w:tc>
        <w:tc>
          <w:tcPr>
            <w:tcW w:w="1139" w:type="dxa"/>
            <w:gridSpan w:val="2"/>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194.862</w:t>
            </w:r>
          </w:p>
        </w:tc>
        <w:tc>
          <w:tcPr>
            <w:tcW w:w="993" w:type="dxa"/>
            <w:tcBorders>
              <w:top w:val="single" w:sz="4" w:space="0" w:color="auto"/>
              <w:left w:val="single" w:sz="4" w:space="0" w:color="auto"/>
              <w:right w:val="single" w:sz="4" w:space="0" w:color="auto"/>
            </w:tcBorders>
          </w:tcPr>
          <w:p w:rsidR="00000000" w:rsidRDefault="00000000">
            <w:pPr>
              <w:ind w:right="113"/>
              <w:jc w:val="right"/>
              <w:rPr>
                <w:snapToGrid w:val="0"/>
              </w:rPr>
            </w:pPr>
            <w:r>
              <w:rPr>
                <w:snapToGrid w:val="0"/>
              </w:rPr>
              <w:t>162.564</w:t>
            </w:r>
          </w:p>
        </w:tc>
        <w:tc>
          <w:tcPr>
            <w:tcW w:w="1271" w:type="dxa"/>
            <w:tcBorders>
              <w:top w:val="single" w:sz="4" w:space="0" w:color="auto"/>
              <w:left w:val="single" w:sz="4" w:space="0" w:color="auto"/>
              <w:right w:val="single" w:sz="4" w:space="0" w:color="auto"/>
            </w:tcBorders>
          </w:tcPr>
          <w:p w:rsidR="00000000" w:rsidRDefault="00000000">
            <w:pPr>
              <w:ind w:right="227"/>
              <w:jc w:val="right"/>
              <w:rPr>
                <w:snapToGrid w:val="0"/>
              </w:rPr>
            </w:pPr>
            <w:r>
              <w:rPr>
                <w:snapToGrid w:val="0"/>
              </w:rPr>
              <w:t>15.453</w:t>
            </w:r>
          </w:p>
        </w:tc>
        <w:tc>
          <w:tcPr>
            <w:tcW w:w="1610" w:type="dxa"/>
            <w:gridSpan w:val="2"/>
            <w:tcBorders>
              <w:top w:val="single" w:sz="4" w:space="0" w:color="auto"/>
              <w:left w:val="single" w:sz="4" w:space="0" w:color="auto"/>
              <w:right w:val="single" w:sz="4" w:space="0" w:color="auto"/>
            </w:tcBorders>
          </w:tcPr>
          <w:p w:rsidR="00000000" w:rsidRDefault="00000000">
            <w:pPr>
              <w:ind w:right="428"/>
              <w:jc w:val="right"/>
              <w:rPr>
                <w:snapToGrid w:val="0"/>
              </w:rPr>
            </w:pPr>
            <w:r>
              <w:rPr>
                <w:snapToGrid w:val="0"/>
              </w:rPr>
              <w:t>16.845</w:t>
            </w:r>
          </w:p>
        </w:tc>
      </w:tr>
      <w:tr w:rsidR="00000000">
        <w:tblPrEx>
          <w:tblCellMar>
            <w:top w:w="0" w:type="dxa"/>
            <w:bottom w:w="0" w:type="dxa"/>
          </w:tblCellMar>
        </w:tblPrEx>
        <w:trPr>
          <w:gridAfter w:val="1"/>
          <w:wAfter w:w="11" w:type="dxa"/>
          <w:cantSplit/>
          <w:jc w:val="center"/>
        </w:trPr>
        <w:tc>
          <w:tcPr>
            <w:tcW w:w="2267" w:type="dxa"/>
            <w:gridSpan w:val="2"/>
            <w:vMerge/>
            <w:tcBorders>
              <w:left w:val="single" w:sz="4" w:space="0" w:color="auto"/>
              <w:right w:val="single" w:sz="4" w:space="0" w:color="auto"/>
            </w:tcBorders>
          </w:tcPr>
          <w:p w:rsidR="00000000" w:rsidRDefault="00000000">
            <w:pPr>
              <w:rPr>
                <w:snapToGrid w:val="0"/>
              </w:rPr>
            </w:pPr>
          </w:p>
        </w:tc>
        <w:tc>
          <w:tcPr>
            <w:tcW w:w="993" w:type="dxa"/>
            <w:gridSpan w:val="2"/>
            <w:tcBorders>
              <w:left w:val="single" w:sz="4" w:space="0" w:color="auto"/>
              <w:right w:val="single" w:sz="4" w:space="0" w:color="auto"/>
            </w:tcBorders>
          </w:tcPr>
          <w:p w:rsidR="00000000" w:rsidRDefault="00000000">
            <w:pPr>
              <w:ind w:right="284"/>
              <w:jc w:val="right"/>
              <w:rPr>
                <w:snapToGrid w:val="0"/>
              </w:rPr>
            </w:pPr>
            <w:r>
              <w:rPr>
                <w:snapToGrid w:val="0"/>
              </w:rPr>
              <w:t>1998</w:t>
            </w:r>
          </w:p>
        </w:tc>
        <w:tc>
          <w:tcPr>
            <w:tcW w:w="1139" w:type="dxa"/>
            <w:gridSpan w:val="2"/>
            <w:tcBorders>
              <w:left w:val="single" w:sz="4" w:space="0" w:color="auto"/>
              <w:right w:val="single" w:sz="4" w:space="0" w:color="auto"/>
            </w:tcBorders>
          </w:tcPr>
          <w:p w:rsidR="00000000" w:rsidRDefault="00000000">
            <w:pPr>
              <w:ind w:right="113"/>
              <w:jc w:val="right"/>
              <w:rPr>
                <w:snapToGrid w:val="0"/>
              </w:rPr>
            </w:pPr>
            <w:r>
              <w:rPr>
                <w:snapToGrid w:val="0"/>
              </w:rPr>
              <w:t>192.193</w:t>
            </w:r>
          </w:p>
        </w:tc>
        <w:tc>
          <w:tcPr>
            <w:tcW w:w="993" w:type="dxa"/>
            <w:tcBorders>
              <w:left w:val="single" w:sz="4" w:space="0" w:color="auto"/>
              <w:right w:val="single" w:sz="4" w:space="0" w:color="auto"/>
            </w:tcBorders>
          </w:tcPr>
          <w:p w:rsidR="00000000" w:rsidRDefault="00000000">
            <w:pPr>
              <w:ind w:right="113"/>
              <w:jc w:val="right"/>
              <w:rPr>
                <w:snapToGrid w:val="0"/>
              </w:rPr>
            </w:pPr>
            <w:r>
              <w:rPr>
                <w:snapToGrid w:val="0"/>
              </w:rPr>
              <w:t>162.083</w:t>
            </w:r>
          </w:p>
        </w:tc>
        <w:tc>
          <w:tcPr>
            <w:tcW w:w="1271" w:type="dxa"/>
            <w:tcBorders>
              <w:left w:val="single" w:sz="4" w:space="0" w:color="auto"/>
              <w:right w:val="single" w:sz="4" w:space="0" w:color="auto"/>
            </w:tcBorders>
          </w:tcPr>
          <w:p w:rsidR="00000000" w:rsidRDefault="00000000">
            <w:pPr>
              <w:ind w:right="227"/>
              <w:jc w:val="right"/>
              <w:rPr>
                <w:snapToGrid w:val="0"/>
              </w:rPr>
            </w:pPr>
            <w:r>
              <w:rPr>
                <w:snapToGrid w:val="0"/>
              </w:rPr>
              <w:t>15.148</w:t>
            </w:r>
          </w:p>
        </w:tc>
        <w:tc>
          <w:tcPr>
            <w:tcW w:w="1610" w:type="dxa"/>
            <w:gridSpan w:val="2"/>
            <w:tcBorders>
              <w:left w:val="single" w:sz="4" w:space="0" w:color="auto"/>
              <w:right w:val="single" w:sz="4" w:space="0" w:color="auto"/>
            </w:tcBorders>
          </w:tcPr>
          <w:p w:rsidR="00000000" w:rsidRDefault="00000000">
            <w:pPr>
              <w:ind w:right="428"/>
              <w:jc w:val="right"/>
              <w:rPr>
                <w:snapToGrid w:val="0"/>
              </w:rPr>
            </w:pPr>
            <w:r>
              <w:rPr>
                <w:snapToGrid w:val="0"/>
              </w:rPr>
              <w:t>14.962</w:t>
            </w:r>
          </w:p>
        </w:tc>
      </w:tr>
      <w:tr w:rsidR="00000000">
        <w:tblPrEx>
          <w:tblCellMar>
            <w:top w:w="0" w:type="dxa"/>
            <w:bottom w:w="0" w:type="dxa"/>
          </w:tblCellMar>
        </w:tblPrEx>
        <w:trPr>
          <w:gridAfter w:val="1"/>
          <w:wAfter w:w="11" w:type="dxa"/>
          <w:cantSplit/>
          <w:jc w:val="center"/>
        </w:trPr>
        <w:tc>
          <w:tcPr>
            <w:tcW w:w="2267" w:type="dxa"/>
            <w:gridSpan w:val="2"/>
            <w:vMerge/>
            <w:tcBorders>
              <w:left w:val="single" w:sz="4" w:space="0" w:color="auto"/>
              <w:bottom w:val="single" w:sz="4" w:space="0" w:color="auto"/>
              <w:right w:val="single" w:sz="4" w:space="0" w:color="auto"/>
            </w:tcBorders>
          </w:tcPr>
          <w:p w:rsidR="00000000" w:rsidRDefault="00000000">
            <w:pPr>
              <w:rPr>
                <w:snapToGrid w:val="0"/>
              </w:rPr>
            </w:pPr>
          </w:p>
        </w:tc>
        <w:tc>
          <w:tcPr>
            <w:tcW w:w="993" w:type="dxa"/>
            <w:gridSpan w:val="2"/>
            <w:tcBorders>
              <w:left w:val="single" w:sz="4" w:space="0" w:color="auto"/>
              <w:bottom w:val="single" w:sz="4" w:space="0" w:color="auto"/>
              <w:right w:val="single" w:sz="4" w:space="0" w:color="auto"/>
            </w:tcBorders>
          </w:tcPr>
          <w:p w:rsidR="00000000" w:rsidRDefault="00000000">
            <w:pPr>
              <w:ind w:right="284"/>
              <w:jc w:val="right"/>
              <w:rPr>
                <w:snapToGrid w:val="0"/>
              </w:rPr>
            </w:pPr>
            <w:r>
              <w:rPr>
                <w:snapToGrid w:val="0"/>
              </w:rPr>
              <w:t>1999</w:t>
            </w:r>
          </w:p>
        </w:tc>
        <w:tc>
          <w:tcPr>
            <w:tcW w:w="1139" w:type="dxa"/>
            <w:gridSpan w:val="2"/>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167.293</w:t>
            </w:r>
          </w:p>
        </w:tc>
        <w:tc>
          <w:tcPr>
            <w:tcW w:w="993" w:type="dxa"/>
            <w:tcBorders>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141.722</w:t>
            </w:r>
          </w:p>
        </w:tc>
        <w:tc>
          <w:tcPr>
            <w:tcW w:w="1271" w:type="dxa"/>
            <w:tcBorders>
              <w:left w:val="single" w:sz="4" w:space="0" w:color="auto"/>
              <w:bottom w:val="single" w:sz="4" w:space="0" w:color="auto"/>
              <w:right w:val="single" w:sz="4" w:space="0" w:color="auto"/>
            </w:tcBorders>
          </w:tcPr>
          <w:p w:rsidR="00000000" w:rsidRDefault="00000000">
            <w:pPr>
              <w:ind w:right="227"/>
              <w:jc w:val="right"/>
              <w:rPr>
                <w:snapToGrid w:val="0"/>
              </w:rPr>
            </w:pPr>
            <w:r>
              <w:rPr>
                <w:snapToGrid w:val="0"/>
              </w:rPr>
              <w:t>14.881</w:t>
            </w:r>
          </w:p>
        </w:tc>
        <w:tc>
          <w:tcPr>
            <w:tcW w:w="1610" w:type="dxa"/>
            <w:gridSpan w:val="2"/>
            <w:tcBorders>
              <w:left w:val="single" w:sz="4" w:space="0" w:color="auto"/>
              <w:bottom w:val="single" w:sz="4" w:space="0" w:color="auto"/>
              <w:right w:val="single" w:sz="4" w:space="0" w:color="auto"/>
            </w:tcBorders>
          </w:tcPr>
          <w:p w:rsidR="00000000" w:rsidRDefault="00000000">
            <w:pPr>
              <w:ind w:right="428"/>
              <w:jc w:val="right"/>
              <w:rPr>
                <w:snapToGrid w:val="0"/>
              </w:rPr>
            </w:pPr>
            <w:r>
              <w:rPr>
                <w:snapToGrid w:val="0"/>
              </w:rPr>
              <w:t>10.690</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tcBorders>
              <w:top w:val="nil"/>
              <w:left w:val="nil"/>
              <w:bottom w:val="nil"/>
              <w:right w:val="nil"/>
            </w:tcBorders>
            <w:vAlign w:val="center"/>
          </w:tcPr>
          <w:p w:rsidR="00000000" w:rsidRDefault="00000000">
            <w:pPr>
              <w:pStyle w:val="BodyText3"/>
              <w:ind w:right="284"/>
              <w:jc w:val="left"/>
              <w:rPr>
                <w:b/>
                <w:snapToGrid w:val="0"/>
                <w:sz w:val="24"/>
                <w:lang w:val="en-GB"/>
              </w:rPr>
            </w:pPr>
          </w:p>
          <w:p w:rsidR="00000000" w:rsidRDefault="00000000">
            <w:pPr>
              <w:pStyle w:val="BodyText3"/>
              <w:ind w:right="284"/>
              <w:jc w:val="left"/>
              <w:rPr>
                <w:b/>
                <w:snapToGrid w:val="0"/>
                <w:sz w:val="24"/>
                <w:lang w:val="en-GB"/>
              </w:rPr>
            </w:pPr>
          </w:p>
        </w:tc>
        <w:tc>
          <w:tcPr>
            <w:tcW w:w="993" w:type="dxa"/>
            <w:gridSpan w:val="2"/>
            <w:tcBorders>
              <w:top w:val="nil"/>
              <w:left w:val="nil"/>
              <w:bottom w:val="nil"/>
              <w:right w:val="nil"/>
            </w:tcBorders>
          </w:tcPr>
          <w:p w:rsidR="00000000" w:rsidRDefault="00000000">
            <w:pPr>
              <w:pStyle w:val="BodyText3"/>
              <w:ind w:right="284"/>
              <w:jc w:val="right"/>
              <w:rPr>
                <w:b/>
                <w:snapToGrid w:val="0"/>
                <w:sz w:val="24"/>
                <w:lang w:val="en-GB"/>
              </w:rPr>
            </w:pPr>
          </w:p>
        </w:tc>
        <w:tc>
          <w:tcPr>
            <w:tcW w:w="1134" w:type="dxa"/>
            <w:tcBorders>
              <w:top w:val="nil"/>
              <w:left w:val="nil"/>
              <w:bottom w:val="nil"/>
              <w:right w:val="nil"/>
            </w:tcBorders>
          </w:tcPr>
          <w:p w:rsidR="00000000" w:rsidRDefault="00000000">
            <w:pPr>
              <w:pStyle w:val="BodyText3"/>
              <w:ind w:right="113"/>
              <w:jc w:val="right"/>
              <w:rPr>
                <w:b/>
                <w:snapToGrid w:val="0"/>
                <w:sz w:val="24"/>
                <w:lang w:val="en-GB"/>
              </w:rPr>
            </w:pPr>
          </w:p>
        </w:tc>
        <w:tc>
          <w:tcPr>
            <w:tcW w:w="993" w:type="dxa"/>
            <w:tcBorders>
              <w:top w:val="nil"/>
              <w:left w:val="nil"/>
              <w:bottom w:val="nil"/>
              <w:right w:val="nil"/>
            </w:tcBorders>
          </w:tcPr>
          <w:p w:rsidR="00000000" w:rsidRDefault="00000000">
            <w:pPr>
              <w:pStyle w:val="BodyText3"/>
              <w:ind w:right="113"/>
              <w:jc w:val="right"/>
              <w:rPr>
                <w:b/>
                <w:snapToGrid w:val="0"/>
                <w:sz w:val="24"/>
                <w:lang w:val="en-GB"/>
              </w:rPr>
            </w:pPr>
          </w:p>
        </w:tc>
        <w:tc>
          <w:tcPr>
            <w:tcW w:w="1276" w:type="dxa"/>
            <w:gridSpan w:val="2"/>
            <w:tcBorders>
              <w:top w:val="nil"/>
              <w:left w:val="nil"/>
              <w:bottom w:val="nil"/>
              <w:right w:val="nil"/>
            </w:tcBorders>
          </w:tcPr>
          <w:p w:rsidR="00000000" w:rsidRDefault="00000000">
            <w:pPr>
              <w:pStyle w:val="BodyText3"/>
              <w:ind w:right="227"/>
              <w:jc w:val="right"/>
              <w:rPr>
                <w:b/>
                <w:snapToGrid w:val="0"/>
                <w:sz w:val="24"/>
                <w:lang w:val="en-GB"/>
              </w:rPr>
            </w:pPr>
          </w:p>
        </w:tc>
        <w:tc>
          <w:tcPr>
            <w:tcW w:w="1616" w:type="dxa"/>
            <w:gridSpan w:val="2"/>
            <w:tcBorders>
              <w:top w:val="nil"/>
              <w:left w:val="nil"/>
              <w:bottom w:val="nil"/>
              <w:right w:val="nil"/>
            </w:tcBorders>
          </w:tcPr>
          <w:p w:rsidR="00000000" w:rsidRDefault="00000000">
            <w:pPr>
              <w:pStyle w:val="BodyText3"/>
              <w:ind w:right="428"/>
              <w:jc w:val="right"/>
              <w:rPr>
                <w:b/>
                <w:snapToGrid w:val="0"/>
                <w:sz w:val="24"/>
                <w:lang w:val="en-GB"/>
              </w:rPr>
            </w:pP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val="restart"/>
            <w:tcBorders>
              <w:top w:val="nil"/>
              <w:bottom w:val="single" w:sz="4" w:space="0" w:color="auto"/>
              <w:right w:val="single" w:sz="4" w:space="0" w:color="auto"/>
            </w:tcBorders>
            <w:vAlign w:val="center"/>
          </w:tcPr>
          <w:p w:rsidR="00000000" w:rsidRDefault="00000000">
            <w:pPr>
              <w:pStyle w:val="BodyText3"/>
              <w:ind w:right="284"/>
              <w:jc w:val="left"/>
              <w:rPr>
                <w:b/>
                <w:snapToGrid w:val="0"/>
                <w:sz w:val="24"/>
                <w:lang w:val="en-GB"/>
              </w:rPr>
            </w:pPr>
            <w:r>
              <w:rPr>
                <w:b/>
                <w:snapToGrid w:val="0"/>
                <w:sz w:val="24"/>
                <w:lang w:val="en-GB"/>
              </w:rPr>
              <w:t>Southern</w:t>
            </w:r>
          </w:p>
          <w:p w:rsidR="00000000" w:rsidRDefault="00000000">
            <w:pPr>
              <w:pStyle w:val="BodyText3"/>
              <w:ind w:right="284"/>
              <w:jc w:val="left"/>
              <w:rPr>
                <w:b/>
                <w:snapToGrid w:val="0"/>
                <w:sz w:val="24"/>
                <w:lang w:val="en-GB"/>
              </w:rPr>
            </w:pPr>
            <w:r>
              <w:rPr>
                <w:b/>
                <w:snapToGrid w:val="0"/>
                <w:sz w:val="24"/>
                <w:lang w:val="en-GB"/>
              </w:rPr>
              <w:t>Region</w:t>
            </w:r>
          </w:p>
        </w:tc>
        <w:tc>
          <w:tcPr>
            <w:tcW w:w="993" w:type="dxa"/>
            <w:gridSpan w:val="2"/>
            <w:tcBorders>
              <w:top w:val="nil"/>
              <w:left w:val="single" w:sz="4" w:space="0" w:color="auto"/>
              <w:bottom w:val="nil"/>
              <w:right w:val="single" w:sz="4" w:space="0" w:color="auto"/>
            </w:tcBorders>
          </w:tcPr>
          <w:p w:rsidR="00000000" w:rsidRDefault="00000000">
            <w:pPr>
              <w:pStyle w:val="BodyText3"/>
              <w:ind w:right="284"/>
              <w:jc w:val="right"/>
              <w:rPr>
                <w:b/>
                <w:snapToGrid w:val="0"/>
                <w:sz w:val="24"/>
                <w:lang w:val="en-GB"/>
              </w:rPr>
            </w:pPr>
            <w:r>
              <w:rPr>
                <w:b/>
                <w:snapToGrid w:val="0"/>
                <w:sz w:val="24"/>
                <w:lang w:val="en-GB"/>
              </w:rPr>
              <w:t>1997</w:t>
            </w:r>
          </w:p>
        </w:tc>
        <w:tc>
          <w:tcPr>
            <w:tcW w:w="1134" w:type="dxa"/>
            <w:tcBorders>
              <w:top w:val="nil"/>
              <w:left w:val="single" w:sz="4" w:space="0" w:color="auto"/>
              <w:bottom w:val="nil"/>
              <w:right w:val="single" w:sz="4" w:space="0" w:color="auto"/>
            </w:tcBorders>
          </w:tcPr>
          <w:p w:rsidR="00000000" w:rsidRDefault="00000000">
            <w:pPr>
              <w:pStyle w:val="BodyText3"/>
              <w:ind w:right="113"/>
              <w:jc w:val="right"/>
              <w:rPr>
                <w:b/>
                <w:snapToGrid w:val="0"/>
                <w:sz w:val="24"/>
                <w:lang w:val="en-GB"/>
              </w:rPr>
            </w:pPr>
            <w:r>
              <w:rPr>
                <w:b/>
                <w:snapToGrid w:val="0"/>
                <w:sz w:val="24"/>
                <w:lang w:val="en-GB"/>
              </w:rPr>
              <w:t>91.183</w:t>
            </w:r>
          </w:p>
        </w:tc>
        <w:tc>
          <w:tcPr>
            <w:tcW w:w="993" w:type="dxa"/>
            <w:tcBorders>
              <w:top w:val="nil"/>
              <w:left w:val="single" w:sz="4" w:space="0" w:color="auto"/>
              <w:bottom w:val="nil"/>
              <w:right w:val="single" w:sz="4" w:space="0" w:color="auto"/>
            </w:tcBorders>
          </w:tcPr>
          <w:p w:rsidR="00000000" w:rsidRDefault="00000000">
            <w:pPr>
              <w:pStyle w:val="BodyText3"/>
              <w:ind w:right="113"/>
              <w:jc w:val="right"/>
              <w:rPr>
                <w:b/>
                <w:snapToGrid w:val="0"/>
                <w:sz w:val="24"/>
                <w:lang w:val="en-GB"/>
              </w:rPr>
            </w:pPr>
            <w:r>
              <w:rPr>
                <w:b/>
                <w:snapToGrid w:val="0"/>
                <w:sz w:val="24"/>
                <w:lang w:val="en-GB"/>
              </w:rPr>
              <w:t>78.669</w:t>
            </w:r>
          </w:p>
        </w:tc>
        <w:tc>
          <w:tcPr>
            <w:tcW w:w="1276" w:type="dxa"/>
            <w:gridSpan w:val="2"/>
            <w:tcBorders>
              <w:top w:val="nil"/>
              <w:left w:val="single" w:sz="4" w:space="0" w:color="auto"/>
              <w:bottom w:val="nil"/>
              <w:right w:val="single" w:sz="4" w:space="0" w:color="auto"/>
            </w:tcBorders>
          </w:tcPr>
          <w:p w:rsidR="00000000" w:rsidRDefault="00000000">
            <w:pPr>
              <w:pStyle w:val="BodyText3"/>
              <w:ind w:right="227"/>
              <w:jc w:val="right"/>
              <w:rPr>
                <w:b/>
                <w:snapToGrid w:val="0"/>
                <w:sz w:val="24"/>
                <w:lang w:val="en-GB"/>
              </w:rPr>
            </w:pPr>
            <w:r>
              <w:rPr>
                <w:b/>
                <w:snapToGrid w:val="0"/>
                <w:sz w:val="24"/>
                <w:lang w:val="en-GB"/>
              </w:rPr>
              <w:t>7.090</w:t>
            </w:r>
          </w:p>
        </w:tc>
        <w:tc>
          <w:tcPr>
            <w:tcW w:w="1616" w:type="dxa"/>
            <w:gridSpan w:val="2"/>
            <w:tcBorders>
              <w:top w:val="nil"/>
              <w:left w:val="single" w:sz="4" w:space="0" w:color="auto"/>
              <w:bottom w:val="nil"/>
            </w:tcBorders>
          </w:tcPr>
          <w:p w:rsidR="00000000" w:rsidRDefault="00000000">
            <w:pPr>
              <w:pStyle w:val="BodyText3"/>
              <w:ind w:right="428"/>
              <w:jc w:val="right"/>
              <w:rPr>
                <w:b/>
                <w:snapToGrid w:val="0"/>
                <w:sz w:val="24"/>
                <w:lang w:val="en-GB"/>
              </w:rPr>
            </w:pPr>
            <w:r>
              <w:rPr>
                <w:b/>
                <w:snapToGrid w:val="0"/>
                <w:sz w:val="24"/>
                <w:lang w:val="en-GB"/>
              </w:rPr>
              <w:t>5.424</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tcBorders>
              <w:top w:val="nil"/>
              <w:bottom w:val="single" w:sz="4" w:space="0" w:color="auto"/>
              <w:right w:val="single" w:sz="4" w:space="0" w:color="auto"/>
            </w:tcBorders>
            <w:vAlign w:val="center"/>
          </w:tcPr>
          <w:p w:rsidR="00000000" w:rsidRDefault="00000000">
            <w:pPr>
              <w:pStyle w:val="BodyText3"/>
              <w:ind w:right="284"/>
              <w:jc w:val="left"/>
              <w:rPr>
                <w:b/>
                <w:snapToGrid w:val="0"/>
                <w:sz w:val="24"/>
                <w:lang w:val="en-GB"/>
              </w:rPr>
            </w:pPr>
          </w:p>
        </w:tc>
        <w:tc>
          <w:tcPr>
            <w:tcW w:w="993" w:type="dxa"/>
            <w:gridSpan w:val="2"/>
            <w:tcBorders>
              <w:top w:val="nil"/>
              <w:left w:val="single" w:sz="4" w:space="0" w:color="auto"/>
              <w:bottom w:val="nil"/>
              <w:right w:val="single" w:sz="4" w:space="0" w:color="auto"/>
            </w:tcBorders>
          </w:tcPr>
          <w:p w:rsidR="00000000" w:rsidRDefault="00000000">
            <w:pPr>
              <w:pStyle w:val="BodyText3"/>
              <w:ind w:right="284"/>
              <w:jc w:val="right"/>
              <w:rPr>
                <w:b/>
                <w:snapToGrid w:val="0"/>
                <w:sz w:val="24"/>
                <w:lang w:val="en-GB"/>
              </w:rPr>
            </w:pPr>
            <w:r>
              <w:rPr>
                <w:b/>
                <w:snapToGrid w:val="0"/>
                <w:sz w:val="24"/>
                <w:lang w:val="en-GB"/>
              </w:rPr>
              <w:t>1998</w:t>
            </w:r>
          </w:p>
        </w:tc>
        <w:tc>
          <w:tcPr>
            <w:tcW w:w="1134" w:type="dxa"/>
            <w:tcBorders>
              <w:top w:val="nil"/>
              <w:left w:val="single" w:sz="4" w:space="0" w:color="auto"/>
              <w:bottom w:val="nil"/>
              <w:right w:val="single" w:sz="4" w:space="0" w:color="auto"/>
            </w:tcBorders>
          </w:tcPr>
          <w:p w:rsidR="00000000" w:rsidRDefault="00000000">
            <w:pPr>
              <w:pStyle w:val="BodyText3"/>
              <w:ind w:right="113"/>
              <w:jc w:val="right"/>
              <w:rPr>
                <w:b/>
                <w:snapToGrid w:val="0"/>
                <w:sz w:val="24"/>
                <w:lang w:val="en-GB"/>
              </w:rPr>
            </w:pPr>
            <w:r>
              <w:rPr>
                <w:b/>
                <w:snapToGrid w:val="0"/>
                <w:sz w:val="24"/>
                <w:lang w:val="en-GB"/>
              </w:rPr>
              <w:t>91.273</w:t>
            </w:r>
          </w:p>
        </w:tc>
        <w:tc>
          <w:tcPr>
            <w:tcW w:w="993" w:type="dxa"/>
            <w:tcBorders>
              <w:top w:val="nil"/>
              <w:left w:val="single" w:sz="4" w:space="0" w:color="auto"/>
              <w:bottom w:val="nil"/>
              <w:right w:val="single" w:sz="4" w:space="0" w:color="auto"/>
            </w:tcBorders>
          </w:tcPr>
          <w:p w:rsidR="00000000" w:rsidRDefault="00000000">
            <w:pPr>
              <w:pStyle w:val="BodyText3"/>
              <w:ind w:right="113"/>
              <w:jc w:val="right"/>
              <w:rPr>
                <w:b/>
                <w:snapToGrid w:val="0"/>
                <w:sz w:val="24"/>
                <w:lang w:val="en-GB"/>
              </w:rPr>
            </w:pPr>
            <w:r>
              <w:rPr>
                <w:b/>
                <w:snapToGrid w:val="0"/>
                <w:sz w:val="24"/>
                <w:lang w:val="en-GB"/>
              </w:rPr>
              <w:t>79.559</w:t>
            </w:r>
          </w:p>
        </w:tc>
        <w:tc>
          <w:tcPr>
            <w:tcW w:w="1276" w:type="dxa"/>
            <w:gridSpan w:val="2"/>
            <w:tcBorders>
              <w:top w:val="nil"/>
              <w:left w:val="single" w:sz="4" w:space="0" w:color="auto"/>
              <w:bottom w:val="nil"/>
              <w:right w:val="single" w:sz="4" w:space="0" w:color="auto"/>
            </w:tcBorders>
          </w:tcPr>
          <w:p w:rsidR="00000000" w:rsidRDefault="00000000">
            <w:pPr>
              <w:pStyle w:val="BodyText3"/>
              <w:ind w:right="227"/>
              <w:jc w:val="right"/>
              <w:rPr>
                <w:b/>
                <w:snapToGrid w:val="0"/>
                <w:sz w:val="24"/>
                <w:lang w:val="en-GB"/>
              </w:rPr>
            </w:pPr>
            <w:r>
              <w:rPr>
                <w:b/>
                <w:snapToGrid w:val="0"/>
                <w:sz w:val="24"/>
                <w:lang w:val="en-GB"/>
              </w:rPr>
              <w:t>7.162</w:t>
            </w:r>
          </w:p>
        </w:tc>
        <w:tc>
          <w:tcPr>
            <w:tcW w:w="1616" w:type="dxa"/>
            <w:gridSpan w:val="2"/>
            <w:tcBorders>
              <w:top w:val="nil"/>
              <w:left w:val="single" w:sz="4" w:space="0" w:color="auto"/>
              <w:bottom w:val="nil"/>
            </w:tcBorders>
          </w:tcPr>
          <w:p w:rsidR="00000000" w:rsidRDefault="00000000">
            <w:pPr>
              <w:pStyle w:val="BodyText3"/>
              <w:ind w:right="428"/>
              <w:jc w:val="right"/>
              <w:rPr>
                <w:b/>
                <w:snapToGrid w:val="0"/>
                <w:sz w:val="24"/>
                <w:lang w:val="en-GB"/>
              </w:rPr>
            </w:pPr>
            <w:r>
              <w:rPr>
                <w:b/>
                <w:snapToGrid w:val="0"/>
                <w:sz w:val="24"/>
                <w:lang w:val="en-GB"/>
              </w:rPr>
              <w:t>4.552</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tcBorders>
              <w:top w:val="nil"/>
              <w:bottom w:val="single" w:sz="4" w:space="0" w:color="auto"/>
              <w:right w:val="single" w:sz="4" w:space="0" w:color="auto"/>
            </w:tcBorders>
            <w:vAlign w:val="center"/>
          </w:tcPr>
          <w:p w:rsidR="00000000" w:rsidRDefault="00000000">
            <w:pPr>
              <w:pStyle w:val="BodyText3"/>
              <w:ind w:right="284"/>
              <w:jc w:val="left"/>
              <w:rPr>
                <w:b/>
                <w:snapToGrid w:val="0"/>
                <w:sz w:val="24"/>
                <w:lang w:val="en-GB"/>
              </w:rPr>
            </w:pPr>
          </w:p>
        </w:tc>
        <w:tc>
          <w:tcPr>
            <w:tcW w:w="993" w:type="dxa"/>
            <w:gridSpan w:val="2"/>
            <w:tcBorders>
              <w:top w:val="nil"/>
              <w:left w:val="single" w:sz="4" w:space="0" w:color="auto"/>
              <w:bottom w:val="single" w:sz="4" w:space="0" w:color="auto"/>
              <w:right w:val="single" w:sz="4" w:space="0" w:color="auto"/>
            </w:tcBorders>
          </w:tcPr>
          <w:p w:rsidR="00000000" w:rsidRDefault="00000000">
            <w:pPr>
              <w:pStyle w:val="BodyText3"/>
              <w:ind w:right="284"/>
              <w:jc w:val="right"/>
              <w:rPr>
                <w:b/>
                <w:snapToGrid w:val="0"/>
                <w:sz w:val="24"/>
                <w:lang w:val="en-GB"/>
              </w:rPr>
            </w:pPr>
            <w:r>
              <w:rPr>
                <w:b/>
                <w:snapToGrid w:val="0"/>
                <w:sz w:val="24"/>
                <w:lang w:val="en-GB"/>
              </w:rPr>
              <w:t>1999</w:t>
            </w:r>
          </w:p>
        </w:tc>
        <w:tc>
          <w:tcPr>
            <w:tcW w:w="1134" w:type="dxa"/>
            <w:tcBorders>
              <w:top w:val="nil"/>
              <w:left w:val="single" w:sz="4" w:space="0" w:color="auto"/>
              <w:bottom w:val="single" w:sz="4" w:space="0" w:color="auto"/>
              <w:right w:val="single" w:sz="4" w:space="0" w:color="auto"/>
            </w:tcBorders>
          </w:tcPr>
          <w:p w:rsidR="00000000" w:rsidRDefault="00000000">
            <w:pPr>
              <w:pStyle w:val="BodyText3"/>
              <w:ind w:right="113"/>
              <w:jc w:val="right"/>
              <w:rPr>
                <w:b/>
                <w:snapToGrid w:val="0"/>
                <w:sz w:val="24"/>
                <w:lang w:val="en-GB"/>
              </w:rPr>
            </w:pPr>
            <w:r>
              <w:rPr>
                <w:b/>
                <w:snapToGrid w:val="0"/>
                <w:sz w:val="24"/>
                <w:lang w:val="en-GB"/>
              </w:rPr>
              <w:t>85.488</w:t>
            </w:r>
          </w:p>
        </w:tc>
        <w:tc>
          <w:tcPr>
            <w:tcW w:w="993" w:type="dxa"/>
            <w:tcBorders>
              <w:top w:val="nil"/>
              <w:left w:val="single" w:sz="4" w:space="0" w:color="auto"/>
              <w:bottom w:val="single" w:sz="4" w:space="0" w:color="auto"/>
              <w:right w:val="single" w:sz="4" w:space="0" w:color="auto"/>
            </w:tcBorders>
          </w:tcPr>
          <w:p w:rsidR="00000000" w:rsidRDefault="00000000">
            <w:pPr>
              <w:pStyle w:val="BodyText3"/>
              <w:ind w:right="113"/>
              <w:jc w:val="right"/>
              <w:rPr>
                <w:b/>
                <w:snapToGrid w:val="0"/>
                <w:sz w:val="24"/>
                <w:lang w:val="en-GB"/>
              </w:rPr>
            </w:pPr>
            <w:r>
              <w:rPr>
                <w:b/>
                <w:snapToGrid w:val="0"/>
                <w:sz w:val="24"/>
                <w:lang w:val="en-GB"/>
              </w:rPr>
              <w:t>74.706</w:t>
            </w:r>
          </w:p>
        </w:tc>
        <w:tc>
          <w:tcPr>
            <w:tcW w:w="1276" w:type="dxa"/>
            <w:gridSpan w:val="2"/>
            <w:tcBorders>
              <w:top w:val="nil"/>
              <w:left w:val="single" w:sz="4" w:space="0" w:color="auto"/>
              <w:bottom w:val="single" w:sz="4" w:space="0" w:color="auto"/>
              <w:right w:val="single" w:sz="4" w:space="0" w:color="auto"/>
            </w:tcBorders>
          </w:tcPr>
          <w:p w:rsidR="00000000" w:rsidRDefault="00000000">
            <w:pPr>
              <w:pStyle w:val="BodyText3"/>
              <w:ind w:right="227"/>
              <w:jc w:val="right"/>
              <w:rPr>
                <w:b/>
                <w:snapToGrid w:val="0"/>
                <w:sz w:val="24"/>
                <w:lang w:val="en-GB"/>
              </w:rPr>
            </w:pPr>
            <w:r>
              <w:rPr>
                <w:b/>
                <w:snapToGrid w:val="0"/>
                <w:sz w:val="24"/>
                <w:lang w:val="en-GB"/>
              </w:rPr>
              <w:t>7.277</w:t>
            </w:r>
          </w:p>
        </w:tc>
        <w:tc>
          <w:tcPr>
            <w:tcW w:w="1616" w:type="dxa"/>
            <w:gridSpan w:val="2"/>
            <w:tcBorders>
              <w:top w:val="nil"/>
              <w:left w:val="single" w:sz="4" w:space="0" w:color="auto"/>
              <w:bottom w:val="single" w:sz="4" w:space="0" w:color="auto"/>
            </w:tcBorders>
          </w:tcPr>
          <w:p w:rsidR="00000000" w:rsidRDefault="00000000">
            <w:pPr>
              <w:pStyle w:val="BodyText3"/>
              <w:ind w:right="428"/>
              <w:jc w:val="right"/>
              <w:rPr>
                <w:b/>
                <w:snapToGrid w:val="0"/>
                <w:sz w:val="24"/>
                <w:lang w:val="en-GB"/>
              </w:rPr>
            </w:pPr>
            <w:r>
              <w:rPr>
                <w:b/>
                <w:snapToGrid w:val="0"/>
                <w:sz w:val="24"/>
                <w:lang w:val="en-GB"/>
              </w:rPr>
              <w:t>3.505</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val="restart"/>
            <w:tcBorders>
              <w:top w:val="single" w:sz="4" w:space="0" w:color="auto"/>
              <w:right w:val="single" w:sz="4" w:space="0" w:color="auto"/>
            </w:tcBorders>
            <w:vAlign w:val="center"/>
          </w:tcPr>
          <w:p w:rsidR="00000000" w:rsidRDefault="00000000">
            <w:pPr>
              <w:pStyle w:val="BodyText3"/>
              <w:ind w:right="284"/>
              <w:jc w:val="left"/>
              <w:rPr>
                <w:snapToGrid w:val="0"/>
                <w:sz w:val="24"/>
                <w:lang w:val="en-GB"/>
              </w:rPr>
            </w:pPr>
            <w:r>
              <w:rPr>
                <w:snapToGrid w:val="0"/>
                <w:sz w:val="24"/>
                <w:lang w:val="en-GB"/>
              </w:rPr>
              <w:t>Paraná</w:t>
            </w:r>
          </w:p>
        </w:tc>
        <w:tc>
          <w:tcPr>
            <w:tcW w:w="993" w:type="dxa"/>
            <w:gridSpan w:val="2"/>
            <w:tcBorders>
              <w:top w:val="single" w:sz="4" w:space="0" w:color="auto"/>
              <w:left w:val="single" w:sz="4" w:space="0" w:color="auto"/>
              <w:bottom w:val="nil"/>
              <w:right w:val="single" w:sz="4" w:space="0" w:color="auto"/>
            </w:tcBorders>
          </w:tcPr>
          <w:p w:rsidR="00000000" w:rsidRDefault="00000000">
            <w:pPr>
              <w:pStyle w:val="BodyText3"/>
              <w:ind w:right="284"/>
              <w:jc w:val="right"/>
              <w:rPr>
                <w:snapToGrid w:val="0"/>
                <w:sz w:val="24"/>
                <w:lang w:val="en-GB"/>
              </w:rPr>
            </w:pPr>
            <w:r>
              <w:rPr>
                <w:snapToGrid w:val="0"/>
                <w:sz w:val="24"/>
                <w:lang w:val="en-GB"/>
              </w:rPr>
              <w:t>1997</w:t>
            </w:r>
          </w:p>
        </w:tc>
        <w:tc>
          <w:tcPr>
            <w:tcW w:w="1134" w:type="dxa"/>
            <w:tcBorders>
              <w:top w:val="single" w:sz="4" w:space="0" w:color="auto"/>
              <w:left w:val="single" w:sz="4" w:space="0" w:color="auto"/>
              <w:bottom w:val="nil"/>
              <w:right w:val="single" w:sz="4" w:space="0" w:color="auto"/>
            </w:tcBorders>
          </w:tcPr>
          <w:p w:rsidR="00000000" w:rsidRDefault="00000000">
            <w:pPr>
              <w:pStyle w:val="BodyText3"/>
              <w:ind w:right="113"/>
              <w:jc w:val="right"/>
              <w:rPr>
                <w:snapToGrid w:val="0"/>
                <w:sz w:val="24"/>
                <w:lang w:val="en-GB"/>
              </w:rPr>
            </w:pPr>
            <w:r>
              <w:rPr>
                <w:snapToGrid w:val="0"/>
                <w:sz w:val="24"/>
                <w:lang w:val="en-GB"/>
              </w:rPr>
              <w:t>30.866</w:t>
            </w:r>
          </w:p>
        </w:tc>
        <w:tc>
          <w:tcPr>
            <w:tcW w:w="993" w:type="dxa"/>
            <w:tcBorders>
              <w:top w:val="single" w:sz="4" w:space="0" w:color="auto"/>
              <w:left w:val="single" w:sz="4" w:space="0" w:color="auto"/>
              <w:bottom w:val="nil"/>
              <w:right w:val="single" w:sz="4" w:space="0" w:color="auto"/>
            </w:tcBorders>
          </w:tcPr>
          <w:p w:rsidR="00000000" w:rsidRDefault="00000000">
            <w:pPr>
              <w:pStyle w:val="BodyText3"/>
              <w:ind w:right="113"/>
              <w:jc w:val="right"/>
              <w:rPr>
                <w:snapToGrid w:val="0"/>
                <w:sz w:val="24"/>
                <w:lang w:val="en-GB"/>
              </w:rPr>
            </w:pPr>
            <w:r>
              <w:rPr>
                <w:snapToGrid w:val="0"/>
                <w:sz w:val="24"/>
                <w:lang w:val="en-GB"/>
              </w:rPr>
              <w:t>27.266</w:t>
            </w:r>
          </w:p>
        </w:tc>
        <w:tc>
          <w:tcPr>
            <w:tcW w:w="1276" w:type="dxa"/>
            <w:gridSpan w:val="2"/>
            <w:tcBorders>
              <w:top w:val="single" w:sz="4" w:space="0" w:color="auto"/>
              <w:left w:val="single" w:sz="4" w:space="0" w:color="auto"/>
              <w:bottom w:val="nil"/>
              <w:right w:val="single" w:sz="4" w:space="0" w:color="auto"/>
            </w:tcBorders>
          </w:tcPr>
          <w:p w:rsidR="00000000" w:rsidRDefault="00000000">
            <w:pPr>
              <w:pStyle w:val="BodyText3"/>
              <w:ind w:right="227"/>
              <w:jc w:val="right"/>
              <w:rPr>
                <w:snapToGrid w:val="0"/>
                <w:sz w:val="24"/>
                <w:lang w:val="en-GB"/>
              </w:rPr>
            </w:pPr>
            <w:r>
              <w:rPr>
                <w:snapToGrid w:val="0"/>
                <w:sz w:val="24"/>
                <w:lang w:val="en-GB"/>
              </w:rPr>
              <w:t>1.859</w:t>
            </w:r>
          </w:p>
        </w:tc>
        <w:tc>
          <w:tcPr>
            <w:tcW w:w="1616" w:type="dxa"/>
            <w:gridSpan w:val="2"/>
            <w:tcBorders>
              <w:top w:val="single" w:sz="4" w:space="0" w:color="auto"/>
              <w:left w:val="single" w:sz="4" w:space="0" w:color="auto"/>
              <w:bottom w:val="nil"/>
            </w:tcBorders>
          </w:tcPr>
          <w:p w:rsidR="00000000" w:rsidRDefault="00000000">
            <w:pPr>
              <w:pStyle w:val="BodyText3"/>
              <w:ind w:right="428"/>
              <w:jc w:val="right"/>
              <w:rPr>
                <w:snapToGrid w:val="0"/>
                <w:sz w:val="24"/>
                <w:lang w:val="en-GB"/>
              </w:rPr>
            </w:pPr>
            <w:r>
              <w:rPr>
                <w:snapToGrid w:val="0"/>
                <w:sz w:val="24"/>
                <w:lang w:val="en-GB"/>
              </w:rPr>
              <w:t>1.741</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tcBorders>
              <w:right w:val="single" w:sz="4" w:space="0" w:color="auto"/>
            </w:tcBorders>
            <w:vAlign w:val="center"/>
          </w:tcPr>
          <w:p w:rsidR="00000000" w:rsidRDefault="00000000">
            <w:pPr>
              <w:pStyle w:val="BodyText3"/>
              <w:ind w:right="284"/>
              <w:jc w:val="left"/>
              <w:rPr>
                <w:snapToGrid w:val="0"/>
                <w:sz w:val="24"/>
                <w:lang w:val="en-GB"/>
              </w:rPr>
            </w:pPr>
          </w:p>
        </w:tc>
        <w:tc>
          <w:tcPr>
            <w:tcW w:w="993" w:type="dxa"/>
            <w:gridSpan w:val="2"/>
            <w:tcBorders>
              <w:top w:val="nil"/>
              <w:left w:val="single" w:sz="4" w:space="0" w:color="auto"/>
              <w:bottom w:val="nil"/>
              <w:right w:val="single" w:sz="4" w:space="0" w:color="auto"/>
            </w:tcBorders>
          </w:tcPr>
          <w:p w:rsidR="00000000" w:rsidRDefault="00000000">
            <w:pPr>
              <w:pStyle w:val="BodyText3"/>
              <w:ind w:right="284"/>
              <w:jc w:val="right"/>
              <w:rPr>
                <w:snapToGrid w:val="0"/>
                <w:sz w:val="24"/>
                <w:lang w:val="en-GB"/>
              </w:rPr>
            </w:pPr>
            <w:r>
              <w:rPr>
                <w:snapToGrid w:val="0"/>
                <w:sz w:val="24"/>
                <w:lang w:val="en-GB"/>
              </w:rPr>
              <w:t>1998</w:t>
            </w:r>
          </w:p>
        </w:tc>
        <w:tc>
          <w:tcPr>
            <w:tcW w:w="1134" w:type="dxa"/>
            <w:tcBorders>
              <w:top w:val="nil"/>
              <w:left w:val="single" w:sz="4" w:space="0" w:color="auto"/>
              <w:bottom w:val="nil"/>
              <w:right w:val="single" w:sz="4" w:space="0" w:color="auto"/>
            </w:tcBorders>
          </w:tcPr>
          <w:p w:rsidR="00000000" w:rsidRDefault="00000000">
            <w:pPr>
              <w:pStyle w:val="BodyText3"/>
              <w:ind w:right="113"/>
              <w:jc w:val="right"/>
              <w:rPr>
                <w:snapToGrid w:val="0"/>
                <w:sz w:val="24"/>
                <w:lang w:val="en-GB"/>
              </w:rPr>
            </w:pPr>
            <w:r>
              <w:rPr>
                <w:snapToGrid w:val="0"/>
                <w:sz w:val="24"/>
                <w:lang w:val="en-GB"/>
              </w:rPr>
              <w:t>31.046</w:t>
            </w:r>
          </w:p>
        </w:tc>
        <w:tc>
          <w:tcPr>
            <w:tcW w:w="993" w:type="dxa"/>
            <w:tcBorders>
              <w:top w:val="nil"/>
              <w:left w:val="single" w:sz="4" w:space="0" w:color="auto"/>
              <w:bottom w:val="nil"/>
              <w:right w:val="single" w:sz="4" w:space="0" w:color="auto"/>
            </w:tcBorders>
          </w:tcPr>
          <w:p w:rsidR="00000000" w:rsidRDefault="00000000">
            <w:pPr>
              <w:pStyle w:val="BodyText3"/>
              <w:ind w:right="113"/>
              <w:jc w:val="right"/>
              <w:rPr>
                <w:snapToGrid w:val="0"/>
                <w:sz w:val="24"/>
                <w:lang w:val="en-GB"/>
              </w:rPr>
            </w:pPr>
            <w:r>
              <w:rPr>
                <w:snapToGrid w:val="0"/>
                <w:sz w:val="24"/>
                <w:lang w:val="en-GB"/>
              </w:rPr>
              <w:t>27.467</w:t>
            </w:r>
          </w:p>
        </w:tc>
        <w:tc>
          <w:tcPr>
            <w:tcW w:w="1276" w:type="dxa"/>
            <w:gridSpan w:val="2"/>
            <w:tcBorders>
              <w:top w:val="nil"/>
              <w:left w:val="single" w:sz="4" w:space="0" w:color="auto"/>
              <w:bottom w:val="nil"/>
              <w:right w:val="single" w:sz="4" w:space="0" w:color="auto"/>
            </w:tcBorders>
          </w:tcPr>
          <w:p w:rsidR="00000000" w:rsidRDefault="00000000">
            <w:pPr>
              <w:pStyle w:val="BodyText3"/>
              <w:ind w:right="227"/>
              <w:jc w:val="right"/>
              <w:rPr>
                <w:snapToGrid w:val="0"/>
                <w:sz w:val="24"/>
                <w:lang w:val="en-GB"/>
              </w:rPr>
            </w:pPr>
            <w:r>
              <w:rPr>
                <w:snapToGrid w:val="0"/>
                <w:sz w:val="24"/>
                <w:lang w:val="en-GB"/>
              </w:rPr>
              <w:t>2.240</w:t>
            </w:r>
          </w:p>
        </w:tc>
        <w:tc>
          <w:tcPr>
            <w:tcW w:w="1616" w:type="dxa"/>
            <w:gridSpan w:val="2"/>
            <w:tcBorders>
              <w:top w:val="nil"/>
              <w:left w:val="single" w:sz="4" w:space="0" w:color="auto"/>
              <w:bottom w:val="nil"/>
            </w:tcBorders>
          </w:tcPr>
          <w:p w:rsidR="00000000" w:rsidRDefault="00000000">
            <w:pPr>
              <w:pStyle w:val="BodyText3"/>
              <w:ind w:right="428"/>
              <w:jc w:val="right"/>
              <w:rPr>
                <w:snapToGrid w:val="0"/>
                <w:sz w:val="24"/>
                <w:lang w:val="en-GB"/>
              </w:rPr>
            </w:pPr>
            <w:r>
              <w:rPr>
                <w:snapToGrid w:val="0"/>
                <w:sz w:val="24"/>
                <w:lang w:val="en-GB"/>
              </w:rPr>
              <w:t>1.339</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tcBorders>
              <w:bottom w:val="single" w:sz="4" w:space="0" w:color="auto"/>
              <w:right w:val="single" w:sz="4" w:space="0" w:color="auto"/>
            </w:tcBorders>
            <w:vAlign w:val="center"/>
          </w:tcPr>
          <w:p w:rsidR="00000000" w:rsidRDefault="00000000">
            <w:pPr>
              <w:pStyle w:val="BodyText3"/>
              <w:ind w:right="284"/>
              <w:jc w:val="left"/>
              <w:rPr>
                <w:snapToGrid w:val="0"/>
                <w:sz w:val="24"/>
                <w:lang w:val="en-GB"/>
              </w:rPr>
            </w:pPr>
          </w:p>
        </w:tc>
        <w:tc>
          <w:tcPr>
            <w:tcW w:w="993" w:type="dxa"/>
            <w:gridSpan w:val="2"/>
            <w:tcBorders>
              <w:top w:val="nil"/>
              <w:left w:val="single" w:sz="4" w:space="0" w:color="auto"/>
              <w:bottom w:val="single" w:sz="4" w:space="0" w:color="auto"/>
              <w:right w:val="single" w:sz="4" w:space="0" w:color="auto"/>
            </w:tcBorders>
          </w:tcPr>
          <w:p w:rsidR="00000000" w:rsidRDefault="00000000">
            <w:pPr>
              <w:pStyle w:val="BodyText3"/>
              <w:ind w:right="284"/>
              <w:jc w:val="right"/>
              <w:rPr>
                <w:snapToGrid w:val="0"/>
                <w:sz w:val="24"/>
                <w:lang w:val="en-GB"/>
              </w:rPr>
            </w:pPr>
            <w:r>
              <w:rPr>
                <w:snapToGrid w:val="0"/>
                <w:sz w:val="24"/>
                <w:lang w:val="en-GB"/>
              </w:rPr>
              <w:t>1999</w:t>
            </w:r>
          </w:p>
        </w:tc>
        <w:tc>
          <w:tcPr>
            <w:tcW w:w="1134" w:type="dxa"/>
            <w:tcBorders>
              <w:top w:val="nil"/>
              <w:left w:val="single" w:sz="4" w:space="0" w:color="auto"/>
              <w:bottom w:val="single" w:sz="4" w:space="0" w:color="auto"/>
              <w:right w:val="single" w:sz="4" w:space="0" w:color="auto"/>
            </w:tcBorders>
          </w:tcPr>
          <w:p w:rsidR="00000000" w:rsidRDefault="00000000">
            <w:pPr>
              <w:pStyle w:val="BodyText3"/>
              <w:ind w:right="113"/>
              <w:jc w:val="right"/>
              <w:rPr>
                <w:snapToGrid w:val="0"/>
                <w:sz w:val="24"/>
                <w:lang w:val="en-GB"/>
              </w:rPr>
            </w:pPr>
            <w:r>
              <w:rPr>
                <w:snapToGrid w:val="0"/>
                <w:sz w:val="24"/>
                <w:lang w:val="en-GB"/>
              </w:rPr>
              <w:t>26.857</w:t>
            </w:r>
          </w:p>
        </w:tc>
        <w:tc>
          <w:tcPr>
            <w:tcW w:w="993" w:type="dxa"/>
            <w:tcBorders>
              <w:top w:val="nil"/>
              <w:left w:val="single" w:sz="4" w:space="0" w:color="auto"/>
              <w:bottom w:val="single" w:sz="4" w:space="0" w:color="auto"/>
              <w:right w:val="single" w:sz="4" w:space="0" w:color="auto"/>
            </w:tcBorders>
          </w:tcPr>
          <w:p w:rsidR="00000000" w:rsidRDefault="00000000">
            <w:pPr>
              <w:pStyle w:val="BodyText3"/>
              <w:ind w:right="113"/>
              <w:jc w:val="right"/>
              <w:rPr>
                <w:snapToGrid w:val="0"/>
                <w:sz w:val="24"/>
                <w:lang w:val="en-GB"/>
              </w:rPr>
            </w:pPr>
            <w:r>
              <w:rPr>
                <w:snapToGrid w:val="0"/>
                <w:sz w:val="24"/>
                <w:lang w:val="en-GB"/>
              </w:rPr>
              <w:t>23.851</w:t>
            </w:r>
          </w:p>
        </w:tc>
        <w:tc>
          <w:tcPr>
            <w:tcW w:w="1276" w:type="dxa"/>
            <w:gridSpan w:val="2"/>
            <w:tcBorders>
              <w:top w:val="nil"/>
              <w:left w:val="single" w:sz="4" w:space="0" w:color="auto"/>
              <w:bottom w:val="single" w:sz="4" w:space="0" w:color="auto"/>
              <w:right w:val="single" w:sz="4" w:space="0" w:color="auto"/>
            </w:tcBorders>
          </w:tcPr>
          <w:p w:rsidR="00000000" w:rsidRDefault="00000000">
            <w:pPr>
              <w:pStyle w:val="BodyText3"/>
              <w:ind w:right="227"/>
              <w:jc w:val="right"/>
              <w:rPr>
                <w:snapToGrid w:val="0"/>
                <w:sz w:val="24"/>
                <w:lang w:val="en-GB"/>
              </w:rPr>
            </w:pPr>
            <w:r>
              <w:rPr>
                <w:snapToGrid w:val="0"/>
                <w:sz w:val="24"/>
                <w:lang w:val="en-GB"/>
              </w:rPr>
              <w:t>2.180</w:t>
            </w:r>
          </w:p>
        </w:tc>
        <w:tc>
          <w:tcPr>
            <w:tcW w:w="1616" w:type="dxa"/>
            <w:gridSpan w:val="2"/>
            <w:tcBorders>
              <w:top w:val="nil"/>
              <w:left w:val="single" w:sz="4" w:space="0" w:color="auto"/>
              <w:bottom w:val="single" w:sz="4" w:space="0" w:color="auto"/>
            </w:tcBorders>
          </w:tcPr>
          <w:p w:rsidR="00000000" w:rsidRDefault="00000000">
            <w:pPr>
              <w:pStyle w:val="BodyText3"/>
              <w:ind w:right="428"/>
              <w:jc w:val="right"/>
              <w:rPr>
                <w:snapToGrid w:val="0"/>
                <w:sz w:val="24"/>
                <w:lang w:val="en-GB"/>
              </w:rPr>
            </w:pPr>
            <w:r>
              <w:rPr>
                <w:snapToGrid w:val="0"/>
                <w:sz w:val="24"/>
                <w:lang w:val="en-GB"/>
              </w:rPr>
              <w:t xml:space="preserve">  826</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val="restart"/>
            <w:tcBorders>
              <w:top w:val="single" w:sz="4" w:space="0" w:color="auto"/>
              <w:bottom w:val="nil"/>
              <w:right w:val="single" w:sz="4" w:space="0" w:color="auto"/>
            </w:tcBorders>
            <w:vAlign w:val="center"/>
          </w:tcPr>
          <w:p w:rsidR="00000000" w:rsidRDefault="00000000">
            <w:pPr>
              <w:pStyle w:val="BodyText3"/>
              <w:ind w:right="284"/>
              <w:jc w:val="left"/>
              <w:rPr>
                <w:snapToGrid w:val="0"/>
                <w:sz w:val="24"/>
                <w:lang w:val="en-GB"/>
              </w:rPr>
            </w:pPr>
            <w:r>
              <w:rPr>
                <w:snapToGrid w:val="0"/>
                <w:sz w:val="24"/>
                <w:lang w:val="en-GB"/>
              </w:rPr>
              <w:t>Santa Catarina</w:t>
            </w:r>
          </w:p>
        </w:tc>
        <w:tc>
          <w:tcPr>
            <w:tcW w:w="993" w:type="dxa"/>
            <w:gridSpan w:val="2"/>
            <w:tcBorders>
              <w:top w:val="single" w:sz="4" w:space="0" w:color="auto"/>
              <w:left w:val="single" w:sz="4" w:space="0" w:color="auto"/>
              <w:bottom w:val="nil"/>
              <w:right w:val="single" w:sz="4" w:space="0" w:color="auto"/>
            </w:tcBorders>
          </w:tcPr>
          <w:p w:rsidR="00000000" w:rsidRDefault="00000000">
            <w:pPr>
              <w:pStyle w:val="BodyText3"/>
              <w:ind w:right="284"/>
              <w:jc w:val="right"/>
              <w:rPr>
                <w:snapToGrid w:val="0"/>
                <w:sz w:val="24"/>
                <w:lang w:val="en-GB"/>
              </w:rPr>
            </w:pPr>
            <w:r>
              <w:rPr>
                <w:snapToGrid w:val="0"/>
                <w:sz w:val="24"/>
                <w:lang w:val="en-GB"/>
              </w:rPr>
              <w:t>1997</w:t>
            </w:r>
          </w:p>
        </w:tc>
        <w:tc>
          <w:tcPr>
            <w:tcW w:w="1134" w:type="dxa"/>
            <w:tcBorders>
              <w:top w:val="single" w:sz="4" w:space="0" w:color="auto"/>
              <w:left w:val="single" w:sz="4" w:space="0" w:color="auto"/>
              <w:bottom w:val="nil"/>
              <w:right w:val="single" w:sz="4" w:space="0" w:color="auto"/>
            </w:tcBorders>
          </w:tcPr>
          <w:p w:rsidR="00000000" w:rsidRDefault="00000000">
            <w:pPr>
              <w:pStyle w:val="BodyText3"/>
              <w:ind w:right="113"/>
              <w:jc w:val="right"/>
              <w:rPr>
                <w:snapToGrid w:val="0"/>
                <w:sz w:val="24"/>
                <w:lang w:val="en-GB"/>
              </w:rPr>
            </w:pPr>
            <w:r>
              <w:rPr>
                <w:snapToGrid w:val="0"/>
                <w:sz w:val="24"/>
                <w:lang w:val="en-GB"/>
              </w:rPr>
              <w:t>21.582</w:t>
            </w:r>
          </w:p>
        </w:tc>
        <w:tc>
          <w:tcPr>
            <w:tcW w:w="993" w:type="dxa"/>
            <w:tcBorders>
              <w:top w:val="single" w:sz="4" w:space="0" w:color="auto"/>
              <w:left w:val="single" w:sz="4" w:space="0" w:color="auto"/>
              <w:bottom w:val="nil"/>
              <w:right w:val="single" w:sz="4" w:space="0" w:color="auto"/>
            </w:tcBorders>
          </w:tcPr>
          <w:p w:rsidR="00000000" w:rsidRDefault="00000000">
            <w:pPr>
              <w:pStyle w:val="BodyText3"/>
              <w:ind w:right="113"/>
              <w:jc w:val="right"/>
              <w:rPr>
                <w:snapToGrid w:val="0"/>
                <w:sz w:val="24"/>
                <w:lang w:val="en-GB"/>
              </w:rPr>
            </w:pPr>
            <w:r>
              <w:rPr>
                <w:snapToGrid w:val="0"/>
                <w:sz w:val="24"/>
                <w:lang w:val="en-GB"/>
              </w:rPr>
              <w:t>18.954</w:t>
            </w:r>
          </w:p>
        </w:tc>
        <w:tc>
          <w:tcPr>
            <w:tcW w:w="1276" w:type="dxa"/>
            <w:gridSpan w:val="2"/>
            <w:tcBorders>
              <w:top w:val="single" w:sz="4" w:space="0" w:color="auto"/>
              <w:left w:val="single" w:sz="4" w:space="0" w:color="auto"/>
              <w:bottom w:val="nil"/>
              <w:right w:val="single" w:sz="4" w:space="0" w:color="auto"/>
            </w:tcBorders>
          </w:tcPr>
          <w:p w:rsidR="00000000" w:rsidRDefault="00000000">
            <w:pPr>
              <w:pStyle w:val="BodyText3"/>
              <w:ind w:right="227"/>
              <w:jc w:val="right"/>
              <w:rPr>
                <w:snapToGrid w:val="0"/>
                <w:sz w:val="24"/>
                <w:lang w:val="en-GB"/>
              </w:rPr>
            </w:pPr>
            <w:r>
              <w:rPr>
                <w:snapToGrid w:val="0"/>
                <w:sz w:val="24"/>
                <w:lang w:val="en-GB"/>
              </w:rPr>
              <w:t>1.922</w:t>
            </w:r>
          </w:p>
        </w:tc>
        <w:tc>
          <w:tcPr>
            <w:tcW w:w="1616" w:type="dxa"/>
            <w:gridSpan w:val="2"/>
            <w:tcBorders>
              <w:top w:val="single" w:sz="4" w:space="0" w:color="auto"/>
              <w:left w:val="single" w:sz="4" w:space="0" w:color="auto"/>
              <w:bottom w:val="nil"/>
            </w:tcBorders>
          </w:tcPr>
          <w:p w:rsidR="00000000" w:rsidRDefault="00000000">
            <w:pPr>
              <w:pStyle w:val="BodyText3"/>
              <w:ind w:right="428"/>
              <w:jc w:val="right"/>
              <w:rPr>
                <w:snapToGrid w:val="0"/>
                <w:sz w:val="24"/>
                <w:lang w:val="en-GB"/>
              </w:rPr>
            </w:pPr>
            <w:r>
              <w:rPr>
                <w:snapToGrid w:val="0"/>
                <w:sz w:val="24"/>
                <w:lang w:val="en-GB"/>
              </w:rPr>
              <w:t xml:space="preserve">  706</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tcBorders>
              <w:top w:val="nil"/>
              <w:bottom w:val="nil"/>
              <w:right w:val="single" w:sz="4" w:space="0" w:color="auto"/>
            </w:tcBorders>
            <w:vAlign w:val="center"/>
          </w:tcPr>
          <w:p w:rsidR="00000000" w:rsidRDefault="00000000">
            <w:pPr>
              <w:pStyle w:val="BodyText3"/>
              <w:ind w:right="284"/>
              <w:jc w:val="left"/>
              <w:rPr>
                <w:snapToGrid w:val="0"/>
                <w:sz w:val="24"/>
                <w:lang w:val="en-GB"/>
              </w:rPr>
            </w:pPr>
          </w:p>
        </w:tc>
        <w:tc>
          <w:tcPr>
            <w:tcW w:w="993" w:type="dxa"/>
            <w:gridSpan w:val="2"/>
            <w:tcBorders>
              <w:top w:val="nil"/>
              <w:left w:val="single" w:sz="4" w:space="0" w:color="auto"/>
              <w:bottom w:val="nil"/>
              <w:right w:val="single" w:sz="4" w:space="0" w:color="auto"/>
            </w:tcBorders>
          </w:tcPr>
          <w:p w:rsidR="00000000" w:rsidRDefault="00000000">
            <w:pPr>
              <w:pStyle w:val="BodyText3"/>
              <w:ind w:right="284"/>
              <w:jc w:val="right"/>
              <w:rPr>
                <w:snapToGrid w:val="0"/>
                <w:sz w:val="24"/>
                <w:lang w:val="en-GB"/>
              </w:rPr>
            </w:pPr>
            <w:r>
              <w:rPr>
                <w:snapToGrid w:val="0"/>
                <w:sz w:val="24"/>
                <w:lang w:val="en-GB"/>
              </w:rPr>
              <w:t>1998</w:t>
            </w:r>
          </w:p>
        </w:tc>
        <w:tc>
          <w:tcPr>
            <w:tcW w:w="1134" w:type="dxa"/>
            <w:tcBorders>
              <w:top w:val="nil"/>
              <w:left w:val="single" w:sz="4" w:space="0" w:color="auto"/>
              <w:bottom w:val="nil"/>
              <w:right w:val="single" w:sz="4" w:space="0" w:color="auto"/>
            </w:tcBorders>
          </w:tcPr>
          <w:p w:rsidR="00000000" w:rsidRDefault="00000000">
            <w:pPr>
              <w:pStyle w:val="BodyText3"/>
              <w:ind w:right="113"/>
              <w:jc w:val="right"/>
              <w:rPr>
                <w:snapToGrid w:val="0"/>
                <w:sz w:val="24"/>
                <w:lang w:val="en-GB"/>
              </w:rPr>
            </w:pPr>
            <w:r>
              <w:rPr>
                <w:snapToGrid w:val="0"/>
                <w:sz w:val="24"/>
                <w:lang w:val="en-GB"/>
              </w:rPr>
              <w:t>23.267</w:t>
            </w:r>
          </w:p>
        </w:tc>
        <w:tc>
          <w:tcPr>
            <w:tcW w:w="993" w:type="dxa"/>
            <w:tcBorders>
              <w:top w:val="nil"/>
              <w:left w:val="single" w:sz="4" w:space="0" w:color="auto"/>
              <w:bottom w:val="nil"/>
              <w:right w:val="single" w:sz="4" w:space="0" w:color="auto"/>
            </w:tcBorders>
          </w:tcPr>
          <w:p w:rsidR="00000000" w:rsidRDefault="00000000">
            <w:pPr>
              <w:pStyle w:val="BodyText3"/>
              <w:ind w:right="113"/>
              <w:jc w:val="right"/>
              <w:rPr>
                <w:snapToGrid w:val="0"/>
                <w:sz w:val="24"/>
                <w:lang w:val="en-GB"/>
              </w:rPr>
            </w:pPr>
            <w:r>
              <w:rPr>
                <w:snapToGrid w:val="0"/>
                <w:sz w:val="24"/>
                <w:lang w:val="en-GB"/>
              </w:rPr>
              <w:t>20.490</w:t>
            </w:r>
          </w:p>
        </w:tc>
        <w:tc>
          <w:tcPr>
            <w:tcW w:w="1276" w:type="dxa"/>
            <w:gridSpan w:val="2"/>
            <w:tcBorders>
              <w:top w:val="nil"/>
              <w:left w:val="single" w:sz="4" w:space="0" w:color="auto"/>
              <w:bottom w:val="nil"/>
              <w:right w:val="single" w:sz="4" w:space="0" w:color="auto"/>
            </w:tcBorders>
          </w:tcPr>
          <w:p w:rsidR="00000000" w:rsidRDefault="00000000">
            <w:pPr>
              <w:pStyle w:val="BodyText3"/>
              <w:ind w:right="227"/>
              <w:jc w:val="right"/>
              <w:rPr>
                <w:snapToGrid w:val="0"/>
                <w:sz w:val="24"/>
                <w:lang w:val="en-GB"/>
              </w:rPr>
            </w:pPr>
            <w:r>
              <w:rPr>
                <w:snapToGrid w:val="0"/>
                <w:sz w:val="24"/>
                <w:lang w:val="en-GB"/>
              </w:rPr>
              <w:t>2.064</w:t>
            </w:r>
          </w:p>
        </w:tc>
        <w:tc>
          <w:tcPr>
            <w:tcW w:w="1616" w:type="dxa"/>
            <w:gridSpan w:val="2"/>
            <w:tcBorders>
              <w:top w:val="nil"/>
              <w:left w:val="single" w:sz="4" w:space="0" w:color="auto"/>
              <w:bottom w:val="nil"/>
            </w:tcBorders>
          </w:tcPr>
          <w:p w:rsidR="00000000" w:rsidRDefault="00000000">
            <w:pPr>
              <w:pStyle w:val="BodyText3"/>
              <w:ind w:right="428"/>
              <w:jc w:val="right"/>
              <w:rPr>
                <w:snapToGrid w:val="0"/>
                <w:sz w:val="24"/>
                <w:lang w:val="en-GB"/>
              </w:rPr>
            </w:pPr>
            <w:r>
              <w:rPr>
                <w:snapToGrid w:val="0"/>
                <w:sz w:val="24"/>
                <w:lang w:val="en-GB"/>
              </w:rPr>
              <w:t xml:space="preserve">  713</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tcBorders>
              <w:top w:val="nil"/>
              <w:bottom w:val="single" w:sz="4" w:space="0" w:color="auto"/>
              <w:right w:val="single" w:sz="4" w:space="0" w:color="auto"/>
            </w:tcBorders>
            <w:vAlign w:val="center"/>
          </w:tcPr>
          <w:p w:rsidR="00000000" w:rsidRDefault="00000000">
            <w:pPr>
              <w:pStyle w:val="BodyText3"/>
              <w:ind w:right="284"/>
              <w:jc w:val="left"/>
              <w:rPr>
                <w:snapToGrid w:val="0"/>
                <w:sz w:val="24"/>
                <w:lang w:val="en-GB"/>
              </w:rPr>
            </w:pPr>
          </w:p>
        </w:tc>
        <w:tc>
          <w:tcPr>
            <w:tcW w:w="993" w:type="dxa"/>
            <w:gridSpan w:val="2"/>
            <w:tcBorders>
              <w:top w:val="nil"/>
              <w:left w:val="single" w:sz="4" w:space="0" w:color="auto"/>
              <w:bottom w:val="single" w:sz="4" w:space="0" w:color="auto"/>
              <w:right w:val="single" w:sz="4" w:space="0" w:color="auto"/>
            </w:tcBorders>
          </w:tcPr>
          <w:p w:rsidR="00000000" w:rsidRDefault="00000000">
            <w:pPr>
              <w:pStyle w:val="BodyText3"/>
              <w:ind w:right="284"/>
              <w:jc w:val="right"/>
              <w:rPr>
                <w:snapToGrid w:val="0"/>
                <w:sz w:val="24"/>
                <w:lang w:val="en-GB"/>
              </w:rPr>
            </w:pPr>
            <w:r>
              <w:rPr>
                <w:snapToGrid w:val="0"/>
                <w:sz w:val="24"/>
                <w:lang w:val="en-GB"/>
              </w:rPr>
              <w:t>1999</w:t>
            </w:r>
          </w:p>
        </w:tc>
        <w:tc>
          <w:tcPr>
            <w:tcW w:w="1134" w:type="dxa"/>
            <w:tcBorders>
              <w:top w:val="nil"/>
              <w:left w:val="single" w:sz="4" w:space="0" w:color="auto"/>
              <w:bottom w:val="single" w:sz="4" w:space="0" w:color="auto"/>
              <w:right w:val="single" w:sz="4" w:space="0" w:color="auto"/>
            </w:tcBorders>
          </w:tcPr>
          <w:p w:rsidR="00000000" w:rsidRDefault="00000000">
            <w:pPr>
              <w:pStyle w:val="BodyText3"/>
              <w:ind w:right="113"/>
              <w:jc w:val="right"/>
              <w:rPr>
                <w:snapToGrid w:val="0"/>
                <w:sz w:val="24"/>
                <w:lang w:val="en-GB"/>
              </w:rPr>
            </w:pPr>
            <w:r>
              <w:rPr>
                <w:snapToGrid w:val="0"/>
                <w:sz w:val="24"/>
                <w:lang w:val="en-GB"/>
              </w:rPr>
              <w:t>23.496</w:t>
            </w:r>
          </w:p>
        </w:tc>
        <w:tc>
          <w:tcPr>
            <w:tcW w:w="993" w:type="dxa"/>
            <w:tcBorders>
              <w:top w:val="nil"/>
              <w:left w:val="single" w:sz="4" w:space="0" w:color="auto"/>
              <w:bottom w:val="single" w:sz="4" w:space="0" w:color="auto"/>
              <w:right w:val="single" w:sz="4" w:space="0" w:color="auto"/>
            </w:tcBorders>
          </w:tcPr>
          <w:p w:rsidR="00000000" w:rsidRDefault="00000000">
            <w:pPr>
              <w:pStyle w:val="BodyText3"/>
              <w:ind w:right="113"/>
              <w:jc w:val="right"/>
              <w:rPr>
                <w:snapToGrid w:val="0"/>
                <w:sz w:val="24"/>
                <w:lang w:val="en-GB"/>
              </w:rPr>
            </w:pPr>
            <w:r>
              <w:rPr>
                <w:snapToGrid w:val="0"/>
                <w:sz w:val="24"/>
                <w:lang w:val="en-GB"/>
              </w:rPr>
              <w:t>20.571</w:t>
            </w:r>
          </w:p>
        </w:tc>
        <w:tc>
          <w:tcPr>
            <w:tcW w:w="1276" w:type="dxa"/>
            <w:gridSpan w:val="2"/>
            <w:tcBorders>
              <w:top w:val="nil"/>
              <w:left w:val="single" w:sz="4" w:space="0" w:color="auto"/>
              <w:bottom w:val="single" w:sz="4" w:space="0" w:color="auto"/>
              <w:right w:val="single" w:sz="4" w:space="0" w:color="auto"/>
            </w:tcBorders>
          </w:tcPr>
          <w:p w:rsidR="00000000" w:rsidRDefault="00000000">
            <w:pPr>
              <w:pStyle w:val="BodyText3"/>
              <w:ind w:right="227"/>
              <w:jc w:val="right"/>
              <w:rPr>
                <w:snapToGrid w:val="0"/>
                <w:sz w:val="24"/>
                <w:lang w:val="en-GB"/>
              </w:rPr>
            </w:pPr>
            <w:r>
              <w:rPr>
                <w:snapToGrid w:val="0"/>
                <w:sz w:val="24"/>
                <w:lang w:val="en-GB"/>
              </w:rPr>
              <w:t>2.295</w:t>
            </w:r>
          </w:p>
        </w:tc>
        <w:tc>
          <w:tcPr>
            <w:tcW w:w="1616" w:type="dxa"/>
            <w:gridSpan w:val="2"/>
            <w:tcBorders>
              <w:top w:val="nil"/>
              <w:left w:val="single" w:sz="4" w:space="0" w:color="auto"/>
              <w:bottom w:val="single" w:sz="4" w:space="0" w:color="auto"/>
            </w:tcBorders>
          </w:tcPr>
          <w:p w:rsidR="00000000" w:rsidRDefault="00000000">
            <w:pPr>
              <w:pStyle w:val="BodyText3"/>
              <w:ind w:right="428"/>
              <w:jc w:val="right"/>
              <w:rPr>
                <w:snapToGrid w:val="0"/>
                <w:sz w:val="24"/>
                <w:lang w:val="en-GB"/>
              </w:rPr>
            </w:pPr>
            <w:r>
              <w:rPr>
                <w:snapToGrid w:val="0"/>
                <w:sz w:val="24"/>
                <w:lang w:val="en-GB"/>
              </w:rPr>
              <w:t xml:space="preserve">  630</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val="restart"/>
            <w:tcBorders>
              <w:top w:val="single" w:sz="4" w:space="0" w:color="auto"/>
              <w:bottom w:val="single" w:sz="4" w:space="0" w:color="auto"/>
              <w:right w:val="single" w:sz="4" w:space="0" w:color="auto"/>
            </w:tcBorders>
            <w:vAlign w:val="center"/>
          </w:tcPr>
          <w:p w:rsidR="00000000" w:rsidRDefault="00000000">
            <w:pPr>
              <w:pStyle w:val="BodyText3"/>
              <w:ind w:right="284"/>
              <w:jc w:val="left"/>
              <w:rPr>
                <w:snapToGrid w:val="0"/>
                <w:sz w:val="24"/>
                <w:lang w:val="en-GB"/>
              </w:rPr>
            </w:pPr>
            <w:r>
              <w:rPr>
                <w:snapToGrid w:val="0"/>
                <w:sz w:val="24"/>
                <w:lang w:val="en-GB"/>
              </w:rPr>
              <w:t>Rio Grande do Sul</w:t>
            </w:r>
          </w:p>
        </w:tc>
        <w:tc>
          <w:tcPr>
            <w:tcW w:w="993" w:type="dxa"/>
            <w:gridSpan w:val="2"/>
            <w:tcBorders>
              <w:top w:val="single" w:sz="4" w:space="0" w:color="auto"/>
              <w:left w:val="single" w:sz="4" w:space="0" w:color="auto"/>
              <w:bottom w:val="nil"/>
              <w:right w:val="single" w:sz="4" w:space="0" w:color="auto"/>
            </w:tcBorders>
          </w:tcPr>
          <w:p w:rsidR="00000000" w:rsidRDefault="00000000">
            <w:pPr>
              <w:pStyle w:val="BodyText3"/>
              <w:ind w:right="284"/>
              <w:jc w:val="right"/>
              <w:rPr>
                <w:snapToGrid w:val="0"/>
                <w:sz w:val="24"/>
                <w:lang w:val="en-GB"/>
              </w:rPr>
            </w:pPr>
            <w:r>
              <w:rPr>
                <w:snapToGrid w:val="0"/>
                <w:sz w:val="24"/>
                <w:lang w:val="en-GB"/>
              </w:rPr>
              <w:t>1997</w:t>
            </w:r>
          </w:p>
        </w:tc>
        <w:tc>
          <w:tcPr>
            <w:tcW w:w="1134" w:type="dxa"/>
            <w:tcBorders>
              <w:top w:val="single" w:sz="4" w:space="0" w:color="auto"/>
              <w:left w:val="single" w:sz="4" w:space="0" w:color="auto"/>
              <w:bottom w:val="nil"/>
              <w:right w:val="single" w:sz="4" w:space="0" w:color="auto"/>
            </w:tcBorders>
          </w:tcPr>
          <w:p w:rsidR="00000000" w:rsidRDefault="00000000">
            <w:pPr>
              <w:pStyle w:val="BodyText3"/>
              <w:ind w:right="113"/>
              <w:jc w:val="right"/>
              <w:rPr>
                <w:snapToGrid w:val="0"/>
                <w:sz w:val="24"/>
                <w:lang w:val="en-GB"/>
              </w:rPr>
            </w:pPr>
            <w:r>
              <w:rPr>
                <w:snapToGrid w:val="0"/>
                <w:sz w:val="24"/>
                <w:lang w:val="en-GB"/>
              </w:rPr>
              <w:t>38.735</w:t>
            </w:r>
          </w:p>
        </w:tc>
        <w:tc>
          <w:tcPr>
            <w:tcW w:w="993" w:type="dxa"/>
            <w:tcBorders>
              <w:top w:val="single" w:sz="4" w:space="0" w:color="auto"/>
              <w:left w:val="single" w:sz="4" w:space="0" w:color="auto"/>
              <w:bottom w:val="nil"/>
              <w:right w:val="single" w:sz="4" w:space="0" w:color="auto"/>
            </w:tcBorders>
          </w:tcPr>
          <w:p w:rsidR="00000000" w:rsidRDefault="00000000">
            <w:pPr>
              <w:pStyle w:val="BodyText3"/>
              <w:ind w:right="113"/>
              <w:jc w:val="right"/>
              <w:rPr>
                <w:snapToGrid w:val="0"/>
                <w:sz w:val="24"/>
                <w:lang w:val="en-GB"/>
              </w:rPr>
            </w:pPr>
            <w:r>
              <w:rPr>
                <w:snapToGrid w:val="0"/>
                <w:sz w:val="24"/>
                <w:lang w:val="en-GB"/>
              </w:rPr>
              <w:t>32.449</w:t>
            </w:r>
          </w:p>
        </w:tc>
        <w:tc>
          <w:tcPr>
            <w:tcW w:w="1276" w:type="dxa"/>
            <w:gridSpan w:val="2"/>
            <w:tcBorders>
              <w:top w:val="single" w:sz="4" w:space="0" w:color="auto"/>
              <w:left w:val="single" w:sz="4" w:space="0" w:color="auto"/>
              <w:bottom w:val="nil"/>
              <w:right w:val="single" w:sz="4" w:space="0" w:color="auto"/>
            </w:tcBorders>
          </w:tcPr>
          <w:p w:rsidR="00000000" w:rsidRDefault="00000000">
            <w:pPr>
              <w:pStyle w:val="BodyText3"/>
              <w:ind w:right="227"/>
              <w:jc w:val="right"/>
              <w:rPr>
                <w:snapToGrid w:val="0"/>
                <w:sz w:val="24"/>
                <w:lang w:val="en-GB"/>
              </w:rPr>
            </w:pPr>
            <w:r>
              <w:rPr>
                <w:snapToGrid w:val="0"/>
                <w:sz w:val="24"/>
                <w:lang w:val="en-GB"/>
              </w:rPr>
              <w:t>3.309</w:t>
            </w:r>
          </w:p>
        </w:tc>
        <w:tc>
          <w:tcPr>
            <w:tcW w:w="1616" w:type="dxa"/>
            <w:gridSpan w:val="2"/>
            <w:tcBorders>
              <w:top w:val="single" w:sz="4" w:space="0" w:color="auto"/>
              <w:left w:val="single" w:sz="4" w:space="0" w:color="auto"/>
              <w:bottom w:val="nil"/>
            </w:tcBorders>
          </w:tcPr>
          <w:p w:rsidR="00000000" w:rsidRDefault="00000000">
            <w:pPr>
              <w:pStyle w:val="BodyText3"/>
              <w:ind w:right="428"/>
              <w:jc w:val="right"/>
              <w:rPr>
                <w:snapToGrid w:val="0"/>
                <w:sz w:val="24"/>
                <w:lang w:val="en-GB"/>
              </w:rPr>
            </w:pPr>
            <w:r>
              <w:rPr>
                <w:snapToGrid w:val="0"/>
                <w:sz w:val="24"/>
                <w:lang w:val="en-GB"/>
              </w:rPr>
              <w:t>2.977</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tcBorders>
              <w:top w:val="nil"/>
              <w:bottom w:val="single" w:sz="4" w:space="0" w:color="auto"/>
              <w:right w:val="single" w:sz="4" w:space="0" w:color="auto"/>
            </w:tcBorders>
            <w:vAlign w:val="center"/>
          </w:tcPr>
          <w:p w:rsidR="00000000" w:rsidRDefault="00000000">
            <w:pPr>
              <w:pStyle w:val="BodyText3"/>
              <w:ind w:right="284"/>
              <w:jc w:val="left"/>
              <w:rPr>
                <w:snapToGrid w:val="0"/>
                <w:sz w:val="24"/>
                <w:lang w:val="en-GB"/>
              </w:rPr>
            </w:pPr>
          </w:p>
        </w:tc>
        <w:tc>
          <w:tcPr>
            <w:tcW w:w="993" w:type="dxa"/>
            <w:gridSpan w:val="2"/>
            <w:tcBorders>
              <w:top w:val="nil"/>
              <w:left w:val="single" w:sz="4" w:space="0" w:color="auto"/>
              <w:bottom w:val="nil"/>
              <w:right w:val="single" w:sz="4" w:space="0" w:color="auto"/>
            </w:tcBorders>
          </w:tcPr>
          <w:p w:rsidR="00000000" w:rsidRDefault="00000000">
            <w:pPr>
              <w:pStyle w:val="BodyText3"/>
              <w:ind w:right="284"/>
              <w:jc w:val="right"/>
              <w:rPr>
                <w:snapToGrid w:val="0"/>
                <w:sz w:val="24"/>
                <w:lang w:val="en-GB"/>
              </w:rPr>
            </w:pPr>
            <w:r>
              <w:rPr>
                <w:snapToGrid w:val="0"/>
                <w:sz w:val="24"/>
                <w:lang w:val="en-GB"/>
              </w:rPr>
              <w:t>1998</w:t>
            </w:r>
          </w:p>
        </w:tc>
        <w:tc>
          <w:tcPr>
            <w:tcW w:w="1134" w:type="dxa"/>
            <w:tcBorders>
              <w:top w:val="nil"/>
              <w:left w:val="single" w:sz="4" w:space="0" w:color="auto"/>
              <w:bottom w:val="nil"/>
              <w:right w:val="single" w:sz="4" w:space="0" w:color="auto"/>
            </w:tcBorders>
          </w:tcPr>
          <w:p w:rsidR="00000000" w:rsidRDefault="00000000">
            <w:pPr>
              <w:pStyle w:val="BodyText3"/>
              <w:ind w:right="113"/>
              <w:jc w:val="right"/>
              <w:rPr>
                <w:snapToGrid w:val="0"/>
                <w:sz w:val="24"/>
                <w:lang w:val="en-GB"/>
              </w:rPr>
            </w:pPr>
            <w:r>
              <w:rPr>
                <w:snapToGrid w:val="0"/>
                <w:sz w:val="24"/>
                <w:lang w:val="en-GB"/>
              </w:rPr>
              <w:t>36.960</w:t>
            </w:r>
          </w:p>
        </w:tc>
        <w:tc>
          <w:tcPr>
            <w:tcW w:w="993" w:type="dxa"/>
            <w:tcBorders>
              <w:top w:val="nil"/>
              <w:left w:val="single" w:sz="4" w:space="0" w:color="auto"/>
              <w:bottom w:val="nil"/>
              <w:right w:val="single" w:sz="4" w:space="0" w:color="auto"/>
            </w:tcBorders>
          </w:tcPr>
          <w:p w:rsidR="00000000" w:rsidRDefault="00000000">
            <w:pPr>
              <w:pStyle w:val="BodyText3"/>
              <w:ind w:right="113"/>
              <w:jc w:val="right"/>
              <w:rPr>
                <w:snapToGrid w:val="0"/>
                <w:sz w:val="24"/>
                <w:lang w:val="en-GB"/>
              </w:rPr>
            </w:pPr>
            <w:r>
              <w:rPr>
                <w:snapToGrid w:val="0"/>
                <w:sz w:val="24"/>
                <w:lang w:val="en-GB"/>
              </w:rPr>
              <w:t>31.602</w:t>
            </w:r>
          </w:p>
        </w:tc>
        <w:tc>
          <w:tcPr>
            <w:tcW w:w="1276" w:type="dxa"/>
            <w:gridSpan w:val="2"/>
            <w:tcBorders>
              <w:top w:val="nil"/>
              <w:left w:val="single" w:sz="4" w:space="0" w:color="auto"/>
              <w:bottom w:val="nil"/>
              <w:right w:val="single" w:sz="4" w:space="0" w:color="auto"/>
            </w:tcBorders>
          </w:tcPr>
          <w:p w:rsidR="00000000" w:rsidRDefault="00000000">
            <w:pPr>
              <w:pStyle w:val="BodyText3"/>
              <w:ind w:right="227"/>
              <w:jc w:val="right"/>
              <w:rPr>
                <w:snapToGrid w:val="0"/>
                <w:sz w:val="24"/>
                <w:lang w:val="en-GB"/>
              </w:rPr>
            </w:pPr>
            <w:r>
              <w:rPr>
                <w:snapToGrid w:val="0"/>
                <w:sz w:val="24"/>
                <w:lang w:val="en-GB"/>
              </w:rPr>
              <w:t>2.858</w:t>
            </w:r>
          </w:p>
        </w:tc>
        <w:tc>
          <w:tcPr>
            <w:tcW w:w="1616" w:type="dxa"/>
            <w:gridSpan w:val="2"/>
            <w:tcBorders>
              <w:top w:val="nil"/>
              <w:left w:val="single" w:sz="4" w:space="0" w:color="auto"/>
              <w:bottom w:val="nil"/>
            </w:tcBorders>
          </w:tcPr>
          <w:p w:rsidR="00000000" w:rsidRDefault="00000000">
            <w:pPr>
              <w:pStyle w:val="BodyText3"/>
              <w:ind w:right="428"/>
              <w:jc w:val="right"/>
              <w:rPr>
                <w:snapToGrid w:val="0"/>
                <w:sz w:val="24"/>
                <w:lang w:val="en-GB"/>
              </w:rPr>
            </w:pPr>
            <w:r>
              <w:rPr>
                <w:snapToGrid w:val="0"/>
                <w:sz w:val="24"/>
                <w:lang w:val="en-GB"/>
              </w:rPr>
              <w:t>2.500</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tcBorders>
              <w:top w:val="nil"/>
              <w:bottom w:val="single" w:sz="4" w:space="0" w:color="auto"/>
              <w:right w:val="single" w:sz="4" w:space="0" w:color="auto"/>
            </w:tcBorders>
            <w:vAlign w:val="center"/>
          </w:tcPr>
          <w:p w:rsidR="00000000" w:rsidRDefault="00000000">
            <w:pPr>
              <w:pStyle w:val="BodyText3"/>
              <w:ind w:right="284"/>
              <w:jc w:val="left"/>
              <w:rPr>
                <w:snapToGrid w:val="0"/>
                <w:sz w:val="24"/>
                <w:lang w:val="en-GB"/>
              </w:rPr>
            </w:pPr>
          </w:p>
        </w:tc>
        <w:tc>
          <w:tcPr>
            <w:tcW w:w="993" w:type="dxa"/>
            <w:gridSpan w:val="2"/>
            <w:tcBorders>
              <w:top w:val="nil"/>
              <w:left w:val="single" w:sz="4" w:space="0" w:color="auto"/>
              <w:bottom w:val="single" w:sz="4" w:space="0" w:color="auto"/>
              <w:right w:val="single" w:sz="4" w:space="0" w:color="auto"/>
            </w:tcBorders>
          </w:tcPr>
          <w:p w:rsidR="00000000" w:rsidRDefault="00000000">
            <w:pPr>
              <w:pStyle w:val="BodyText3"/>
              <w:ind w:right="284"/>
              <w:jc w:val="right"/>
              <w:rPr>
                <w:snapToGrid w:val="0"/>
                <w:sz w:val="24"/>
                <w:lang w:val="en-GB"/>
              </w:rPr>
            </w:pPr>
            <w:r>
              <w:rPr>
                <w:snapToGrid w:val="0"/>
                <w:sz w:val="24"/>
                <w:lang w:val="en-GB"/>
              </w:rPr>
              <w:t>1999</w:t>
            </w:r>
          </w:p>
        </w:tc>
        <w:tc>
          <w:tcPr>
            <w:tcW w:w="1134" w:type="dxa"/>
            <w:tcBorders>
              <w:top w:val="nil"/>
              <w:left w:val="single" w:sz="4" w:space="0" w:color="auto"/>
              <w:bottom w:val="single" w:sz="4" w:space="0" w:color="auto"/>
              <w:right w:val="single" w:sz="4" w:space="0" w:color="auto"/>
            </w:tcBorders>
          </w:tcPr>
          <w:p w:rsidR="00000000" w:rsidRDefault="00000000">
            <w:pPr>
              <w:pStyle w:val="BodyText3"/>
              <w:ind w:right="113"/>
              <w:jc w:val="right"/>
              <w:rPr>
                <w:snapToGrid w:val="0"/>
                <w:sz w:val="24"/>
                <w:lang w:val="en-GB"/>
              </w:rPr>
            </w:pPr>
            <w:r>
              <w:rPr>
                <w:snapToGrid w:val="0"/>
                <w:sz w:val="24"/>
                <w:lang w:val="en-GB"/>
              </w:rPr>
              <w:t>35.135</w:t>
            </w:r>
          </w:p>
        </w:tc>
        <w:tc>
          <w:tcPr>
            <w:tcW w:w="993" w:type="dxa"/>
            <w:tcBorders>
              <w:top w:val="nil"/>
              <w:left w:val="single" w:sz="4" w:space="0" w:color="auto"/>
              <w:bottom w:val="single" w:sz="4" w:space="0" w:color="auto"/>
              <w:right w:val="single" w:sz="4" w:space="0" w:color="auto"/>
            </w:tcBorders>
          </w:tcPr>
          <w:p w:rsidR="00000000" w:rsidRDefault="00000000">
            <w:pPr>
              <w:pStyle w:val="BodyText3"/>
              <w:ind w:right="113"/>
              <w:jc w:val="right"/>
              <w:rPr>
                <w:snapToGrid w:val="0"/>
                <w:sz w:val="24"/>
                <w:lang w:val="en-GB"/>
              </w:rPr>
            </w:pPr>
            <w:r>
              <w:rPr>
                <w:snapToGrid w:val="0"/>
                <w:sz w:val="24"/>
                <w:lang w:val="en-GB"/>
              </w:rPr>
              <w:t>30.284</w:t>
            </w:r>
          </w:p>
        </w:tc>
        <w:tc>
          <w:tcPr>
            <w:tcW w:w="1276" w:type="dxa"/>
            <w:gridSpan w:val="2"/>
            <w:tcBorders>
              <w:top w:val="nil"/>
              <w:left w:val="single" w:sz="4" w:space="0" w:color="auto"/>
              <w:bottom w:val="single" w:sz="4" w:space="0" w:color="auto"/>
              <w:right w:val="single" w:sz="4" w:space="0" w:color="auto"/>
            </w:tcBorders>
          </w:tcPr>
          <w:p w:rsidR="00000000" w:rsidRDefault="00000000">
            <w:pPr>
              <w:pStyle w:val="BodyText3"/>
              <w:ind w:right="227"/>
              <w:jc w:val="right"/>
              <w:rPr>
                <w:snapToGrid w:val="0"/>
                <w:sz w:val="24"/>
                <w:lang w:val="en-GB"/>
              </w:rPr>
            </w:pPr>
            <w:r>
              <w:rPr>
                <w:snapToGrid w:val="0"/>
                <w:sz w:val="24"/>
                <w:lang w:val="en-GB"/>
              </w:rPr>
              <w:t>2.802</w:t>
            </w:r>
          </w:p>
        </w:tc>
        <w:tc>
          <w:tcPr>
            <w:tcW w:w="1616" w:type="dxa"/>
            <w:gridSpan w:val="2"/>
            <w:tcBorders>
              <w:top w:val="nil"/>
              <w:left w:val="single" w:sz="4" w:space="0" w:color="auto"/>
              <w:bottom w:val="single" w:sz="4" w:space="0" w:color="auto"/>
            </w:tcBorders>
          </w:tcPr>
          <w:p w:rsidR="00000000" w:rsidRDefault="00000000">
            <w:pPr>
              <w:pStyle w:val="BodyText3"/>
              <w:ind w:right="428"/>
              <w:jc w:val="right"/>
              <w:rPr>
                <w:snapToGrid w:val="0"/>
                <w:sz w:val="24"/>
                <w:lang w:val="en-GB"/>
              </w:rPr>
            </w:pPr>
            <w:r>
              <w:rPr>
                <w:snapToGrid w:val="0"/>
                <w:sz w:val="24"/>
                <w:lang w:val="en-GB"/>
              </w:rPr>
              <w:t>2.049</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val="restart"/>
            <w:tcBorders>
              <w:top w:val="nil"/>
              <w:bottom w:val="single" w:sz="4" w:space="0" w:color="auto"/>
              <w:right w:val="single" w:sz="4" w:space="0" w:color="auto"/>
            </w:tcBorders>
            <w:vAlign w:val="center"/>
          </w:tcPr>
          <w:p w:rsidR="00000000" w:rsidRDefault="00000000">
            <w:pPr>
              <w:pStyle w:val="BodyText3"/>
              <w:ind w:right="284"/>
              <w:jc w:val="left"/>
              <w:rPr>
                <w:b/>
                <w:snapToGrid w:val="0"/>
                <w:sz w:val="24"/>
                <w:lang w:val="en-GB"/>
              </w:rPr>
            </w:pPr>
            <w:r>
              <w:rPr>
                <w:b/>
                <w:snapToGrid w:val="0"/>
                <w:sz w:val="24"/>
                <w:lang w:val="en-GB"/>
              </w:rPr>
              <w:t>Central</w:t>
            </w:r>
            <w:r>
              <w:rPr>
                <w:b/>
                <w:snapToGrid w:val="0"/>
                <w:sz w:val="24"/>
                <w:lang w:val="en-GB"/>
              </w:rPr>
              <w:noBreakHyphen/>
              <w:t>western</w:t>
            </w:r>
          </w:p>
          <w:p w:rsidR="00000000" w:rsidRDefault="00000000">
            <w:pPr>
              <w:pStyle w:val="BodyText3"/>
              <w:ind w:right="284"/>
              <w:jc w:val="left"/>
              <w:rPr>
                <w:b/>
                <w:snapToGrid w:val="0"/>
                <w:sz w:val="24"/>
                <w:lang w:val="en-GB"/>
              </w:rPr>
            </w:pPr>
            <w:r>
              <w:rPr>
                <w:b/>
                <w:snapToGrid w:val="0"/>
                <w:sz w:val="24"/>
                <w:lang w:val="en-GB"/>
              </w:rPr>
              <w:t>Region</w:t>
            </w:r>
          </w:p>
        </w:tc>
        <w:tc>
          <w:tcPr>
            <w:tcW w:w="993" w:type="dxa"/>
            <w:gridSpan w:val="2"/>
            <w:tcBorders>
              <w:top w:val="single" w:sz="4" w:space="0" w:color="auto"/>
              <w:left w:val="single" w:sz="4" w:space="0" w:color="auto"/>
              <w:bottom w:val="nil"/>
              <w:right w:val="single" w:sz="4" w:space="0" w:color="auto"/>
            </w:tcBorders>
          </w:tcPr>
          <w:p w:rsidR="00000000" w:rsidRDefault="00000000">
            <w:pPr>
              <w:pStyle w:val="BodyText3"/>
              <w:ind w:right="284"/>
              <w:jc w:val="right"/>
              <w:rPr>
                <w:b/>
                <w:snapToGrid w:val="0"/>
                <w:sz w:val="24"/>
                <w:lang w:val="en-GB"/>
              </w:rPr>
            </w:pPr>
            <w:r>
              <w:rPr>
                <w:b/>
                <w:snapToGrid w:val="0"/>
                <w:sz w:val="24"/>
                <w:lang w:val="en-GB"/>
              </w:rPr>
              <w:t>1997</w:t>
            </w:r>
          </w:p>
        </w:tc>
        <w:tc>
          <w:tcPr>
            <w:tcW w:w="1134" w:type="dxa"/>
            <w:tcBorders>
              <w:top w:val="single" w:sz="4" w:space="0" w:color="auto"/>
              <w:left w:val="single" w:sz="4" w:space="0" w:color="auto"/>
              <w:bottom w:val="nil"/>
              <w:right w:val="single" w:sz="4" w:space="0" w:color="auto"/>
            </w:tcBorders>
          </w:tcPr>
          <w:p w:rsidR="00000000" w:rsidRDefault="00000000">
            <w:pPr>
              <w:pStyle w:val="BodyText3"/>
              <w:ind w:right="113"/>
              <w:jc w:val="right"/>
              <w:rPr>
                <w:b/>
                <w:snapToGrid w:val="0"/>
                <w:sz w:val="24"/>
                <w:lang w:val="en-GB"/>
              </w:rPr>
            </w:pPr>
            <w:r>
              <w:rPr>
                <w:b/>
                <w:snapToGrid w:val="0"/>
                <w:sz w:val="24"/>
                <w:lang w:val="en-GB"/>
              </w:rPr>
              <w:t>15.416</w:t>
            </w:r>
          </w:p>
        </w:tc>
        <w:tc>
          <w:tcPr>
            <w:tcW w:w="993" w:type="dxa"/>
            <w:tcBorders>
              <w:top w:val="single" w:sz="4" w:space="0" w:color="auto"/>
              <w:left w:val="single" w:sz="4" w:space="0" w:color="auto"/>
              <w:bottom w:val="nil"/>
              <w:right w:val="single" w:sz="4" w:space="0" w:color="auto"/>
            </w:tcBorders>
          </w:tcPr>
          <w:p w:rsidR="00000000" w:rsidRDefault="00000000">
            <w:pPr>
              <w:pStyle w:val="BodyText3"/>
              <w:ind w:right="113"/>
              <w:jc w:val="right"/>
              <w:rPr>
                <w:b/>
                <w:snapToGrid w:val="0"/>
                <w:sz w:val="24"/>
                <w:lang w:val="en-GB"/>
              </w:rPr>
            </w:pPr>
            <w:r>
              <w:rPr>
                <w:b/>
                <w:snapToGrid w:val="0"/>
                <w:sz w:val="24"/>
                <w:lang w:val="en-GB"/>
              </w:rPr>
              <w:t>12.393</w:t>
            </w:r>
          </w:p>
        </w:tc>
        <w:tc>
          <w:tcPr>
            <w:tcW w:w="1276" w:type="dxa"/>
            <w:gridSpan w:val="2"/>
            <w:tcBorders>
              <w:top w:val="single" w:sz="4" w:space="0" w:color="auto"/>
              <w:left w:val="single" w:sz="4" w:space="0" w:color="auto"/>
              <w:bottom w:val="nil"/>
              <w:right w:val="single" w:sz="4" w:space="0" w:color="auto"/>
            </w:tcBorders>
          </w:tcPr>
          <w:p w:rsidR="00000000" w:rsidRDefault="00000000">
            <w:pPr>
              <w:pStyle w:val="BodyText3"/>
              <w:ind w:right="227"/>
              <w:jc w:val="right"/>
              <w:rPr>
                <w:b/>
                <w:snapToGrid w:val="0"/>
                <w:sz w:val="24"/>
                <w:lang w:val="en-GB"/>
              </w:rPr>
            </w:pPr>
            <w:r>
              <w:rPr>
                <w:b/>
                <w:snapToGrid w:val="0"/>
                <w:sz w:val="24"/>
                <w:lang w:val="en-GB"/>
              </w:rPr>
              <w:t>1.967</w:t>
            </w:r>
          </w:p>
        </w:tc>
        <w:tc>
          <w:tcPr>
            <w:tcW w:w="1616" w:type="dxa"/>
            <w:gridSpan w:val="2"/>
            <w:tcBorders>
              <w:top w:val="single" w:sz="4" w:space="0" w:color="auto"/>
              <w:left w:val="single" w:sz="4" w:space="0" w:color="auto"/>
              <w:bottom w:val="nil"/>
            </w:tcBorders>
          </w:tcPr>
          <w:p w:rsidR="00000000" w:rsidRDefault="00000000">
            <w:pPr>
              <w:pStyle w:val="BodyText3"/>
              <w:ind w:right="428"/>
              <w:jc w:val="right"/>
              <w:rPr>
                <w:b/>
                <w:snapToGrid w:val="0"/>
                <w:sz w:val="24"/>
                <w:lang w:val="en-GB"/>
              </w:rPr>
            </w:pPr>
            <w:r>
              <w:rPr>
                <w:b/>
                <w:snapToGrid w:val="0"/>
                <w:sz w:val="24"/>
                <w:lang w:val="en-GB"/>
              </w:rPr>
              <w:t>1.056</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tcBorders>
              <w:top w:val="nil"/>
              <w:bottom w:val="single" w:sz="4" w:space="0" w:color="auto"/>
              <w:right w:val="single" w:sz="4" w:space="0" w:color="auto"/>
            </w:tcBorders>
            <w:vAlign w:val="center"/>
          </w:tcPr>
          <w:p w:rsidR="00000000" w:rsidRDefault="00000000">
            <w:pPr>
              <w:pStyle w:val="BodyText3"/>
              <w:ind w:right="284"/>
              <w:jc w:val="left"/>
              <w:rPr>
                <w:b/>
                <w:snapToGrid w:val="0"/>
                <w:sz w:val="24"/>
                <w:lang w:val="en-GB"/>
              </w:rPr>
            </w:pPr>
          </w:p>
        </w:tc>
        <w:tc>
          <w:tcPr>
            <w:tcW w:w="993" w:type="dxa"/>
            <w:gridSpan w:val="2"/>
            <w:tcBorders>
              <w:top w:val="nil"/>
              <w:left w:val="single" w:sz="4" w:space="0" w:color="auto"/>
              <w:bottom w:val="nil"/>
              <w:right w:val="single" w:sz="4" w:space="0" w:color="auto"/>
            </w:tcBorders>
          </w:tcPr>
          <w:p w:rsidR="00000000" w:rsidRDefault="00000000">
            <w:pPr>
              <w:pStyle w:val="BodyText3"/>
              <w:ind w:right="284"/>
              <w:jc w:val="right"/>
              <w:rPr>
                <w:b/>
                <w:snapToGrid w:val="0"/>
                <w:sz w:val="24"/>
                <w:lang w:val="en-GB"/>
              </w:rPr>
            </w:pPr>
            <w:r>
              <w:rPr>
                <w:b/>
                <w:snapToGrid w:val="0"/>
                <w:sz w:val="24"/>
                <w:lang w:val="en-GB"/>
              </w:rPr>
              <w:t>1998</w:t>
            </w:r>
          </w:p>
        </w:tc>
        <w:tc>
          <w:tcPr>
            <w:tcW w:w="1134" w:type="dxa"/>
            <w:tcBorders>
              <w:top w:val="nil"/>
              <w:left w:val="single" w:sz="4" w:space="0" w:color="auto"/>
              <w:bottom w:val="nil"/>
              <w:right w:val="single" w:sz="4" w:space="0" w:color="auto"/>
            </w:tcBorders>
          </w:tcPr>
          <w:p w:rsidR="00000000" w:rsidRDefault="00000000">
            <w:pPr>
              <w:pStyle w:val="BodyText3"/>
              <w:ind w:right="113"/>
              <w:jc w:val="right"/>
              <w:rPr>
                <w:b/>
                <w:snapToGrid w:val="0"/>
                <w:sz w:val="24"/>
                <w:lang w:val="en-GB"/>
              </w:rPr>
            </w:pPr>
            <w:r>
              <w:rPr>
                <w:b/>
                <w:snapToGrid w:val="0"/>
                <w:sz w:val="24"/>
                <w:lang w:val="en-GB"/>
              </w:rPr>
              <w:t>15.791</w:t>
            </w:r>
          </w:p>
        </w:tc>
        <w:tc>
          <w:tcPr>
            <w:tcW w:w="993" w:type="dxa"/>
            <w:tcBorders>
              <w:top w:val="nil"/>
              <w:left w:val="single" w:sz="4" w:space="0" w:color="auto"/>
              <w:bottom w:val="nil"/>
              <w:right w:val="single" w:sz="4" w:space="0" w:color="auto"/>
            </w:tcBorders>
          </w:tcPr>
          <w:p w:rsidR="00000000" w:rsidRDefault="00000000">
            <w:pPr>
              <w:pStyle w:val="BodyText3"/>
              <w:ind w:right="113"/>
              <w:jc w:val="right"/>
              <w:rPr>
                <w:b/>
                <w:snapToGrid w:val="0"/>
                <w:sz w:val="24"/>
                <w:lang w:val="en-GB"/>
              </w:rPr>
            </w:pPr>
            <w:r>
              <w:rPr>
                <w:b/>
                <w:snapToGrid w:val="0"/>
                <w:sz w:val="24"/>
                <w:lang w:val="en-GB"/>
              </w:rPr>
              <w:t>12.881</w:t>
            </w:r>
          </w:p>
        </w:tc>
        <w:tc>
          <w:tcPr>
            <w:tcW w:w="1276" w:type="dxa"/>
            <w:gridSpan w:val="2"/>
            <w:tcBorders>
              <w:top w:val="nil"/>
              <w:left w:val="single" w:sz="4" w:space="0" w:color="auto"/>
              <w:bottom w:val="nil"/>
              <w:right w:val="single" w:sz="4" w:space="0" w:color="auto"/>
            </w:tcBorders>
          </w:tcPr>
          <w:p w:rsidR="00000000" w:rsidRDefault="00000000">
            <w:pPr>
              <w:pStyle w:val="BodyText3"/>
              <w:ind w:right="227"/>
              <w:jc w:val="right"/>
              <w:rPr>
                <w:b/>
                <w:snapToGrid w:val="0"/>
                <w:sz w:val="24"/>
                <w:lang w:val="en-GB"/>
              </w:rPr>
            </w:pPr>
            <w:r>
              <w:rPr>
                <w:b/>
                <w:snapToGrid w:val="0"/>
                <w:sz w:val="24"/>
                <w:lang w:val="en-GB"/>
              </w:rPr>
              <w:t>2.016</w:t>
            </w:r>
          </w:p>
        </w:tc>
        <w:tc>
          <w:tcPr>
            <w:tcW w:w="1616" w:type="dxa"/>
            <w:gridSpan w:val="2"/>
            <w:tcBorders>
              <w:top w:val="nil"/>
              <w:left w:val="single" w:sz="4" w:space="0" w:color="auto"/>
              <w:bottom w:val="nil"/>
            </w:tcBorders>
          </w:tcPr>
          <w:p w:rsidR="00000000" w:rsidRDefault="00000000">
            <w:pPr>
              <w:pStyle w:val="BodyText3"/>
              <w:ind w:right="428"/>
              <w:jc w:val="right"/>
              <w:rPr>
                <w:b/>
                <w:snapToGrid w:val="0"/>
                <w:sz w:val="24"/>
                <w:lang w:val="en-GB"/>
              </w:rPr>
            </w:pPr>
            <w:r>
              <w:rPr>
                <w:b/>
                <w:snapToGrid w:val="0"/>
                <w:sz w:val="24"/>
                <w:lang w:val="en-GB"/>
              </w:rPr>
              <w:t xml:space="preserve">  894</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tcBorders>
              <w:top w:val="nil"/>
              <w:bottom w:val="single" w:sz="4" w:space="0" w:color="auto"/>
              <w:right w:val="single" w:sz="4" w:space="0" w:color="auto"/>
            </w:tcBorders>
            <w:vAlign w:val="center"/>
          </w:tcPr>
          <w:p w:rsidR="00000000" w:rsidRDefault="00000000">
            <w:pPr>
              <w:pStyle w:val="BodyText3"/>
              <w:ind w:right="284"/>
              <w:jc w:val="left"/>
              <w:rPr>
                <w:b/>
                <w:snapToGrid w:val="0"/>
                <w:sz w:val="24"/>
                <w:lang w:val="en-GB"/>
              </w:rPr>
            </w:pPr>
          </w:p>
        </w:tc>
        <w:tc>
          <w:tcPr>
            <w:tcW w:w="993" w:type="dxa"/>
            <w:gridSpan w:val="2"/>
            <w:tcBorders>
              <w:top w:val="nil"/>
              <w:left w:val="single" w:sz="4" w:space="0" w:color="auto"/>
              <w:bottom w:val="single" w:sz="4" w:space="0" w:color="auto"/>
              <w:right w:val="single" w:sz="4" w:space="0" w:color="auto"/>
            </w:tcBorders>
          </w:tcPr>
          <w:p w:rsidR="00000000" w:rsidRDefault="00000000">
            <w:pPr>
              <w:pStyle w:val="BodyText3"/>
              <w:ind w:right="284"/>
              <w:jc w:val="right"/>
              <w:rPr>
                <w:b/>
                <w:snapToGrid w:val="0"/>
                <w:sz w:val="24"/>
                <w:lang w:val="en-GB"/>
              </w:rPr>
            </w:pPr>
            <w:r>
              <w:rPr>
                <w:b/>
                <w:snapToGrid w:val="0"/>
                <w:sz w:val="24"/>
                <w:lang w:val="en-GB"/>
              </w:rPr>
              <w:t>1999</w:t>
            </w:r>
          </w:p>
        </w:tc>
        <w:tc>
          <w:tcPr>
            <w:tcW w:w="1134" w:type="dxa"/>
            <w:tcBorders>
              <w:top w:val="nil"/>
              <w:left w:val="single" w:sz="4" w:space="0" w:color="auto"/>
              <w:bottom w:val="single" w:sz="4" w:space="0" w:color="auto"/>
              <w:right w:val="single" w:sz="4" w:space="0" w:color="auto"/>
            </w:tcBorders>
          </w:tcPr>
          <w:p w:rsidR="00000000" w:rsidRDefault="00000000">
            <w:pPr>
              <w:pStyle w:val="BodyText3"/>
              <w:ind w:right="113"/>
              <w:jc w:val="right"/>
              <w:rPr>
                <w:b/>
                <w:snapToGrid w:val="0"/>
                <w:sz w:val="24"/>
                <w:lang w:val="en-GB"/>
              </w:rPr>
            </w:pPr>
            <w:r>
              <w:rPr>
                <w:b/>
                <w:snapToGrid w:val="0"/>
                <w:sz w:val="24"/>
                <w:lang w:val="en-GB"/>
              </w:rPr>
              <w:t>16.349</w:t>
            </w:r>
          </w:p>
        </w:tc>
        <w:tc>
          <w:tcPr>
            <w:tcW w:w="993" w:type="dxa"/>
            <w:tcBorders>
              <w:top w:val="nil"/>
              <w:left w:val="single" w:sz="4" w:space="0" w:color="auto"/>
              <w:bottom w:val="single" w:sz="4" w:space="0" w:color="auto"/>
              <w:right w:val="single" w:sz="4" w:space="0" w:color="auto"/>
            </w:tcBorders>
          </w:tcPr>
          <w:p w:rsidR="00000000" w:rsidRDefault="00000000">
            <w:pPr>
              <w:pStyle w:val="BodyText3"/>
              <w:ind w:right="113"/>
              <w:jc w:val="right"/>
              <w:rPr>
                <w:b/>
                <w:snapToGrid w:val="0"/>
                <w:sz w:val="24"/>
                <w:lang w:val="en-GB"/>
              </w:rPr>
            </w:pPr>
            <w:r>
              <w:rPr>
                <w:b/>
                <w:snapToGrid w:val="0"/>
                <w:sz w:val="24"/>
                <w:lang w:val="en-GB"/>
              </w:rPr>
              <w:t>13.389</w:t>
            </w:r>
          </w:p>
        </w:tc>
        <w:tc>
          <w:tcPr>
            <w:tcW w:w="1276" w:type="dxa"/>
            <w:gridSpan w:val="2"/>
            <w:tcBorders>
              <w:top w:val="nil"/>
              <w:left w:val="single" w:sz="4" w:space="0" w:color="auto"/>
              <w:bottom w:val="single" w:sz="4" w:space="0" w:color="auto"/>
              <w:right w:val="single" w:sz="4" w:space="0" w:color="auto"/>
            </w:tcBorders>
          </w:tcPr>
          <w:p w:rsidR="00000000" w:rsidRDefault="00000000">
            <w:pPr>
              <w:pStyle w:val="BodyText3"/>
              <w:ind w:right="227"/>
              <w:jc w:val="right"/>
              <w:rPr>
                <w:b/>
                <w:snapToGrid w:val="0"/>
                <w:sz w:val="24"/>
                <w:lang w:val="en-GB"/>
              </w:rPr>
            </w:pPr>
            <w:r>
              <w:rPr>
                <w:b/>
                <w:snapToGrid w:val="0"/>
                <w:sz w:val="24"/>
                <w:lang w:val="en-GB"/>
              </w:rPr>
              <w:t>2.257</w:t>
            </w:r>
          </w:p>
        </w:tc>
        <w:tc>
          <w:tcPr>
            <w:tcW w:w="1616" w:type="dxa"/>
            <w:gridSpan w:val="2"/>
            <w:tcBorders>
              <w:top w:val="nil"/>
              <w:left w:val="single" w:sz="4" w:space="0" w:color="auto"/>
              <w:bottom w:val="single" w:sz="4" w:space="0" w:color="auto"/>
            </w:tcBorders>
          </w:tcPr>
          <w:p w:rsidR="00000000" w:rsidRDefault="00000000">
            <w:pPr>
              <w:pStyle w:val="BodyText3"/>
              <w:ind w:right="428"/>
              <w:jc w:val="right"/>
              <w:rPr>
                <w:b/>
                <w:snapToGrid w:val="0"/>
                <w:sz w:val="24"/>
                <w:lang w:val="en-GB"/>
              </w:rPr>
            </w:pPr>
            <w:r>
              <w:rPr>
                <w:b/>
                <w:snapToGrid w:val="0"/>
                <w:sz w:val="24"/>
                <w:lang w:val="en-GB"/>
              </w:rPr>
              <w:t xml:space="preserve">  703</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val="restart"/>
            <w:tcBorders>
              <w:top w:val="single" w:sz="4" w:space="0" w:color="auto"/>
              <w:bottom w:val="single" w:sz="4" w:space="0" w:color="auto"/>
              <w:right w:val="single" w:sz="4" w:space="0" w:color="auto"/>
            </w:tcBorders>
            <w:vAlign w:val="center"/>
          </w:tcPr>
          <w:p w:rsidR="00000000" w:rsidRDefault="00000000">
            <w:pPr>
              <w:ind w:right="284"/>
              <w:rPr>
                <w:snapToGrid w:val="0"/>
              </w:rPr>
            </w:pPr>
            <w:r>
              <w:rPr>
                <w:snapToGrid w:val="0"/>
              </w:rPr>
              <w:t>Mato Grosso do Sul</w:t>
            </w:r>
          </w:p>
        </w:tc>
        <w:tc>
          <w:tcPr>
            <w:tcW w:w="993" w:type="dxa"/>
            <w:gridSpan w:val="2"/>
            <w:tcBorders>
              <w:top w:val="single" w:sz="4" w:space="0" w:color="auto"/>
              <w:left w:val="single" w:sz="4" w:space="0" w:color="auto"/>
              <w:bottom w:val="nil"/>
              <w:right w:val="single" w:sz="4" w:space="0" w:color="auto"/>
            </w:tcBorders>
          </w:tcPr>
          <w:p w:rsidR="00000000" w:rsidRDefault="00000000">
            <w:pPr>
              <w:ind w:right="284"/>
              <w:jc w:val="right"/>
              <w:rPr>
                <w:snapToGrid w:val="0"/>
              </w:rPr>
            </w:pPr>
            <w:r>
              <w:rPr>
                <w:snapToGrid w:val="0"/>
              </w:rPr>
              <w:t>1997</w:t>
            </w:r>
          </w:p>
        </w:tc>
        <w:tc>
          <w:tcPr>
            <w:tcW w:w="1134" w:type="dxa"/>
            <w:tcBorders>
              <w:top w:val="single" w:sz="4" w:space="0" w:color="auto"/>
              <w:left w:val="single" w:sz="4" w:space="0" w:color="auto"/>
              <w:bottom w:val="nil"/>
              <w:right w:val="single" w:sz="4" w:space="0" w:color="auto"/>
            </w:tcBorders>
          </w:tcPr>
          <w:p w:rsidR="00000000" w:rsidRDefault="00000000">
            <w:pPr>
              <w:ind w:right="113"/>
              <w:jc w:val="right"/>
              <w:rPr>
                <w:snapToGrid w:val="0"/>
              </w:rPr>
            </w:pPr>
            <w:r>
              <w:rPr>
                <w:snapToGrid w:val="0"/>
              </w:rPr>
              <w:t>3.218</w:t>
            </w:r>
          </w:p>
        </w:tc>
        <w:tc>
          <w:tcPr>
            <w:tcW w:w="993" w:type="dxa"/>
            <w:tcBorders>
              <w:top w:val="single" w:sz="4" w:space="0" w:color="auto"/>
              <w:left w:val="single" w:sz="4" w:space="0" w:color="auto"/>
              <w:bottom w:val="nil"/>
              <w:right w:val="single" w:sz="4" w:space="0" w:color="auto"/>
            </w:tcBorders>
          </w:tcPr>
          <w:p w:rsidR="00000000" w:rsidRDefault="00000000">
            <w:pPr>
              <w:ind w:right="113"/>
              <w:jc w:val="right"/>
              <w:rPr>
                <w:snapToGrid w:val="0"/>
              </w:rPr>
            </w:pPr>
            <w:r>
              <w:rPr>
                <w:snapToGrid w:val="0"/>
              </w:rPr>
              <w:t>2.773</w:t>
            </w:r>
          </w:p>
        </w:tc>
        <w:tc>
          <w:tcPr>
            <w:tcW w:w="1276" w:type="dxa"/>
            <w:gridSpan w:val="2"/>
            <w:tcBorders>
              <w:top w:val="single" w:sz="4" w:space="0" w:color="auto"/>
              <w:left w:val="single" w:sz="4" w:space="0" w:color="auto"/>
              <w:bottom w:val="nil"/>
              <w:right w:val="single" w:sz="4" w:space="0" w:color="auto"/>
            </w:tcBorders>
          </w:tcPr>
          <w:p w:rsidR="00000000" w:rsidRDefault="00000000">
            <w:pPr>
              <w:ind w:right="227"/>
              <w:jc w:val="right"/>
              <w:rPr>
                <w:snapToGrid w:val="0"/>
              </w:rPr>
            </w:pPr>
            <w:r>
              <w:rPr>
                <w:snapToGrid w:val="0"/>
              </w:rPr>
              <w:t xml:space="preserve">  355</w:t>
            </w:r>
          </w:p>
        </w:tc>
        <w:tc>
          <w:tcPr>
            <w:tcW w:w="1616" w:type="dxa"/>
            <w:gridSpan w:val="2"/>
            <w:tcBorders>
              <w:top w:val="single" w:sz="4" w:space="0" w:color="auto"/>
              <w:left w:val="single" w:sz="4" w:space="0" w:color="auto"/>
              <w:bottom w:val="nil"/>
            </w:tcBorders>
          </w:tcPr>
          <w:p w:rsidR="00000000" w:rsidRDefault="00000000">
            <w:pPr>
              <w:ind w:right="428"/>
              <w:jc w:val="right"/>
              <w:rPr>
                <w:snapToGrid w:val="0"/>
              </w:rPr>
            </w:pPr>
            <w:r>
              <w:rPr>
                <w:snapToGrid w:val="0"/>
              </w:rPr>
              <w:t xml:space="preserve">   90</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tcBorders>
              <w:top w:val="nil"/>
              <w:bottom w:val="single" w:sz="4" w:space="0" w:color="auto"/>
              <w:right w:val="single" w:sz="4" w:space="0" w:color="auto"/>
            </w:tcBorders>
            <w:vAlign w:val="center"/>
          </w:tcPr>
          <w:p w:rsidR="00000000" w:rsidRDefault="00000000">
            <w:pPr>
              <w:ind w:right="284"/>
              <w:rPr>
                <w:snapToGrid w:val="0"/>
              </w:rPr>
            </w:pPr>
          </w:p>
        </w:tc>
        <w:tc>
          <w:tcPr>
            <w:tcW w:w="993" w:type="dxa"/>
            <w:gridSpan w:val="2"/>
            <w:tcBorders>
              <w:top w:val="nil"/>
              <w:left w:val="single" w:sz="4" w:space="0" w:color="auto"/>
              <w:bottom w:val="nil"/>
              <w:right w:val="single" w:sz="4" w:space="0" w:color="auto"/>
            </w:tcBorders>
          </w:tcPr>
          <w:p w:rsidR="00000000" w:rsidRDefault="00000000">
            <w:pPr>
              <w:ind w:right="284"/>
              <w:jc w:val="right"/>
              <w:rPr>
                <w:snapToGrid w:val="0"/>
              </w:rPr>
            </w:pPr>
            <w:r>
              <w:rPr>
                <w:snapToGrid w:val="0"/>
              </w:rPr>
              <w:t>1998</w:t>
            </w:r>
          </w:p>
        </w:tc>
        <w:tc>
          <w:tcPr>
            <w:tcW w:w="1134" w:type="dxa"/>
            <w:tcBorders>
              <w:top w:val="nil"/>
              <w:left w:val="single" w:sz="4" w:space="0" w:color="auto"/>
              <w:bottom w:val="nil"/>
              <w:right w:val="single" w:sz="4" w:space="0" w:color="auto"/>
            </w:tcBorders>
          </w:tcPr>
          <w:p w:rsidR="00000000" w:rsidRDefault="00000000">
            <w:pPr>
              <w:ind w:right="113"/>
              <w:jc w:val="right"/>
              <w:rPr>
                <w:snapToGrid w:val="0"/>
              </w:rPr>
            </w:pPr>
            <w:r>
              <w:rPr>
                <w:snapToGrid w:val="0"/>
              </w:rPr>
              <w:t>3.089</w:t>
            </w:r>
          </w:p>
        </w:tc>
        <w:tc>
          <w:tcPr>
            <w:tcW w:w="993" w:type="dxa"/>
            <w:tcBorders>
              <w:top w:val="nil"/>
              <w:left w:val="single" w:sz="4" w:space="0" w:color="auto"/>
              <w:bottom w:val="nil"/>
              <w:right w:val="single" w:sz="4" w:space="0" w:color="auto"/>
            </w:tcBorders>
          </w:tcPr>
          <w:p w:rsidR="00000000" w:rsidRDefault="00000000">
            <w:pPr>
              <w:ind w:right="113"/>
              <w:jc w:val="right"/>
              <w:rPr>
                <w:snapToGrid w:val="0"/>
              </w:rPr>
            </w:pPr>
            <w:r>
              <w:rPr>
                <w:snapToGrid w:val="0"/>
              </w:rPr>
              <w:t>2.672</w:t>
            </w:r>
          </w:p>
        </w:tc>
        <w:tc>
          <w:tcPr>
            <w:tcW w:w="1276" w:type="dxa"/>
            <w:gridSpan w:val="2"/>
            <w:tcBorders>
              <w:top w:val="nil"/>
              <w:left w:val="single" w:sz="4" w:space="0" w:color="auto"/>
              <w:bottom w:val="nil"/>
              <w:right w:val="single" w:sz="4" w:space="0" w:color="auto"/>
            </w:tcBorders>
          </w:tcPr>
          <w:p w:rsidR="00000000" w:rsidRDefault="00000000">
            <w:pPr>
              <w:ind w:right="227"/>
              <w:jc w:val="right"/>
              <w:rPr>
                <w:snapToGrid w:val="0"/>
              </w:rPr>
            </w:pPr>
            <w:r>
              <w:rPr>
                <w:snapToGrid w:val="0"/>
              </w:rPr>
              <w:t xml:space="preserve">  308</w:t>
            </w:r>
          </w:p>
        </w:tc>
        <w:tc>
          <w:tcPr>
            <w:tcW w:w="1616" w:type="dxa"/>
            <w:gridSpan w:val="2"/>
            <w:tcBorders>
              <w:top w:val="nil"/>
              <w:left w:val="single" w:sz="4" w:space="0" w:color="auto"/>
              <w:bottom w:val="nil"/>
            </w:tcBorders>
          </w:tcPr>
          <w:p w:rsidR="00000000" w:rsidRDefault="00000000">
            <w:pPr>
              <w:ind w:right="428"/>
              <w:jc w:val="right"/>
              <w:rPr>
                <w:snapToGrid w:val="0"/>
              </w:rPr>
            </w:pPr>
            <w:r>
              <w:rPr>
                <w:snapToGrid w:val="0"/>
              </w:rPr>
              <w:t xml:space="preserve">  109</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tcBorders>
              <w:top w:val="nil"/>
              <w:bottom w:val="single" w:sz="4" w:space="0" w:color="auto"/>
              <w:right w:val="single" w:sz="4" w:space="0" w:color="auto"/>
            </w:tcBorders>
            <w:vAlign w:val="center"/>
          </w:tcPr>
          <w:p w:rsidR="00000000" w:rsidRDefault="00000000">
            <w:pPr>
              <w:ind w:right="284"/>
              <w:rPr>
                <w:snapToGrid w:val="0"/>
              </w:rPr>
            </w:pPr>
          </w:p>
        </w:tc>
        <w:tc>
          <w:tcPr>
            <w:tcW w:w="993" w:type="dxa"/>
            <w:gridSpan w:val="2"/>
            <w:tcBorders>
              <w:top w:val="nil"/>
              <w:left w:val="single" w:sz="4" w:space="0" w:color="auto"/>
              <w:bottom w:val="single" w:sz="4" w:space="0" w:color="auto"/>
              <w:right w:val="single" w:sz="4" w:space="0" w:color="auto"/>
            </w:tcBorders>
          </w:tcPr>
          <w:p w:rsidR="00000000" w:rsidRDefault="00000000">
            <w:pPr>
              <w:ind w:right="284"/>
              <w:jc w:val="right"/>
              <w:rPr>
                <w:snapToGrid w:val="0"/>
              </w:rPr>
            </w:pPr>
            <w:r>
              <w:rPr>
                <w:snapToGrid w:val="0"/>
              </w:rPr>
              <w:t>1999</w:t>
            </w:r>
          </w:p>
        </w:tc>
        <w:tc>
          <w:tcPr>
            <w:tcW w:w="1134" w:type="dxa"/>
            <w:tcBorders>
              <w:top w:val="nil"/>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3.317</w:t>
            </w:r>
          </w:p>
        </w:tc>
        <w:tc>
          <w:tcPr>
            <w:tcW w:w="993" w:type="dxa"/>
            <w:tcBorders>
              <w:top w:val="nil"/>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2.871</w:t>
            </w:r>
          </w:p>
        </w:tc>
        <w:tc>
          <w:tcPr>
            <w:tcW w:w="1276" w:type="dxa"/>
            <w:gridSpan w:val="2"/>
            <w:tcBorders>
              <w:top w:val="nil"/>
              <w:left w:val="single" w:sz="4" w:space="0" w:color="auto"/>
              <w:bottom w:val="single" w:sz="4" w:space="0" w:color="auto"/>
              <w:right w:val="single" w:sz="4" w:space="0" w:color="auto"/>
            </w:tcBorders>
          </w:tcPr>
          <w:p w:rsidR="00000000" w:rsidRDefault="00000000">
            <w:pPr>
              <w:ind w:right="227"/>
              <w:jc w:val="right"/>
              <w:rPr>
                <w:snapToGrid w:val="0"/>
              </w:rPr>
            </w:pPr>
            <w:r>
              <w:rPr>
                <w:snapToGrid w:val="0"/>
              </w:rPr>
              <w:t xml:space="preserve">  351</w:t>
            </w:r>
          </w:p>
        </w:tc>
        <w:tc>
          <w:tcPr>
            <w:tcW w:w="1616" w:type="dxa"/>
            <w:gridSpan w:val="2"/>
            <w:tcBorders>
              <w:top w:val="nil"/>
              <w:left w:val="single" w:sz="4" w:space="0" w:color="auto"/>
              <w:bottom w:val="single" w:sz="4" w:space="0" w:color="auto"/>
            </w:tcBorders>
          </w:tcPr>
          <w:p w:rsidR="00000000" w:rsidRDefault="00000000">
            <w:pPr>
              <w:ind w:right="428"/>
              <w:jc w:val="right"/>
              <w:rPr>
                <w:snapToGrid w:val="0"/>
              </w:rPr>
            </w:pPr>
            <w:r>
              <w:rPr>
                <w:snapToGrid w:val="0"/>
              </w:rPr>
              <w:t xml:space="preserve">   95</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val="restart"/>
            <w:tcBorders>
              <w:top w:val="single" w:sz="4" w:space="0" w:color="auto"/>
              <w:bottom w:val="nil"/>
              <w:right w:val="single" w:sz="4" w:space="0" w:color="auto"/>
            </w:tcBorders>
            <w:vAlign w:val="center"/>
          </w:tcPr>
          <w:p w:rsidR="00000000" w:rsidRDefault="00000000">
            <w:pPr>
              <w:ind w:right="284"/>
              <w:rPr>
                <w:snapToGrid w:val="0"/>
              </w:rPr>
            </w:pPr>
            <w:r>
              <w:rPr>
                <w:snapToGrid w:val="0"/>
              </w:rPr>
              <w:t>Mato Grosso</w:t>
            </w:r>
          </w:p>
          <w:p w:rsidR="00000000" w:rsidRDefault="00000000">
            <w:pPr>
              <w:ind w:right="284"/>
              <w:rPr>
                <w:snapToGrid w:val="0"/>
              </w:rPr>
            </w:pPr>
          </w:p>
        </w:tc>
        <w:tc>
          <w:tcPr>
            <w:tcW w:w="993" w:type="dxa"/>
            <w:gridSpan w:val="2"/>
            <w:tcBorders>
              <w:top w:val="single" w:sz="4" w:space="0" w:color="auto"/>
              <w:left w:val="single" w:sz="4" w:space="0" w:color="auto"/>
              <w:bottom w:val="nil"/>
              <w:right w:val="single" w:sz="4" w:space="0" w:color="auto"/>
            </w:tcBorders>
          </w:tcPr>
          <w:p w:rsidR="00000000" w:rsidRDefault="00000000">
            <w:pPr>
              <w:ind w:right="284"/>
              <w:jc w:val="right"/>
              <w:rPr>
                <w:snapToGrid w:val="0"/>
              </w:rPr>
            </w:pPr>
            <w:r>
              <w:rPr>
                <w:snapToGrid w:val="0"/>
              </w:rPr>
              <w:t>1997</w:t>
            </w:r>
          </w:p>
        </w:tc>
        <w:tc>
          <w:tcPr>
            <w:tcW w:w="1134" w:type="dxa"/>
            <w:tcBorders>
              <w:top w:val="single" w:sz="4" w:space="0" w:color="auto"/>
              <w:left w:val="single" w:sz="4" w:space="0" w:color="auto"/>
              <w:bottom w:val="nil"/>
              <w:right w:val="single" w:sz="4" w:space="0" w:color="auto"/>
            </w:tcBorders>
          </w:tcPr>
          <w:p w:rsidR="00000000" w:rsidRDefault="00000000">
            <w:pPr>
              <w:ind w:right="113"/>
              <w:jc w:val="right"/>
              <w:rPr>
                <w:snapToGrid w:val="0"/>
              </w:rPr>
            </w:pPr>
            <w:r>
              <w:rPr>
                <w:snapToGrid w:val="0"/>
              </w:rPr>
              <w:t>3.194</w:t>
            </w:r>
          </w:p>
        </w:tc>
        <w:tc>
          <w:tcPr>
            <w:tcW w:w="993" w:type="dxa"/>
            <w:tcBorders>
              <w:top w:val="single" w:sz="4" w:space="0" w:color="auto"/>
              <w:left w:val="single" w:sz="4" w:space="0" w:color="auto"/>
              <w:bottom w:val="nil"/>
              <w:right w:val="single" w:sz="4" w:space="0" w:color="auto"/>
            </w:tcBorders>
          </w:tcPr>
          <w:p w:rsidR="00000000" w:rsidRDefault="00000000">
            <w:pPr>
              <w:ind w:right="113"/>
              <w:jc w:val="right"/>
              <w:rPr>
                <w:snapToGrid w:val="0"/>
              </w:rPr>
            </w:pPr>
            <w:r>
              <w:rPr>
                <w:snapToGrid w:val="0"/>
              </w:rPr>
              <w:t>2.730</w:t>
            </w:r>
          </w:p>
        </w:tc>
        <w:tc>
          <w:tcPr>
            <w:tcW w:w="1276" w:type="dxa"/>
            <w:gridSpan w:val="2"/>
            <w:tcBorders>
              <w:top w:val="single" w:sz="4" w:space="0" w:color="auto"/>
              <w:left w:val="single" w:sz="4" w:space="0" w:color="auto"/>
              <w:bottom w:val="nil"/>
              <w:right w:val="single" w:sz="4" w:space="0" w:color="auto"/>
            </w:tcBorders>
          </w:tcPr>
          <w:p w:rsidR="00000000" w:rsidRDefault="00000000">
            <w:pPr>
              <w:ind w:right="227"/>
              <w:jc w:val="right"/>
              <w:rPr>
                <w:snapToGrid w:val="0"/>
              </w:rPr>
            </w:pPr>
            <w:r>
              <w:rPr>
                <w:snapToGrid w:val="0"/>
              </w:rPr>
              <w:t xml:space="preserve">  315</w:t>
            </w:r>
          </w:p>
        </w:tc>
        <w:tc>
          <w:tcPr>
            <w:tcW w:w="1616" w:type="dxa"/>
            <w:gridSpan w:val="2"/>
            <w:tcBorders>
              <w:top w:val="single" w:sz="4" w:space="0" w:color="auto"/>
              <w:left w:val="single" w:sz="4" w:space="0" w:color="auto"/>
              <w:bottom w:val="nil"/>
            </w:tcBorders>
          </w:tcPr>
          <w:p w:rsidR="00000000" w:rsidRDefault="00000000">
            <w:pPr>
              <w:ind w:right="428"/>
              <w:jc w:val="right"/>
              <w:rPr>
                <w:snapToGrid w:val="0"/>
              </w:rPr>
            </w:pPr>
            <w:r>
              <w:rPr>
                <w:snapToGrid w:val="0"/>
              </w:rPr>
              <w:t xml:space="preserve">  149</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tcBorders>
              <w:top w:val="nil"/>
              <w:bottom w:val="nil"/>
              <w:right w:val="single" w:sz="4" w:space="0" w:color="auto"/>
            </w:tcBorders>
            <w:vAlign w:val="center"/>
          </w:tcPr>
          <w:p w:rsidR="00000000" w:rsidRDefault="00000000">
            <w:pPr>
              <w:ind w:right="284"/>
              <w:rPr>
                <w:snapToGrid w:val="0"/>
              </w:rPr>
            </w:pPr>
          </w:p>
        </w:tc>
        <w:tc>
          <w:tcPr>
            <w:tcW w:w="993" w:type="dxa"/>
            <w:gridSpan w:val="2"/>
            <w:tcBorders>
              <w:top w:val="nil"/>
              <w:left w:val="single" w:sz="4" w:space="0" w:color="auto"/>
              <w:bottom w:val="nil"/>
              <w:right w:val="single" w:sz="4" w:space="0" w:color="auto"/>
            </w:tcBorders>
          </w:tcPr>
          <w:p w:rsidR="00000000" w:rsidRDefault="00000000">
            <w:pPr>
              <w:ind w:right="284"/>
              <w:jc w:val="right"/>
              <w:rPr>
                <w:snapToGrid w:val="0"/>
              </w:rPr>
            </w:pPr>
            <w:r>
              <w:rPr>
                <w:snapToGrid w:val="0"/>
              </w:rPr>
              <w:t>1998</w:t>
            </w:r>
          </w:p>
        </w:tc>
        <w:tc>
          <w:tcPr>
            <w:tcW w:w="1134" w:type="dxa"/>
            <w:tcBorders>
              <w:top w:val="nil"/>
              <w:left w:val="single" w:sz="4" w:space="0" w:color="auto"/>
              <w:bottom w:val="nil"/>
              <w:right w:val="single" w:sz="4" w:space="0" w:color="auto"/>
            </w:tcBorders>
          </w:tcPr>
          <w:p w:rsidR="00000000" w:rsidRDefault="00000000">
            <w:pPr>
              <w:ind w:right="113"/>
              <w:jc w:val="right"/>
              <w:rPr>
                <w:snapToGrid w:val="0"/>
              </w:rPr>
            </w:pPr>
            <w:r>
              <w:rPr>
                <w:snapToGrid w:val="0"/>
              </w:rPr>
              <w:t>3.531</w:t>
            </w:r>
          </w:p>
        </w:tc>
        <w:tc>
          <w:tcPr>
            <w:tcW w:w="993" w:type="dxa"/>
            <w:tcBorders>
              <w:top w:val="nil"/>
              <w:left w:val="single" w:sz="4" w:space="0" w:color="auto"/>
              <w:bottom w:val="nil"/>
              <w:right w:val="single" w:sz="4" w:space="0" w:color="auto"/>
            </w:tcBorders>
          </w:tcPr>
          <w:p w:rsidR="00000000" w:rsidRDefault="00000000">
            <w:pPr>
              <w:ind w:right="113"/>
              <w:jc w:val="right"/>
              <w:rPr>
                <w:snapToGrid w:val="0"/>
              </w:rPr>
            </w:pPr>
            <w:r>
              <w:rPr>
                <w:snapToGrid w:val="0"/>
              </w:rPr>
              <w:t>3.067</w:t>
            </w:r>
          </w:p>
        </w:tc>
        <w:tc>
          <w:tcPr>
            <w:tcW w:w="1276" w:type="dxa"/>
            <w:gridSpan w:val="2"/>
            <w:tcBorders>
              <w:top w:val="nil"/>
              <w:left w:val="single" w:sz="4" w:space="0" w:color="auto"/>
              <w:bottom w:val="nil"/>
              <w:right w:val="single" w:sz="4" w:space="0" w:color="auto"/>
            </w:tcBorders>
          </w:tcPr>
          <w:p w:rsidR="00000000" w:rsidRDefault="00000000">
            <w:pPr>
              <w:ind w:right="227"/>
              <w:jc w:val="right"/>
              <w:rPr>
                <w:snapToGrid w:val="0"/>
              </w:rPr>
            </w:pPr>
            <w:r>
              <w:rPr>
                <w:snapToGrid w:val="0"/>
              </w:rPr>
              <w:t xml:space="preserve">  279</w:t>
            </w:r>
          </w:p>
        </w:tc>
        <w:tc>
          <w:tcPr>
            <w:tcW w:w="1616" w:type="dxa"/>
            <w:gridSpan w:val="2"/>
            <w:tcBorders>
              <w:top w:val="nil"/>
              <w:left w:val="single" w:sz="4" w:space="0" w:color="auto"/>
              <w:bottom w:val="nil"/>
            </w:tcBorders>
          </w:tcPr>
          <w:p w:rsidR="00000000" w:rsidRDefault="00000000">
            <w:pPr>
              <w:ind w:right="428"/>
              <w:jc w:val="right"/>
              <w:rPr>
                <w:snapToGrid w:val="0"/>
              </w:rPr>
            </w:pPr>
            <w:r>
              <w:rPr>
                <w:snapToGrid w:val="0"/>
              </w:rPr>
              <w:t xml:space="preserve">  185</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tcBorders>
              <w:top w:val="nil"/>
              <w:bottom w:val="single" w:sz="4" w:space="0" w:color="auto"/>
              <w:right w:val="single" w:sz="4" w:space="0" w:color="auto"/>
            </w:tcBorders>
            <w:vAlign w:val="center"/>
          </w:tcPr>
          <w:p w:rsidR="00000000" w:rsidRDefault="00000000">
            <w:pPr>
              <w:ind w:right="284"/>
              <w:rPr>
                <w:snapToGrid w:val="0"/>
              </w:rPr>
            </w:pPr>
          </w:p>
        </w:tc>
        <w:tc>
          <w:tcPr>
            <w:tcW w:w="993" w:type="dxa"/>
            <w:gridSpan w:val="2"/>
            <w:tcBorders>
              <w:top w:val="nil"/>
              <w:left w:val="single" w:sz="4" w:space="0" w:color="auto"/>
              <w:bottom w:val="single" w:sz="4" w:space="0" w:color="auto"/>
              <w:right w:val="single" w:sz="4" w:space="0" w:color="auto"/>
            </w:tcBorders>
          </w:tcPr>
          <w:p w:rsidR="00000000" w:rsidRDefault="00000000">
            <w:pPr>
              <w:ind w:right="284"/>
              <w:jc w:val="right"/>
              <w:rPr>
                <w:snapToGrid w:val="0"/>
              </w:rPr>
            </w:pPr>
            <w:r>
              <w:rPr>
                <w:snapToGrid w:val="0"/>
              </w:rPr>
              <w:t>1999</w:t>
            </w:r>
          </w:p>
        </w:tc>
        <w:tc>
          <w:tcPr>
            <w:tcW w:w="1134" w:type="dxa"/>
            <w:tcBorders>
              <w:top w:val="nil"/>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3.531</w:t>
            </w:r>
          </w:p>
        </w:tc>
        <w:tc>
          <w:tcPr>
            <w:tcW w:w="993" w:type="dxa"/>
            <w:tcBorders>
              <w:top w:val="nil"/>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3.146</w:t>
            </w:r>
          </w:p>
        </w:tc>
        <w:tc>
          <w:tcPr>
            <w:tcW w:w="1276" w:type="dxa"/>
            <w:gridSpan w:val="2"/>
            <w:tcBorders>
              <w:top w:val="nil"/>
              <w:left w:val="single" w:sz="4" w:space="0" w:color="auto"/>
              <w:bottom w:val="single" w:sz="4" w:space="0" w:color="auto"/>
              <w:right w:val="single" w:sz="4" w:space="0" w:color="auto"/>
            </w:tcBorders>
          </w:tcPr>
          <w:p w:rsidR="00000000" w:rsidRDefault="00000000">
            <w:pPr>
              <w:ind w:right="227"/>
              <w:jc w:val="right"/>
              <w:rPr>
                <w:snapToGrid w:val="0"/>
              </w:rPr>
            </w:pPr>
            <w:r>
              <w:rPr>
                <w:snapToGrid w:val="0"/>
              </w:rPr>
              <w:t xml:space="preserve">  288</w:t>
            </w:r>
          </w:p>
        </w:tc>
        <w:tc>
          <w:tcPr>
            <w:tcW w:w="1616" w:type="dxa"/>
            <w:gridSpan w:val="2"/>
            <w:tcBorders>
              <w:top w:val="nil"/>
              <w:left w:val="single" w:sz="4" w:space="0" w:color="auto"/>
              <w:bottom w:val="single" w:sz="4" w:space="0" w:color="auto"/>
            </w:tcBorders>
          </w:tcPr>
          <w:p w:rsidR="00000000" w:rsidRDefault="00000000">
            <w:pPr>
              <w:ind w:right="428"/>
              <w:jc w:val="right"/>
              <w:rPr>
                <w:snapToGrid w:val="0"/>
              </w:rPr>
            </w:pPr>
            <w:r>
              <w:rPr>
                <w:snapToGrid w:val="0"/>
              </w:rPr>
              <w:t xml:space="preserve">   97</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jc w:val="center"/>
        </w:trPr>
        <w:tc>
          <w:tcPr>
            <w:tcW w:w="2267" w:type="dxa"/>
            <w:gridSpan w:val="2"/>
            <w:vMerge w:val="restart"/>
            <w:tcBorders>
              <w:top w:val="single" w:sz="4" w:space="0" w:color="auto"/>
              <w:bottom w:val="nil"/>
              <w:right w:val="single" w:sz="4" w:space="0" w:color="auto"/>
            </w:tcBorders>
            <w:vAlign w:val="center"/>
          </w:tcPr>
          <w:p w:rsidR="00000000" w:rsidRDefault="00000000">
            <w:pPr>
              <w:ind w:right="284"/>
              <w:rPr>
                <w:snapToGrid w:val="0"/>
              </w:rPr>
            </w:pPr>
            <w:r>
              <w:rPr>
                <w:snapToGrid w:val="0"/>
              </w:rPr>
              <w:t>Goiás</w:t>
            </w:r>
          </w:p>
        </w:tc>
        <w:tc>
          <w:tcPr>
            <w:tcW w:w="993" w:type="dxa"/>
            <w:gridSpan w:val="2"/>
            <w:tcBorders>
              <w:top w:val="single" w:sz="4" w:space="0" w:color="auto"/>
              <w:left w:val="single" w:sz="4" w:space="0" w:color="auto"/>
              <w:bottom w:val="nil"/>
              <w:right w:val="single" w:sz="4" w:space="0" w:color="auto"/>
            </w:tcBorders>
          </w:tcPr>
          <w:p w:rsidR="00000000" w:rsidRDefault="00000000">
            <w:pPr>
              <w:ind w:right="284"/>
              <w:jc w:val="right"/>
              <w:rPr>
                <w:snapToGrid w:val="0"/>
              </w:rPr>
            </w:pPr>
            <w:r>
              <w:rPr>
                <w:snapToGrid w:val="0"/>
              </w:rPr>
              <w:t>1997</w:t>
            </w:r>
          </w:p>
        </w:tc>
        <w:tc>
          <w:tcPr>
            <w:tcW w:w="1134" w:type="dxa"/>
            <w:tcBorders>
              <w:top w:val="single" w:sz="4" w:space="0" w:color="auto"/>
              <w:left w:val="single" w:sz="4" w:space="0" w:color="auto"/>
              <w:bottom w:val="nil"/>
              <w:right w:val="single" w:sz="4" w:space="0" w:color="auto"/>
            </w:tcBorders>
          </w:tcPr>
          <w:p w:rsidR="00000000" w:rsidRDefault="00000000">
            <w:pPr>
              <w:ind w:right="113"/>
              <w:jc w:val="right"/>
              <w:rPr>
                <w:snapToGrid w:val="0"/>
              </w:rPr>
            </w:pPr>
            <w:r>
              <w:rPr>
                <w:snapToGrid w:val="0"/>
              </w:rPr>
              <w:t>6.113</w:t>
            </w:r>
          </w:p>
        </w:tc>
        <w:tc>
          <w:tcPr>
            <w:tcW w:w="993" w:type="dxa"/>
            <w:tcBorders>
              <w:top w:val="single" w:sz="4" w:space="0" w:color="auto"/>
              <w:left w:val="single" w:sz="4" w:space="0" w:color="auto"/>
              <w:bottom w:val="nil"/>
              <w:right w:val="single" w:sz="4" w:space="0" w:color="auto"/>
            </w:tcBorders>
          </w:tcPr>
          <w:p w:rsidR="00000000" w:rsidRDefault="00000000">
            <w:pPr>
              <w:ind w:right="113"/>
              <w:jc w:val="right"/>
              <w:rPr>
                <w:snapToGrid w:val="0"/>
              </w:rPr>
            </w:pPr>
            <w:r>
              <w:rPr>
                <w:snapToGrid w:val="0"/>
              </w:rPr>
              <w:t>4.854</w:t>
            </w:r>
          </w:p>
        </w:tc>
        <w:tc>
          <w:tcPr>
            <w:tcW w:w="1276" w:type="dxa"/>
            <w:gridSpan w:val="2"/>
            <w:tcBorders>
              <w:top w:val="single" w:sz="4" w:space="0" w:color="auto"/>
              <w:left w:val="single" w:sz="4" w:space="0" w:color="auto"/>
              <w:bottom w:val="nil"/>
              <w:right w:val="single" w:sz="4" w:space="0" w:color="auto"/>
            </w:tcBorders>
          </w:tcPr>
          <w:p w:rsidR="00000000" w:rsidRDefault="00000000">
            <w:pPr>
              <w:ind w:right="227"/>
              <w:jc w:val="right"/>
              <w:rPr>
                <w:snapToGrid w:val="0"/>
              </w:rPr>
            </w:pPr>
            <w:r>
              <w:rPr>
                <w:snapToGrid w:val="0"/>
              </w:rPr>
              <w:t xml:space="preserve">  906</w:t>
            </w:r>
          </w:p>
        </w:tc>
        <w:tc>
          <w:tcPr>
            <w:tcW w:w="1616" w:type="dxa"/>
            <w:gridSpan w:val="2"/>
            <w:tcBorders>
              <w:top w:val="single" w:sz="4" w:space="0" w:color="auto"/>
              <w:left w:val="single" w:sz="4" w:space="0" w:color="auto"/>
              <w:bottom w:val="nil"/>
            </w:tcBorders>
          </w:tcPr>
          <w:p w:rsidR="00000000" w:rsidRDefault="00000000">
            <w:pPr>
              <w:ind w:right="428"/>
              <w:jc w:val="right"/>
              <w:rPr>
                <w:snapToGrid w:val="0"/>
              </w:rPr>
            </w:pPr>
            <w:r>
              <w:rPr>
                <w:snapToGrid w:val="0"/>
              </w:rPr>
              <w:t xml:space="preserve">  353</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jc w:val="center"/>
        </w:trPr>
        <w:tc>
          <w:tcPr>
            <w:tcW w:w="2267" w:type="dxa"/>
            <w:gridSpan w:val="2"/>
            <w:vMerge/>
            <w:tcBorders>
              <w:top w:val="nil"/>
              <w:bottom w:val="nil"/>
              <w:right w:val="single" w:sz="4" w:space="0" w:color="auto"/>
            </w:tcBorders>
            <w:vAlign w:val="center"/>
          </w:tcPr>
          <w:p w:rsidR="00000000" w:rsidRDefault="00000000">
            <w:pPr>
              <w:ind w:right="284"/>
              <w:rPr>
                <w:snapToGrid w:val="0"/>
              </w:rPr>
            </w:pPr>
          </w:p>
        </w:tc>
        <w:tc>
          <w:tcPr>
            <w:tcW w:w="993" w:type="dxa"/>
            <w:gridSpan w:val="2"/>
            <w:tcBorders>
              <w:top w:val="nil"/>
              <w:left w:val="single" w:sz="4" w:space="0" w:color="auto"/>
              <w:bottom w:val="nil"/>
              <w:right w:val="single" w:sz="4" w:space="0" w:color="auto"/>
            </w:tcBorders>
          </w:tcPr>
          <w:p w:rsidR="00000000" w:rsidRDefault="00000000">
            <w:pPr>
              <w:ind w:right="284"/>
              <w:jc w:val="right"/>
              <w:rPr>
                <w:snapToGrid w:val="0"/>
              </w:rPr>
            </w:pPr>
            <w:r>
              <w:rPr>
                <w:snapToGrid w:val="0"/>
              </w:rPr>
              <w:t>1998</w:t>
            </w:r>
          </w:p>
        </w:tc>
        <w:tc>
          <w:tcPr>
            <w:tcW w:w="1134" w:type="dxa"/>
            <w:tcBorders>
              <w:top w:val="nil"/>
              <w:left w:val="single" w:sz="4" w:space="0" w:color="auto"/>
              <w:bottom w:val="nil"/>
              <w:right w:val="single" w:sz="4" w:space="0" w:color="auto"/>
            </w:tcBorders>
          </w:tcPr>
          <w:p w:rsidR="00000000" w:rsidRDefault="00000000">
            <w:pPr>
              <w:ind w:right="113"/>
              <w:jc w:val="right"/>
              <w:rPr>
                <w:snapToGrid w:val="0"/>
              </w:rPr>
            </w:pPr>
            <w:r>
              <w:rPr>
                <w:snapToGrid w:val="0"/>
              </w:rPr>
              <w:t>6.227</w:t>
            </w:r>
          </w:p>
        </w:tc>
        <w:tc>
          <w:tcPr>
            <w:tcW w:w="993" w:type="dxa"/>
            <w:tcBorders>
              <w:top w:val="nil"/>
              <w:left w:val="single" w:sz="4" w:space="0" w:color="auto"/>
              <w:bottom w:val="nil"/>
              <w:right w:val="single" w:sz="4" w:space="0" w:color="auto"/>
            </w:tcBorders>
          </w:tcPr>
          <w:p w:rsidR="00000000" w:rsidRDefault="00000000">
            <w:pPr>
              <w:ind w:right="113"/>
              <w:jc w:val="right"/>
              <w:rPr>
                <w:snapToGrid w:val="0"/>
              </w:rPr>
            </w:pPr>
            <w:r>
              <w:rPr>
                <w:snapToGrid w:val="0"/>
              </w:rPr>
              <w:t>4.920</w:t>
            </w:r>
          </w:p>
        </w:tc>
        <w:tc>
          <w:tcPr>
            <w:tcW w:w="1276" w:type="dxa"/>
            <w:gridSpan w:val="2"/>
            <w:tcBorders>
              <w:top w:val="nil"/>
              <w:left w:val="single" w:sz="4" w:space="0" w:color="auto"/>
              <w:bottom w:val="nil"/>
              <w:right w:val="single" w:sz="4" w:space="0" w:color="auto"/>
            </w:tcBorders>
          </w:tcPr>
          <w:p w:rsidR="00000000" w:rsidRDefault="00000000">
            <w:pPr>
              <w:ind w:right="227"/>
              <w:jc w:val="right"/>
              <w:rPr>
                <w:snapToGrid w:val="0"/>
              </w:rPr>
            </w:pPr>
            <w:r>
              <w:rPr>
                <w:snapToGrid w:val="0"/>
              </w:rPr>
              <w:t xml:space="preserve">  975</w:t>
            </w:r>
          </w:p>
        </w:tc>
        <w:tc>
          <w:tcPr>
            <w:tcW w:w="1616" w:type="dxa"/>
            <w:gridSpan w:val="2"/>
            <w:tcBorders>
              <w:top w:val="nil"/>
              <w:left w:val="single" w:sz="4" w:space="0" w:color="auto"/>
              <w:bottom w:val="nil"/>
            </w:tcBorders>
          </w:tcPr>
          <w:p w:rsidR="00000000" w:rsidRDefault="00000000">
            <w:pPr>
              <w:ind w:right="428"/>
              <w:jc w:val="right"/>
              <w:rPr>
                <w:snapToGrid w:val="0"/>
              </w:rPr>
            </w:pPr>
            <w:r>
              <w:rPr>
                <w:snapToGrid w:val="0"/>
              </w:rPr>
              <w:t xml:space="preserve">  332</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tcBorders>
              <w:top w:val="nil"/>
              <w:bottom w:val="single" w:sz="4" w:space="0" w:color="auto"/>
              <w:right w:val="single" w:sz="4" w:space="0" w:color="auto"/>
            </w:tcBorders>
            <w:vAlign w:val="center"/>
          </w:tcPr>
          <w:p w:rsidR="00000000" w:rsidRDefault="00000000">
            <w:pPr>
              <w:ind w:right="284"/>
              <w:rPr>
                <w:snapToGrid w:val="0"/>
              </w:rPr>
            </w:pPr>
          </w:p>
        </w:tc>
        <w:tc>
          <w:tcPr>
            <w:tcW w:w="993" w:type="dxa"/>
            <w:gridSpan w:val="2"/>
            <w:tcBorders>
              <w:top w:val="nil"/>
              <w:left w:val="single" w:sz="4" w:space="0" w:color="auto"/>
              <w:bottom w:val="single" w:sz="4" w:space="0" w:color="auto"/>
              <w:right w:val="single" w:sz="4" w:space="0" w:color="auto"/>
            </w:tcBorders>
          </w:tcPr>
          <w:p w:rsidR="00000000" w:rsidRDefault="00000000">
            <w:pPr>
              <w:ind w:right="284"/>
              <w:jc w:val="right"/>
              <w:rPr>
                <w:snapToGrid w:val="0"/>
              </w:rPr>
            </w:pPr>
            <w:r>
              <w:rPr>
                <w:snapToGrid w:val="0"/>
              </w:rPr>
              <w:t>1999</w:t>
            </w:r>
          </w:p>
        </w:tc>
        <w:tc>
          <w:tcPr>
            <w:tcW w:w="1134" w:type="dxa"/>
            <w:tcBorders>
              <w:top w:val="nil"/>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6.304</w:t>
            </w:r>
          </w:p>
        </w:tc>
        <w:tc>
          <w:tcPr>
            <w:tcW w:w="993" w:type="dxa"/>
            <w:tcBorders>
              <w:top w:val="nil"/>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4.902</w:t>
            </w:r>
          </w:p>
        </w:tc>
        <w:tc>
          <w:tcPr>
            <w:tcW w:w="1276" w:type="dxa"/>
            <w:gridSpan w:val="2"/>
            <w:tcBorders>
              <w:top w:val="nil"/>
              <w:left w:val="single" w:sz="4" w:space="0" w:color="auto"/>
              <w:bottom w:val="single" w:sz="4" w:space="0" w:color="auto"/>
              <w:right w:val="single" w:sz="4" w:space="0" w:color="auto"/>
            </w:tcBorders>
          </w:tcPr>
          <w:p w:rsidR="00000000" w:rsidRDefault="00000000">
            <w:pPr>
              <w:ind w:right="227"/>
              <w:jc w:val="right"/>
              <w:rPr>
                <w:snapToGrid w:val="0"/>
              </w:rPr>
            </w:pPr>
            <w:r>
              <w:rPr>
                <w:snapToGrid w:val="0"/>
              </w:rPr>
              <w:t>1.104</w:t>
            </w:r>
          </w:p>
        </w:tc>
        <w:tc>
          <w:tcPr>
            <w:tcW w:w="1616" w:type="dxa"/>
            <w:gridSpan w:val="2"/>
            <w:tcBorders>
              <w:top w:val="nil"/>
              <w:left w:val="single" w:sz="4" w:space="0" w:color="auto"/>
              <w:bottom w:val="single" w:sz="4" w:space="0" w:color="auto"/>
            </w:tcBorders>
          </w:tcPr>
          <w:p w:rsidR="00000000" w:rsidRDefault="00000000">
            <w:pPr>
              <w:ind w:right="428"/>
              <w:jc w:val="right"/>
              <w:rPr>
                <w:snapToGrid w:val="0"/>
              </w:rPr>
            </w:pPr>
            <w:r>
              <w:rPr>
                <w:snapToGrid w:val="0"/>
              </w:rPr>
              <w:t xml:space="preserve">  298</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val="restart"/>
            <w:tcBorders>
              <w:top w:val="single" w:sz="4" w:space="0" w:color="auto"/>
              <w:bottom w:val="single" w:sz="4" w:space="0" w:color="auto"/>
              <w:right w:val="single" w:sz="4" w:space="0" w:color="auto"/>
            </w:tcBorders>
            <w:vAlign w:val="center"/>
          </w:tcPr>
          <w:p w:rsidR="00000000" w:rsidRDefault="00000000">
            <w:pPr>
              <w:ind w:right="284"/>
              <w:rPr>
                <w:snapToGrid w:val="0"/>
              </w:rPr>
            </w:pPr>
            <w:r>
              <w:rPr>
                <w:snapToGrid w:val="0"/>
              </w:rPr>
              <w:t>Distrito Federal</w:t>
            </w:r>
          </w:p>
        </w:tc>
        <w:tc>
          <w:tcPr>
            <w:tcW w:w="993" w:type="dxa"/>
            <w:gridSpan w:val="2"/>
            <w:tcBorders>
              <w:top w:val="single" w:sz="4" w:space="0" w:color="auto"/>
              <w:left w:val="single" w:sz="4" w:space="0" w:color="auto"/>
              <w:bottom w:val="nil"/>
              <w:right w:val="single" w:sz="4" w:space="0" w:color="auto"/>
            </w:tcBorders>
          </w:tcPr>
          <w:p w:rsidR="00000000" w:rsidRDefault="00000000">
            <w:pPr>
              <w:ind w:right="284"/>
              <w:jc w:val="right"/>
              <w:rPr>
                <w:snapToGrid w:val="0"/>
              </w:rPr>
            </w:pPr>
            <w:r>
              <w:rPr>
                <w:snapToGrid w:val="0"/>
              </w:rPr>
              <w:t>1997</w:t>
            </w:r>
          </w:p>
        </w:tc>
        <w:tc>
          <w:tcPr>
            <w:tcW w:w="1134" w:type="dxa"/>
            <w:tcBorders>
              <w:top w:val="single" w:sz="4" w:space="0" w:color="auto"/>
              <w:left w:val="single" w:sz="4" w:space="0" w:color="auto"/>
              <w:bottom w:val="nil"/>
              <w:right w:val="single" w:sz="4" w:space="0" w:color="auto"/>
            </w:tcBorders>
          </w:tcPr>
          <w:p w:rsidR="00000000" w:rsidRDefault="00000000">
            <w:pPr>
              <w:ind w:right="113"/>
              <w:jc w:val="right"/>
              <w:rPr>
                <w:snapToGrid w:val="0"/>
              </w:rPr>
            </w:pPr>
            <w:r>
              <w:rPr>
                <w:snapToGrid w:val="0"/>
              </w:rPr>
              <w:t>2.891</w:t>
            </w:r>
          </w:p>
        </w:tc>
        <w:tc>
          <w:tcPr>
            <w:tcW w:w="993" w:type="dxa"/>
            <w:tcBorders>
              <w:top w:val="single" w:sz="4" w:space="0" w:color="auto"/>
              <w:left w:val="single" w:sz="4" w:space="0" w:color="auto"/>
              <w:bottom w:val="nil"/>
              <w:right w:val="single" w:sz="4" w:space="0" w:color="auto"/>
            </w:tcBorders>
          </w:tcPr>
          <w:p w:rsidR="00000000" w:rsidRDefault="00000000">
            <w:pPr>
              <w:ind w:right="113"/>
              <w:jc w:val="right"/>
              <w:rPr>
                <w:snapToGrid w:val="0"/>
              </w:rPr>
            </w:pPr>
            <w:r>
              <w:rPr>
                <w:snapToGrid w:val="0"/>
              </w:rPr>
              <w:t>2.036</w:t>
            </w:r>
          </w:p>
        </w:tc>
        <w:tc>
          <w:tcPr>
            <w:tcW w:w="1276" w:type="dxa"/>
            <w:gridSpan w:val="2"/>
            <w:tcBorders>
              <w:top w:val="single" w:sz="4" w:space="0" w:color="auto"/>
              <w:left w:val="single" w:sz="4" w:space="0" w:color="auto"/>
              <w:bottom w:val="nil"/>
              <w:right w:val="single" w:sz="4" w:space="0" w:color="auto"/>
            </w:tcBorders>
          </w:tcPr>
          <w:p w:rsidR="00000000" w:rsidRDefault="00000000">
            <w:pPr>
              <w:ind w:right="227"/>
              <w:jc w:val="right"/>
              <w:rPr>
                <w:snapToGrid w:val="0"/>
              </w:rPr>
            </w:pPr>
            <w:r>
              <w:rPr>
                <w:snapToGrid w:val="0"/>
              </w:rPr>
              <w:t xml:space="preserve">   391</w:t>
            </w:r>
          </w:p>
        </w:tc>
        <w:tc>
          <w:tcPr>
            <w:tcW w:w="1616" w:type="dxa"/>
            <w:gridSpan w:val="2"/>
            <w:tcBorders>
              <w:top w:val="single" w:sz="4" w:space="0" w:color="auto"/>
              <w:left w:val="single" w:sz="4" w:space="0" w:color="auto"/>
              <w:bottom w:val="nil"/>
              <w:right w:val="single" w:sz="4" w:space="0" w:color="auto"/>
            </w:tcBorders>
          </w:tcPr>
          <w:p w:rsidR="00000000" w:rsidRDefault="00000000">
            <w:pPr>
              <w:ind w:right="428"/>
              <w:jc w:val="right"/>
              <w:rPr>
                <w:snapToGrid w:val="0"/>
              </w:rPr>
            </w:pPr>
            <w:r>
              <w:rPr>
                <w:snapToGrid w:val="0"/>
              </w:rPr>
              <w:t xml:space="preserve">  464</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tcBorders>
              <w:top w:val="single" w:sz="4" w:space="0" w:color="auto"/>
              <w:bottom w:val="single" w:sz="4" w:space="0" w:color="auto"/>
              <w:right w:val="single" w:sz="4" w:space="0" w:color="auto"/>
            </w:tcBorders>
          </w:tcPr>
          <w:p w:rsidR="00000000" w:rsidRDefault="00000000">
            <w:pPr>
              <w:ind w:right="284"/>
              <w:rPr>
                <w:snapToGrid w:val="0"/>
              </w:rPr>
            </w:pPr>
          </w:p>
        </w:tc>
        <w:tc>
          <w:tcPr>
            <w:tcW w:w="993" w:type="dxa"/>
            <w:gridSpan w:val="2"/>
            <w:tcBorders>
              <w:top w:val="nil"/>
              <w:left w:val="single" w:sz="4" w:space="0" w:color="auto"/>
              <w:bottom w:val="nil"/>
              <w:right w:val="single" w:sz="4" w:space="0" w:color="auto"/>
            </w:tcBorders>
          </w:tcPr>
          <w:p w:rsidR="00000000" w:rsidRDefault="00000000">
            <w:pPr>
              <w:ind w:right="284"/>
              <w:jc w:val="right"/>
              <w:rPr>
                <w:snapToGrid w:val="0"/>
              </w:rPr>
            </w:pPr>
            <w:r>
              <w:rPr>
                <w:snapToGrid w:val="0"/>
              </w:rPr>
              <w:t>1998</w:t>
            </w:r>
          </w:p>
        </w:tc>
        <w:tc>
          <w:tcPr>
            <w:tcW w:w="1134" w:type="dxa"/>
            <w:tcBorders>
              <w:top w:val="nil"/>
              <w:left w:val="single" w:sz="4" w:space="0" w:color="auto"/>
              <w:bottom w:val="nil"/>
              <w:right w:val="single" w:sz="4" w:space="0" w:color="auto"/>
            </w:tcBorders>
          </w:tcPr>
          <w:p w:rsidR="00000000" w:rsidRDefault="00000000">
            <w:pPr>
              <w:ind w:right="113"/>
              <w:jc w:val="right"/>
              <w:rPr>
                <w:snapToGrid w:val="0"/>
              </w:rPr>
            </w:pPr>
            <w:r>
              <w:rPr>
                <w:snapToGrid w:val="0"/>
              </w:rPr>
              <w:t>2.944</w:t>
            </w:r>
          </w:p>
        </w:tc>
        <w:tc>
          <w:tcPr>
            <w:tcW w:w="993" w:type="dxa"/>
            <w:tcBorders>
              <w:top w:val="nil"/>
              <w:left w:val="single" w:sz="4" w:space="0" w:color="auto"/>
              <w:bottom w:val="nil"/>
              <w:right w:val="single" w:sz="4" w:space="0" w:color="auto"/>
            </w:tcBorders>
          </w:tcPr>
          <w:p w:rsidR="00000000" w:rsidRDefault="00000000">
            <w:pPr>
              <w:ind w:right="113"/>
              <w:jc w:val="right"/>
              <w:rPr>
                <w:snapToGrid w:val="0"/>
              </w:rPr>
            </w:pPr>
            <w:r>
              <w:rPr>
                <w:snapToGrid w:val="0"/>
              </w:rPr>
              <w:t>2.222</w:t>
            </w:r>
          </w:p>
        </w:tc>
        <w:tc>
          <w:tcPr>
            <w:tcW w:w="1276" w:type="dxa"/>
            <w:gridSpan w:val="2"/>
            <w:tcBorders>
              <w:top w:val="nil"/>
              <w:left w:val="single" w:sz="4" w:space="0" w:color="auto"/>
              <w:bottom w:val="nil"/>
              <w:right w:val="single" w:sz="4" w:space="0" w:color="auto"/>
            </w:tcBorders>
          </w:tcPr>
          <w:p w:rsidR="00000000" w:rsidRDefault="00000000">
            <w:pPr>
              <w:ind w:right="227"/>
              <w:jc w:val="right"/>
              <w:rPr>
                <w:snapToGrid w:val="0"/>
              </w:rPr>
            </w:pPr>
            <w:r>
              <w:rPr>
                <w:snapToGrid w:val="0"/>
              </w:rPr>
              <w:t xml:space="preserve">  454</w:t>
            </w:r>
          </w:p>
        </w:tc>
        <w:tc>
          <w:tcPr>
            <w:tcW w:w="1616" w:type="dxa"/>
            <w:gridSpan w:val="2"/>
            <w:tcBorders>
              <w:top w:val="nil"/>
              <w:left w:val="single" w:sz="4" w:space="0" w:color="auto"/>
              <w:bottom w:val="nil"/>
              <w:right w:val="single" w:sz="4" w:space="0" w:color="auto"/>
            </w:tcBorders>
          </w:tcPr>
          <w:p w:rsidR="00000000" w:rsidRDefault="00000000">
            <w:pPr>
              <w:ind w:right="428"/>
              <w:jc w:val="right"/>
              <w:rPr>
                <w:snapToGrid w:val="0"/>
              </w:rPr>
            </w:pPr>
            <w:r>
              <w:rPr>
                <w:snapToGrid w:val="0"/>
              </w:rPr>
              <w:t xml:space="preserve">  268</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tcBorders>
              <w:bottom w:val="single" w:sz="4" w:space="0" w:color="auto"/>
              <w:right w:val="single" w:sz="4" w:space="0" w:color="auto"/>
            </w:tcBorders>
          </w:tcPr>
          <w:p w:rsidR="00000000" w:rsidRDefault="00000000">
            <w:pPr>
              <w:ind w:right="284"/>
              <w:rPr>
                <w:snapToGrid w:val="0"/>
              </w:rPr>
            </w:pPr>
          </w:p>
        </w:tc>
        <w:tc>
          <w:tcPr>
            <w:tcW w:w="993" w:type="dxa"/>
            <w:gridSpan w:val="2"/>
            <w:tcBorders>
              <w:top w:val="nil"/>
              <w:left w:val="single" w:sz="4" w:space="0" w:color="auto"/>
              <w:bottom w:val="single" w:sz="4" w:space="0" w:color="auto"/>
              <w:right w:val="single" w:sz="4" w:space="0" w:color="auto"/>
            </w:tcBorders>
          </w:tcPr>
          <w:p w:rsidR="00000000" w:rsidRDefault="00000000">
            <w:pPr>
              <w:ind w:right="284"/>
              <w:jc w:val="right"/>
              <w:rPr>
                <w:snapToGrid w:val="0"/>
              </w:rPr>
            </w:pPr>
            <w:r>
              <w:rPr>
                <w:snapToGrid w:val="0"/>
              </w:rPr>
              <w:t>1999</w:t>
            </w:r>
          </w:p>
        </w:tc>
        <w:tc>
          <w:tcPr>
            <w:tcW w:w="1134" w:type="dxa"/>
            <w:tcBorders>
              <w:top w:val="nil"/>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3.197</w:t>
            </w:r>
          </w:p>
        </w:tc>
        <w:tc>
          <w:tcPr>
            <w:tcW w:w="993" w:type="dxa"/>
            <w:tcBorders>
              <w:top w:val="nil"/>
              <w:left w:val="single" w:sz="4" w:space="0" w:color="auto"/>
              <w:bottom w:val="single" w:sz="4" w:space="0" w:color="auto"/>
              <w:right w:val="single" w:sz="4" w:space="0" w:color="auto"/>
            </w:tcBorders>
          </w:tcPr>
          <w:p w:rsidR="00000000" w:rsidRDefault="00000000">
            <w:pPr>
              <w:ind w:right="113"/>
              <w:jc w:val="right"/>
              <w:rPr>
                <w:snapToGrid w:val="0"/>
              </w:rPr>
            </w:pPr>
            <w:r>
              <w:rPr>
                <w:snapToGrid w:val="0"/>
              </w:rPr>
              <w:t>2.470</w:t>
            </w:r>
          </w:p>
        </w:tc>
        <w:tc>
          <w:tcPr>
            <w:tcW w:w="1276" w:type="dxa"/>
            <w:gridSpan w:val="2"/>
            <w:tcBorders>
              <w:top w:val="nil"/>
              <w:left w:val="single" w:sz="4" w:space="0" w:color="auto"/>
              <w:bottom w:val="single" w:sz="4" w:space="0" w:color="auto"/>
              <w:right w:val="single" w:sz="4" w:space="0" w:color="auto"/>
            </w:tcBorders>
          </w:tcPr>
          <w:p w:rsidR="00000000" w:rsidRDefault="00000000">
            <w:pPr>
              <w:ind w:right="227"/>
              <w:jc w:val="right"/>
              <w:rPr>
                <w:snapToGrid w:val="0"/>
              </w:rPr>
            </w:pPr>
            <w:r>
              <w:rPr>
                <w:snapToGrid w:val="0"/>
              </w:rPr>
              <w:t xml:space="preserve">  514</w:t>
            </w:r>
          </w:p>
        </w:tc>
        <w:tc>
          <w:tcPr>
            <w:tcW w:w="1616" w:type="dxa"/>
            <w:gridSpan w:val="2"/>
            <w:tcBorders>
              <w:top w:val="nil"/>
              <w:left w:val="single" w:sz="4" w:space="0" w:color="auto"/>
              <w:bottom w:val="single" w:sz="4" w:space="0" w:color="auto"/>
              <w:right w:val="single" w:sz="4" w:space="0" w:color="auto"/>
            </w:tcBorders>
          </w:tcPr>
          <w:p w:rsidR="00000000" w:rsidRDefault="00000000">
            <w:pPr>
              <w:ind w:right="428"/>
              <w:jc w:val="right"/>
              <w:rPr>
                <w:snapToGrid w:val="0"/>
              </w:rPr>
            </w:pPr>
            <w:r>
              <w:rPr>
                <w:snapToGrid w:val="0"/>
              </w:rPr>
              <w:t xml:space="preserve">  213</w:t>
            </w:r>
          </w:p>
        </w:tc>
      </w:tr>
    </w:tbl>
    <w:p w:rsidR="00000000" w:rsidRDefault="00000000">
      <w:pPr>
        <w:rPr>
          <w:b/>
          <w:snapToGrid w:val="0"/>
          <w:color w:val="000000"/>
          <w:kern w:val="2"/>
        </w:rPr>
      </w:pPr>
    </w:p>
    <w:p w:rsidR="00000000" w:rsidRDefault="00000000">
      <w:pPr>
        <w:rPr>
          <w:bCs/>
          <w:kern w:val="2"/>
        </w:rPr>
      </w:pPr>
      <w:r>
        <w:rPr>
          <w:b/>
          <w:snapToGrid w:val="0"/>
          <w:color w:val="000000"/>
          <w:kern w:val="2"/>
        </w:rPr>
        <w:tab/>
      </w:r>
      <w:r>
        <w:rPr>
          <w:bCs/>
          <w:snapToGrid w:val="0"/>
          <w:color w:val="000000"/>
          <w:kern w:val="2"/>
          <w:u w:val="single"/>
        </w:rPr>
        <w:t>Source</w:t>
      </w:r>
      <w:r>
        <w:rPr>
          <w:bCs/>
          <w:snapToGrid w:val="0"/>
          <w:color w:val="000000"/>
          <w:kern w:val="2"/>
        </w:rPr>
        <w:t>:  DATAPREV, CAT.</w:t>
      </w:r>
    </w:p>
    <w:p w:rsidR="00000000" w:rsidRDefault="00000000">
      <w:pPr>
        <w:rPr>
          <w:bCs/>
          <w:snapToGrid w:val="0"/>
          <w:color w:val="000000"/>
          <w:kern w:val="2"/>
        </w:rPr>
      </w:pPr>
    </w:p>
    <w:p w:rsidR="00000000" w:rsidRDefault="00000000">
      <w:pPr>
        <w:rPr>
          <w:bCs/>
          <w:snapToGrid w:val="0"/>
          <w:color w:val="000000"/>
          <w:kern w:val="2"/>
        </w:rPr>
      </w:pPr>
      <w:r>
        <w:rPr>
          <w:bCs/>
          <w:snapToGrid w:val="0"/>
          <w:color w:val="000000"/>
          <w:kern w:val="2"/>
        </w:rPr>
        <w:tab/>
        <w:t>Please note:  The data are incomplete and are subject to correction.</w:t>
      </w:r>
    </w:p>
    <w:p w:rsidR="00000000" w:rsidRDefault="00000000">
      <w:pPr>
        <w:rPr>
          <w:bCs/>
          <w:u w:val="single"/>
        </w:rPr>
      </w:pPr>
    </w:p>
    <w:p w:rsidR="00000000" w:rsidRDefault="00000000">
      <w:r>
        <w:tab/>
        <w:t>*  The information for Roraima is included in the information for Amazonas.</w:t>
      </w:r>
    </w:p>
    <w:p w:rsidR="00000000" w:rsidRDefault="00000000"/>
    <w:p w:rsidR="00000000" w:rsidRDefault="00000000">
      <w:pPr>
        <w:pStyle w:val="Heading1"/>
        <w:rPr>
          <w:snapToGrid w:val="0"/>
          <w:kern w:val="2"/>
          <w:sz w:val="18"/>
        </w:rPr>
      </w:pPr>
      <w:r>
        <w:rPr>
          <w:u w:val="single"/>
        </w:rPr>
        <w:br w:type="page"/>
      </w:r>
      <w:r>
        <w:rPr>
          <w:snapToGrid w:val="0"/>
          <w:kern w:val="2"/>
          <w:sz w:val="18"/>
        </w:rPr>
        <w:t>Table 29</w:t>
      </w:r>
    </w:p>
    <w:p w:rsidR="00000000" w:rsidRDefault="00000000"/>
    <w:p w:rsidR="00000000" w:rsidRDefault="00000000">
      <w:pPr>
        <w:pStyle w:val="Heading1"/>
        <w:spacing w:after="120"/>
        <w:rPr>
          <w:snapToGrid w:val="0"/>
          <w:kern w:val="2"/>
          <w:sz w:val="18"/>
        </w:rPr>
      </w:pPr>
      <w:r>
        <w:rPr>
          <w:snapToGrid w:val="0"/>
          <w:kern w:val="2"/>
          <w:sz w:val="18"/>
        </w:rPr>
        <w:t>Number of workplace accidents recorded by cause and by age bracket, 1997</w:t>
      </w:r>
      <w:r>
        <w:rPr>
          <w:snapToGrid w:val="0"/>
          <w:kern w:val="2"/>
          <w:sz w:val="18"/>
        </w:rPr>
        <w:noBreakHyphen/>
        <w:t>1999</w:t>
      </w:r>
    </w:p>
    <w:p w:rsidR="00000000" w:rsidRDefault="00000000"/>
    <w:tbl>
      <w:tblPr>
        <w:tblW w:w="0" w:type="auto"/>
        <w:tblInd w:w="30" w:type="dxa"/>
        <w:tblLayout w:type="fixed"/>
        <w:tblCellMar>
          <w:left w:w="30" w:type="dxa"/>
          <w:right w:w="30" w:type="dxa"/>
        </w:tblCellMar>
        <w:tblLook w:val="0000" w:firstRow="0" w:lastRow="0" w:firstColumn="0" w:lastColumn="0" w:noHBand="0" w:noVBand="0"/>
      </w:tblPr>
      <w:tblGrid>
        <w:gridCol w:w="1119"/>
        <w:gridCol w:w="866"/>
        <w:gridCol w:w="850"/>
        <w:gridCol w:w="851"/>
        <w:gridCol w:w="850"/>
        <w:gridCol w:w="1175"/>
        <w:gridCol w:w="810"/>
        <w:gridCol w:w="850"/>
        <w:gridCol w:w="851"/>
        <w:gridCol w:w="1134"/>
      </w:tblGrid>
      <w:tr w:rsidR="00000000">
        <w:tblPrEx>
          <w:tblCellMar>
            <w:top w:w="0" w:type="dxa"/>
            <w:bottom w:w="0" w:type="dxa"/>
          </w:tblCellMar>
        </w:tblPrEx>
        <w:trPr>
          <w:trHeight w:val="250"/>
        </w:trPr>
        <w:tc>
          <w:tcPr>
            <w:tcW w:w="1119" w:type="dxa"/>
            <w:tcBorders>
              <w:top w:val="single" w:sz="4" w:space="0" w:color="auto"/>
              <w:left w:val="single" w:sz="4" w:space="0" w:color="auto"/>
              <w:right w:val="single" w:sz="2" w:space="0" w:color="auto"/>
            </w:tcBorders>
            <w:vAlign w:val="center"/>
          </w:tcPr>
          <w:p w:rsidR="00000000" w:rsidRDefault="00000000">
            <w:pPr>
              <w:spacing w:before="2" w:after="2"/>
              <w:jc w:val="center"/>
              <w:rPr>
                <w:snapToGrid w:val="0"/>
                <w:sz w:val="18"/>
              </w:rPr>
            </w:pPr>
          </w:p>
        </w:tc>
        <w:tc>
          <w:tcPr>
            <w:tcW w:w="866" w:type="dxa"/>
            <w:tcBorders>
              <w:top w:val="single" w:sz="4" w:space="0" w:color="auto"/>
              <w:left w:val="single" w:sz="2" w:space="0" w:color="auto"/>
            </w:tcBorders>
            <w:vAlign w:val="center"/>
          </w:tcPr>
          <w:p w:rsidR="00000000" w:rsidRDefault="00000000">
            <w:pPr>
              <w:spacing w:before="2" w:after="2"/>
              <w:jc w:val="center"/>
              <w:rPr>
                <w:snapToGrid w:val="0"/>
                <w:sz w:val="18"/>
              </w:rPr>
            </w:pP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spacing w:before="2" w:after="2"/>
              <w:ind w:right="113"/>
              <w:jc w:val="center"/>
              <w:rPr>
                <w:snapToGrid w:val="0"/>
                <w:sz w:val="18"/>
              </w:rPr>
            </w:pPr>
            <w:r>
              <w:rPr>
                <w:snapToGrid w:val="0"/>
                <w:sz w:val="18"/>
              </w:rPr>
              <w:t>Number of workplace accidents recorded</w:t>
            </w:r>
          </w:p>
        </w:tc>
      </w:tr>
      <w:tr w:rsidR="00000000">
        <w:tblPrEx>
          <w:tblCellMar>
            <w:top w:w="0" w:type="dxa"/>
            <w:bottom w:w="0" w:type="dxa"/>
          </w:tblCellMar>
        </w:tblPrEx>
        <w:trPr>
          <w:trHeight w:val="250"/>
        </w:trPr>
        <w:tc>
          <w:tcPr>
            <w:tcW w:w="1119" w:type="dxa"/>
            <w:tcBorders>
              <w:left w:val="single" w:sz="4" w:space="0" w:color="auto"/>
              <w:right w:val="single" w:sz="2" w:space="0" w:color="auto"/>
            </w:tcBorders>
            <w:vAlign w:val="center"/>
          </w:tcPr>
          <w:p w:rsidR="00000000" w:rsidRDefault="00000000">
            <w:pPr>
              <w:spacing w:before="2" w:after="2"/>
              <w:jc w:val="center"/>
              <w:rPr>
                <w:snapToGrid w:val="0"/>
                <w:sz w:val="18"/>
              </w:rPr>
            </w:pPr>
            <w:r>
              <w:rPr>
                <w:snapToGrid w:val="0"/>
                <w:sz w:val="18"/>
              </w:rPr>
              <w:t>Age</w:t>
            </w:r>
          </w:p>
        </w:tc>
        <w:tc>
          <w:tcPr>
            <w:tcW w:w="866" w:type="dxa"/>
            <w:tcBorders>
              <w:left w:val="single" w:sz="2" w:space="0" w:color="auto"/>
            </w:tcBorders>
            <w:vAlign w:val="center"/>
          </w:tcPr>
          <w:p w:rsidR="00000000" w:rsidRDefault="00000000">
            <w:pPr>
              <w:spacing w:before="2" w:after="2"/>
              <w:jc w:val="center"/>
              <w:rPr>
                <w:snapToGrid w:val="0"/>
                <w:sz w:val="18"/>
              </w:rPr>
            </w:pP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spacing w:before="2" w:after="2"/>
              <w:ind w:right="113"/>
              <w:jc w:val="center"/>
              <w:rPr>
                <w:snapToGrid w:val="0"/>
                <w:sz w:val="18"/>
              </w:rPr>
            </w:pPr>
            <w:r>
              <w:rPr>
                <w:snapToGrid w:val="0"/>
                <w:sz w:val="18"/>
              </w:rPr>
              <w:t>Cause</w:t>
            </w:r>
          </w:p>
        </w:tc>
      </w:tr>
      <w:tr w:rsidR="00000000">
        <w:tblPrEx>
          <w:tblCellMar>
            <w:top w:w="0" w:type="dxa"/>
            <w:bottom w:w="0" w:type="dxa"/>
          </w:tblCellMar>
        </w:tblPrEx>
        <w:trPr>
          <w:trHeight w:val="250"/>
        </w:trPr>
        <w:tc>
          <w:tcPr>
            <w:tcW w:w="1119" w:type="dxa"/>
            <w:tcBorders>
              <w:left w:val="single" w:sz="4" w:space="0" w:color="auto"/>
              <w:right w:val="single" w:sz="2" w:space="0" w:color="auto"/>
            </w:tcBorders>
            <w:vAlign w:val="center"/>
          </w:tcPr>
          <w:p w:rsidR="00000000" w:rsidRDefault="00000000">
            <w:pPr>
              <w:spacing w:before="2" w:after="2"/>
              <w:jc w:val="center"/>
              <w:rPr>
                <w:snapToGrid w:val="0"/>
                <w:sz w:val="18"/>
              </w:rPr>
            </w:pPr>
            <w:r>
              <w:rPr>
                <w:snapToGrid w:val="0"/>
                <w:sz w:val="18"/>
              </w:rPr>
              <w:t>bracket</w:t>
            </w:r>
          </w:p>
        </w:tc>
        <w:tc>
          <w:tcPr>
            <w:tcW w:w="866" w:type="dxa"/>
            <w:tcBorders>
              <w:left w:val="single" w:sz="2" w:space="0" w:color="auto"/>
            </w:tcBorders>
            <w:vAlign w:val="center"/>
          </w:tcPr>
          <w:p w:rsidR="00000000" w:rsidRDefault="00000000">
            <w:pPr>
              <w:spacing w:before="2" w:after="2"/>
              <w:jc w:val="center"/>
              <w:rPr>
                <w:snapToGrid w:val="0"/>
                <w:sz w:val="18"/>
              </w:rPr>
            </w:pPr>
            <w:r>
              <w:rPr>
                <w:snapToGrid w:val="0"/>
                <w:sz w:val="18"/>
              </w:rPr>
              <w:t>Years</w:t>
            </w:r>
          </w:p>
        </w:tc>
        <w:tc>
          <w:tcPr>
            <w:tcW w:w="3726"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spacing w:before="2" w:after="2"/>
              <w:ind w:right="113"/>
              <w:jc w:val="center"/>
              <w:rPr>
                <w:snapToGrid w:val="0"/>
                <w:sz w:val="18"/>
              </w:rPr>
            </w:pPr>
            <w:r>
              <w:rPr>
                <w:snapToGrid w:val="0"/>
                <w:sz w:val="18"/>
              </w:rPr>
              <w:t>On the way to work</w:t>
            </w:r>
          </w:p>
        </w:tc>
        <w:tc>
          <w:tcPr>
            <w:tcW w:w="3645"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spacing w:before="2" w:after="2"/>
              <w:ind w:right="113"/>
              <w:jc w:val="center"/>
              <w:rPr>
                <w:snapToGrid w:val="0"/>
                <w:sz w:val="18"/>
              </w:rPr>
            </w:pPr>
            <w:r>
              <w:rPr>
                <w:snapToGrid w:val="0"/>
                <w:sz w:val="18"/>
              </w:rPr>
              <w:t>Occupational diseases</w:t>
            </w:r>
          </w:p>
        </w:tc>
      </w:tr>
      <w:tr w:rsidR="00000000">
        <w:tblPrEx>
          <w:tblCellMar>
            <w:top w:w="0" w:type="dxa"/>
            <w:bottom w:w="0" w:type="dxa"/>
          </w:tblCellMar>
        </w:tblPrEx>
        <w:trPr>
          <w:trHeight w:val="250"/>
        </w:trPr>
        <w:tc>
          <w:tcPr>
            <w:tcW w:w="1119" w:type="dxa"/>
            <w:tcBorders>
              <w:left w:val="single" w:sz="4" w:space="0" w:color="auto"/>
              <w:bottom w:val="single" w:sz="4" w:space="0" w:color="auto"/>
              <w:right w:val="single" w:sz="2" w:space="0" w:color="auto"/>
            </w:tcBorders>
            <w:vAlign w:val="center"/>
          </w:tcPr>
          <w:p w:rsidR="00000000" w:rsidRDefault="00000000">
            <w:pPr>
              <w:spacing w:before="2" w:after="2"/>
              <w:jc w:val="center"/>
              <w:rPr>
                <w:snapToGrid w:val="0"/>
                <w:sz w:val="18"/>
              </w:rPr>
            </w:pPr>
          </w:p>
        </w:tc>
        <w:tc>
          <w:tcPr>
            <w:tcW w:w="866" w:type="dxa"/>
            <w:tcBorders>
              <w:left w:val="single" w:sz="2" w:space="0" w:color="auto"/>
              <w:bottom w:val="single" w:sz="4" w:space="0" w:color="auto"/>
            </w:tcBorders>
            <w:vAlign w:val="center"/>
          </w:tcPr>
          <w:p w:rsidR="00000000" w:rsidRDefault="00000000">
            <w:pPr>
              <w:spacing w:before="2" w:after="2"/>
              <w:jc w:val="center"/>
              <w:rPr>
                <w:snapToGrid w:val="0"/>
                <w:sz w:val="18"/>
              </w:rPr>
            </w:pPr>
          </w:p>
        </w:tc>
        <w:tc>
          <w:tcPr>
            <w:tcW w:w="85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 w:after="2"/>
              <w:ind w:right="113"/>
              <w:jc w:val="center"/>
              <w:rPr>
                <w:snapToGrid w:val="0"/>
                <w:sz w:val="18"/>
              </w:rPr>
            </w:pPr>
            <w:r>
              <w:rPr>
                <w:snapToGrid w:val="0"/>
                <w:sz w:val="18"/>
              </w:rPr>
              <w:t>Total</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 w:after="2"/>
              <w:ind w:right="113"/>
              <w:jc w:val="center"/>
              <w:rPr>
                <w:snapToGrid w:val="0"/>
                <w:sz w:val="18"/>
              </w:rPr>
            </w:pPr>
            <w:r>
              <w:rPr>
                <w:snapToGrid w:val="0"/>
                <w:sz w:val="18"/>
              </w:rPr>
              <w:t>Men</w:t>
            </w:r>
          </w:p>
        </w:tc>
        <w:tc>
          <w:tcPr>
            <w:tcW w:w="85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 w:after="2"/>
              <w:ind w:right="113"/>
              <w:jc w:val="center"/>
              <w:rPr>
                <w:snapToGrid w:val="0"/>
                <w:sz w:val="18"/>
              </w:rPr>
            </w:pPr>
            <w:r>
              <w:rPr>
                <w:snapToGrid w:val="0"/>
                <w:sz w:val="18"/>
              </w:rPr>
              <w:t>Women</w:t>
            </w:r>
          </w:p>
        </w:tc>
        <w:tc>
          <w:tcPr>
            <w:tcW w:w="1175"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 w:after="2"/>
              <w:ind w:right="113"/>
              <w:jc w:val="center"/>
              <w:rPr>
                <w:snapToGrid w:val="0"/>
                <w:sz w:val="18"/>
              </w:rPr>
            </w:pPr>
            <w:r>
              <w:rPr>
                <w:snapToGrid w:val="0"/>
                <w:sz w:val="18"/>
              </w:rPr>
              <w:t>Unknown*</w:t>
            </w:r>
          </w:p>
        </w:tc>
        <w:tc>
          <w:tcPr>
            <w:tcW w:w="81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 w:after="2"/>
              <w:ind w:right="113"/>
              <w:jc w:val="center"/>
              <w:rPr>
                <w:snapToGrid w:val="0"/>
                <w:sz w:val="18"/>
              </w:rPr>
            </w:pPr>
            <w:r>
              <w:rPr>
                <w:snapToGrid w:val="0"/>
                <w:sz w:val="18"/>
              </w:rPr>
              <w:t>Total</w:t>
            </w:r>
          </w:p>
        </w:tc>
        <w:tc>
          <w:tcPr>
            <w:tcW w:w="85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 w:after="2"/>
              <w:ind w:right="113"/>
              <w:jc w:val="center"/>
              <w:rPr>
                <w:snapToGrid w:val="0"/>
                <w:sz w:val="18"/>
              </w:rPr>
            </w:pPr>
            <w:r>
              <w:rPr>
                <w:snapToGrid w:val="0"/>
                <w:sz w:val="18"/>
              </w:rPr>
              <w:t>Men</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 w:after="2"/>
              <w:ind w:right="113"/>
              <w:jc w:val="center"/>
              <w:rPr>
                <w:snapToGrid w:val="0"/>
                <w:sz w:val="18"/>
              </w:rPr>
            </w:pPr>
            <w:r>
              <w:rPr>
                <w:snapToGrid w:val="0"/>
                <w:sz w:val="18"/>
              </w:rPr>
              <w:t>Women</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 w:after="2"/>
              <w:ind w:right="113"/>
              <w:jc w:val="center"/>
              <w:rPr>
                <w:snapToGrid w:val="0"/>
                <w:sz w:val="18"/>
              </w:rPr>
            </w:pPr>
            <w:r>
              <w:rPr>
                <w:snapToGrid w:val="0"/>
                <w:sz w:val="18"/>
              </w:rPr>
              <w:t>Unknown*</w:t>
            </w:r>
          </w:p>
        </w:tc>
      </w:tr>
      <w:tr w:rsidR="00000000">
        <w:tblPrEx>
          <w:tblCellMar>
            <w:top w:w="0" w:type="dxa"/>
            <w:bottom w:w="0" w:type="dxa"/>
          </w:tblCellMar>
        </w:tblPrEx>
        <w:trPr>
          <w:trHeight w:val="216"/>
        </w:trPr>
        <w:tc>
          <w:tcPr>
            <w:tcW w:w="1119" w:type="dxa"/>
            <w:tcBorders>
              <w:top w:val="single" w:sz="4" w:space="0" w:color="auto"/>
              <w:left w:val="single" w:sz="4" w:space="0" w:color="auto"/>
              <w:right w:val="single" w:sz="4" w:space="0" w:color="auto"/>
            </w:tcBorders>
            <w:vAlign w:val="center"/>
          </w:tcPr>
          <w:p w:rsidR="00000000" w:rsidRDefault="00000000">
            <w:pPr>
              <w:spacing w:before="2" w:after="2"/>
              <w:jc w:val="center"/>
              <w:rPr>
                <w:snapToGrid w:val="0"/>
                <w:sz w:val="18"/>
              </w:rPr>
            </w:pPr>
          </w:p>
        </w:tc>
        <w:tc>
          <w:tcPr>
            <w:tcW w:w="866" w:type="dxa"/>
            <w:tcBorders>
              <w:top w:val="single" w:sz="4" w:space="0" w:color="auto"/>
              <w:right w:val="single" w:sz="4" w:space="0" w:color="auto"/>
            </w:tcBorders>
            <w:vAlign w:val="center"/>
          </w:tcPr>
          <w:p w:rsidR="00000000" w:rsidRDefault="00000000">
            <w:pPr>
              <w:spacing w:before="2" w:after="2"/>
              <w:jc w:val="center"/>
              <w:rPr>
                <w:b/>
                <w:snapToGrid w:val="0"/>
                <w:sz w:val="18"/>
              </w:rPr>
            </w:pPr>
            <w:r>
              <w:rPr>
                <w:b/>
                <w:snapToGrid w:val="0"/>
                <w:sz w:val="18"/>
              </w:rPr>
              <w:t>1997</w:t>
            </w:r>
          </w:p>
        </w:tc>
        <w:tc>
          <w:tcPr>
            <w:tcW w:w="850" w:type="dxa"/>
            <w:tcBorders>
              <w:top w:val="single" w:sz="4" w:space="0" w:color="auto"/>
              <w:right w:val="single" w:sz="4" w:space="0" w:color="auto"/>
            </w:tcBorders>
            <w:vAlign w:val="center"/>
          </w:tcPr>
          <w:p w:rsidR="00000000" w:rsidRDefault="00000000">
            <w:pPr>
              <w:spacing w:before="2" w:after="2"/>
              <w:ind w:right="170"/>
              <w:jc w:val="right"/>
              <w:rPr>
                <w:b/>
                <w:snapToGrid w:val="0"/>
                <w:sz w:val="18"/>
              </w:rPr>
            </w:pPr>
            <w:r>
              <w:rPr>
                <w:b/>
                <w:snapToGrid w:val="0"/>
                <w:sz w:val="18"/>
              </w:rPr>
              <w:t>37 213</w:t>
            </w:r>
          </w:p>
        </w:tc>
        <w:tc>
          <w:tcPr>
            <w:tcW w:w="851" w:type="dxa"/>
            <w:tcBorders>
              <w:top w:val="single" w:sz="4" w:space="0" w:color="auto"/>
              <w:right w:val="single" w:sz="4" w:space="0" w:color="auto"/>
            </w:tcBorders>
            <w:vAlign w:val="center"/>
          </w:tcPr>
          <w:p w:rsidR="00000000" w:rsidRDefault="00000000">
            <w:pPr>
              <w:spacing w:before="2" w:after="2"/>
              <w:ind w:right="170"/>
              <w:jc w:val="right"/>
              <w:rPr>
                <w:b/>
                <w:snapToGrid w:val="0"/>
                <w:sz w:val="18"/>
              </w:rPr>
            </w:pPr>
            <w:r>
              <w:rPr>
                <w:b/>
                <w:snapToGrid w:val="0"/>
                <w:sz w:val="18"/>
              </w:rPr>
              <w:t>13 676</w:t>
            </w:r>
          </w:p>
        </w:tc>
        <w:tc>
          <w:tcPr>
            <w:tcW w:w="850" w:type="dxa"/>
            <w:tcBorders>
              <w:top w:val="single" w:sz="4" w:space="0" w:color="auto"/>
              <w:right w:val="single" w:sz="4" w:space="0" w:color="auto"/>
            </w:tcBorders>
            <w:vAlign w:val="center"/>
          </w:tcPr>
          <w:p w:rsidR="00000000" w:rsidRDefault="00000000">
            <w:pPr>
              <w:spacing w:before="2" w:after="2"/>
              <w:ind w:right="170"/>
              <w:jc w:val="right"/>
              <w:rPr>
                <w:b/>
                <w:snapToGrid w:val="0"/>
                <w:sz w:val="18"/>
              </w:rPr>
            </w:pPr>
            <w:r>
              <w:rPr>
                <w:b/>
                <w:snapToGrid w:val="0"/>
                <w:sz w:val="18"/>
              </w:rPr>
              <w:t>4 838</w:t>
            </w:r>
          </w:p>
        </w:tc>
        <w:tc>
          <w:tcPr>
            <w:tcW w:w="1175" w:type="dxa"/>
            <w:tcBorders>
              <w:top w:val="single" w:sz="4" w:space="0" w:color="auto"/>
              <w:right w:val="single" w:sz="4" w:space="0" w:color="auto"/>
            </w:tcBorders>
            <w:vAlign w:val="center"/>
          </w:tcPr>
          <w:p w:rsidR="00000000" w:rsidRDefault="00000000">
            <w:pPr>
              <w:spacing w:before="2" w:after="2"/>
              <w:ind w:right="294"/>
              <w:jc w:val="right"/>
              <w:rPr>
                <w:b/>
                <w:snapToGrid w:val="0"/>
                <w:sz w:val="18"/>
              </w:rPr>
            </w:pPr>
            <w:r>
              <w:rPr>
                <w:b/>
                <w:snapToGrid w:val="0"/>
                <w:sz w:val="18"/>
              </w:rPr>
              <w:t>18 699</w:t>
            </w:r>
          </w:p>
        </w:tc>
        <w:tc>
          <w:tcPr>
            <w:tcW w:w="810" w:type="dxa"/>
            <w:tcBorders>
              <w:top w:val="single" w:sz="4" w:space="0" w:color="auto"/>
              <w:right w:val="single" w:sz="4" w:space="0" w:color="auto"/>
            </w:tcBorders>
            <w:vAlign w:val="center"/>
          </w:tcPr>
          <w:p w:rsidR="00000000" w:rsidRDefault="00000000">
            <w:pPr>
              <w:spacing w:before="2" w:after="2"/>
              <w:ind w:right="170"/>
              <w:jc w:val="right"/>
              <w:rPr>
                <w:b/>
                <w:snapToGrid w:val="0"/>
                <w:sz w:val="18"/>
              </w:rPr>
            </w:pPr>
            <w:r>
              <w:rPr>
                <w:b/>
                <w:snapToGrid w:val="0"/>
                <w:sz w:val="18"/>
              </w:rPr>
              <w:t>36 648</w:t>
            </w:r>
          </w:p>
        </w:tc>
        <w:tc>
          <w:tcPr>
            <w:tcW w:w="850" w:type="dxa"/>
            <w:tcBorders>
              <w:top w:val="single" w:sz="4" w:space="0" w:color="auto"/>
              <w:right w:val="single" w:sz="4" w:space="0" w:color="auto"/>
            </w:tcBorders>
            <w:vAlign w:val="center"/>
          </w:tcPr>
          <w:p w:rsidR="00000000" w:rsidRDefault="00000000">
            <w:pPr>
              <w:spacing w:before="2" w:after="2"/>
              <w:ind w:right="170"/>
              <w:jc w:val="right"/>
              <w:rPr>
                <w:b/>
                <w:snapToGrid w:val="0"/>
                <w:sz w:val="18"/>
              </w:rPr>
            </w:pPr>
            <w:r>
              <w:rPr>
                <w:b/>
                <w:snapToGrid w:val="0"/>
                <w:sz w:val="18"/>
              </w:rPr>
              <w:t>6 068</w:t>
            </w:r>
          </w:p>
        </w:tc>
        <w:tc>
          <w:tcPr>
            <w:tcW w:w="851" w:type="dxa"/>
            <w:tcBorders>
              <w:top w:val="single" w:sz="4" w:space="0" w:color="auto"/>
              <w:right w:val="single" w:sz="4" w:space="0" w:color="auto"/>
            </w:tcBorders>
            <w:vAlign w:val="center"/>
          </w:tcPr>
          <w:p w:rsidR="00000000" w:rsidRDefault="00000000">
            <w:pPr>
              <w:spacing w:before="2" w:after="2"/>
              <w:ind w:right="170"/>
              <w:jc w:val="right"/>
              <w:rPr>
                <w:b/>
                <w:snapToGrid w:val="0"/>
                <w:sz w:val="18"/>
              </w:rPr>
            </w:pPr>
            <w:r>
              <w:rPr>
                <w:b/>
                <w:snapToGrid w:val="0"/>
                <w:sz w:val="18"/>
              </w:rPr>
              <w:t>11 848</w:t>
            </w:r>
          </w:p>
        </w:tc>
        <w:tc>
          <w:tcPr>
            <w:tcW w:w="1134" w:type="dxa"/>
            <w:tcBorders>
              <w:top w:val="single" w:sz="4" w:space="0" w:color="auto"/>
              <w:right w:val="single" w:sz="4" w:space="0" w:color="auto"/>
            </w:tcBorders>
            <w:vAlign w:val="center"/>
          </w:tcPr>
          <w:p w:rsidR="00000000" w:rsidRDefault="00000000">
            <w:pPr>
              <w:spacing w:before="2" w:after="2"/>
              <w:ind w:right="283"/>
              <w:jc w:val="right"/>
              <w:rPr>
                <w:b/>
                <w:snapToGrid w:val="0"/>
                <w:sz w:val="18"/>
              </w:rPr>
            </w:pPr>
            <w:r>
              <w:rPr>
                <w:b/>
                <w:snapToGrid w:val="0"/>
                <w:sz w:val="18"/>
              </w:rPr>
              <w:t>18 732</w:t>
            </w:r>
          </w:p>
        </w:tc>
      </w:tr>
      <w:tr w:rsidR="00000000">
        <w:tblPrEx>
          <w:tblCellMar>
            <w:top w:w="0" w:type="dxa"/>
            <w:bottom w:w="0" w:type="dxa"/>
          </w:tblCellMar>
        </w:tblPrEx>
        <w:trPr>
          <w:trHeight w:val="221"/>
        </w:trPr>
        <w:tc>
          <w:tcPr>
            <w:tcW w:w="1119" w:type="dxa"/>
            <w:tcBorders>
              <w:left w:val="single" w:sz="4" w:space="0" w:color="auto"/>
              <w:right w:val="single" w:sz="4" w:space="0" w:color="auto"/>
            </w:tcBorders>
            <w:vAlign w:val="center"/>
          </w:tcPr>
          <w:p w:rsidR="00000000" w:rsidRDefault="00000000">
            <w:pPr>
              <w:spacing w:before="2" w:after="2"/>
              <w:jc w:val="center"/>
              <w:rPr>
                <w:b/>
                <w:snapToGrid w:val="0"/>
                <w:sz w:val="18"/>
              </w:rPr>
            </w:pPr>
            <w:r>
              <w:rPr>
                <w:b/>
                <w:snapToGrid w:val="0"/>
                <w:sz w:val="18"/>
              </w:rPr>
              <w:t>Total</w:t>
            </w:r>
          </w:p>
        </w:tc>
        <w:tc>
          <w:tcPr>
            <w:tcW w:w="866" w:type="dxa"/>
            <w:tcBorders>
              <w:right w:val="single" w:sz="4" w:space="0" w:color="auto"/>
            </w:tcBorders>
            <w:vAlign w:val="center"/>
          </w:tcPr>
          <w:p w:rsidR="00000000" w:rsidRDefault="00000000">
            <w:pPr>
              <w:spacing w:before="2" w:after="2"/>
              <w:jc w:val="center"/>
              <w:rPr>
                <w:b/>
                <w:snapToGrid w:val="0"/>
                <w:sz w:val="18"/>
              </w:rPr>
            </w:pPr>
            <w:r>
              <w:rPr>
                <w:b/>
                <w:snapToGrid w:val="0"/>
                <w:sz w:val="18"/>
              </w:rPr>
              <w:t>1998</w:t>
            </w:r>
          </w:p>
        </w:tc>
        <w:tc>
          <w:tcPr>
            <w:tcW w:w="850" w:type="dxa"/>
            <w:tcBorders>
              <w:right w:val="single" w:sz="4" w:space="0" w:color="auto"/>
            </w:tcBorders>
            <w:vAlign w:val="center"/>
          </w:tcPr>
          <w:p w:rsidR="00000000" w:rsidRDefault="00000000">
            <w:pPr>
              <w:spacing w:before="2" w:after="2"/>
              <w:ind w:right="170"/>
              <w:jc w:val="right"/>
              <w:rPr>
                <w:b/>
                <w:snapToGrid w:val="0"/>
                <w:sz w:val="18"/>
              </w:rPr>
            </w:pPr>
            <w:r>
              <w:rPr>
                <w:b/>
                <w:snapToGrid w:val="0"/>
                <w:sz w:val="18"/>
              </w:rPr>
              <w:t>36 114</w:t>
            </w:r>
          </w:p>
        </w:tc>
        <w:tc>
          <w:tcPr>
            <w:tcW w:w="851" w:type="dxa"/>
            <w:tcBorders>
              <w:right w:val="single" w:sz="4" w:space="0" w:color="auto"/>
            </w:tcBorders>
            <w:vAlign w:val="center"/>
          </w:tcPr>
          <w:p w:rsidR="00000000" w:rsidRDefault="00000000">
            <w:pPr>
              <w:spacing w:before="2" w:after="2"/>
              <w:ind w:right="170"/>
              <w:jc w:val="right"/>
              <w:rPr>
                <w:b/>
                <w:snapToGrid w:val="0"/>
                <w:sz w:val="18"/>
              </w:rPr>
            </w:pPr>
            <w:r>
              <w:rPr>
                <w:b/>
                <w:snapToGrid w:val="0"/>
                <w:sz w:val="18"/>
              </w:rPr>
              <w:t>23 485</w:t>
            </w:r>
          </w:p>
        </w:tc>
        <w:tc>
          <w:tcPr>
            <w:tcW w:w="850" w:type="dxa"/>
            <w:tcBorders>
              <w:right w:val="single" w:sz="4" w:space="0" w:color="auto"/>
            </w:tcBorders>
            <w:vAlign w:val="center"/>
          </w:tcPr>
          <w:p w:rsidR="00000000" w:rsidRDefault="00000000">
            <w:pPr>
              <w:spacing w:before="2" w:after="2"/>
              <w:ind w:right="170"/>
              <w:jc w:val="right"/>
              <w:rPr>
                <w:b/>
                <w:snapToGrid w:val="0"/>
                <w:sz w:val="18"/>
              </w:rPr>
            </w:pPr>
            <w:r>
              <w:rPr>
                <w:b/>
                <w:snapToGrid w:val="0"/>
                <w:sz w:val="18"/>
              </w:rPr>
              <w:t>9 851</w:t>
            </w:r>
          </w:p>
        </w:tc>
        <w:tc>
          <w:tcPr>
            <w:tcW w:w="1175" w:type="dxa"/>
            <w:tcBorders>
              <w:right w:val="single" w:sz="4" w:space="0" w:color="auto"/>
            </w:tcBorders>
            <w:vAlign w:val="center"/>
          </w:tcPr>
          <w:p w:rsidR="00000000" w:rsidRDefault="00000000">
            <w:pPr>
              <w:spacing w:before="2" w:after="2"/>
              <w:ind w:right="294"/>
              <w:jc w:val="right"/>
              <w:rPr>
                <w:b/>
                <w:snapToGrid w:val="0"/>
                <w:sz w:val="18"/>
              </w:rPr>
            </w:pPr>
            <w:r>
              <w:rPr>
                <w:b/>
                <w:snapToGrid w:val="0"/>
                <w:sz w:val="18"/>
              </w:rPr>
              <w:t>2 778</w:t>
            </w:r>
          </w:p>
        </w:tc>
        <w:tc>
          <w:tcPr>
            <w:tcW w:w="810" w:type="dxa"/>
            <w:tcBorders>
              <w:right w:val="single" w:sz="4" w:space="0" w:color="auto"/>
            </w:tcBorders>
            <w:vAlign w:val="center"/>
          </w:tcPr>
          <w:p w:rsidR="00000000" w:rsidRDefault="00000000">
            <w:pPr>
              <w:spacing w:before="2" w:after="2"/>
              <w:ind w:right="170"/>
              <w:jc w:val="right"/>
              <w:rPr>
                <w:b/>
                <w:snapToGrid w:val="0"/>
                <w:sz w:val="18"/>
              </w:rPr>
            </w:pPr>
            <w:r>
              <w:rPr>
                <w:b/>
                <w:snapToGrid w:val="0"/>
                <w:sz w:val="18"/>
              </w:rPr>
              <w:t>30 489</w:t>
            </w:r>
          </w:p>
        </w:tc>
        <w:tc>
          <w:tcPr>
            <w:tcW w:w="850" w:type="dxa"/>
            <w:tcBorders>
              <w:right w:val="single" w:sz="4" w:space="0" w:color="auto"/>
            </w:tcBorders>
            <w:vAlign w:val="center"/>
          </w:tcPr>
          <w:p w:rsidR="00000000" w:rsidRDefault="00000000">
            <w:pPr>
              <w:spacing w:before="2" w:after="2"/>
              <w:ind w:right="170"/>
              <w:jc w:val="right"/>
              <w:rPr>
                <w:b/>
                <w:snapToGrid w:val="0"/>
                <w:sz w:val="18"/>
              </w:rPr>
            </w:pPr>
            <w:r>
              <w:rPr>
                <w:b/>
                <w:snapToGrid w:val="0"/>
                <w:sz w:val="18"/>
              </w:rPr>
              <w:t>14 862</w:t>
            </w:r>
          </w:p>
        </w:tc>
        <w:tc>
          <w:tcPr>
            <w:tcW w:w="851" w:type="dxa"/>
            <w:tcBorders>
              <w:right w:val="single" w:sz="4" w:space="0" w:color="auto"/>
            </w:tcBorders>
            <w:vAlign w:val="center"/>
          </w:tcPr>
          <w:p w:rsidR="00000000" w:rsidRDefault="00000000">
            <w:pPr>
              <w:spacing w:before="2" w:after="2"/>
              <w:ind w:right="170"/>
              <w:jc w:val="right"/>
              <w:rPr>
                <w:b/>
                <w:snapToGrid w:val="0"/>
                <w:sz w:val="18"/>
              </w:rPr>
            </w:pPr>
            <w:r>
              <w:rPr>
                <w:b/>
                <w:snapToGrid w:val="0"/>
                <w:sz w:val="18"/>
              </w:rPr>
              <w:t>13 678</w:t>
            </w:r>
          </w:p>
        </w:tc>
        <w:tc>
          <w:tcPr>
            <w:tcW w:w="1134" w:type="dxa"/>
            <w:tcBorders>
              <w:right w:val="single" w:sz="4" w:space="0" w:color="auto"/>
            </w:tcBorders>
            <w:vAlign w:val="center"/>
          </w:tcPr>
          <w:p w:rsidR="00000000" w:rsidRDefault="00000000">
            <w:pPr>
              <w:spacing w:before="2" w:after="2"/>
              <w:ind w:right="283"/>
              <w:jc w:val="right"/>
              <w:rPr>
                <w:b/>
                <w:snapToGrid w:val="0"/>
                <w:sz w:val="18"/>
              </w:rPr>
            </w:pPr>
            <w:r>
              <w:rPr>
                <w:b/>
                <w:snapToGrid w:val="0"/>
                <w:sz w:val="18"/>
              </w:rPr>
              <w:t>1 949</w:t>
            </w:r>
          </w:p>
        </w:tc>
      </w:tr>
      <w:tr w:rsidR="00000000">
        <w:tblPrEx>
          <w:tblCellMar>
            <w:top w:w="0" w:type="dxa"/>
            <w:bottom w:w="0" w:type="dxa"/>
          </w:tblCellMar>
        </w:tblPrEx>
        <w:trPr>
          <w:trHeight w:val="221"/>
        </w:trPr>
        <w:tc>
          <w:tcPr>
            <w:tcW w:w="1119" w:type="dxa"/>
            <w:tcBorders>
              <w:left w:val="single" w:sz="4" w:space="0" w:color="auto"/>
              <w:bottom w:val="single" w:sz="4" w:space="0" w:color="auto"/>
              <w:right w:val="single" w:sz="4" w:space="0" w:color="auto"/>
            </w:tcBorders>
            <w:vAlign w:val="center"/>
          </w:tcPr>
          <w:p w:rsidR="00000000" w:rsidRDefault="00000000">
            <w:pPr>
              <w:spacing w:before="2" w:after="2"/>
              <w:jc w:val="center"/>
              <w:rPr>
                <w:b/>
                <w:snapToGrid w:val="0"/>
                <w:sz w:val="18"/>
              </w:rPr>
            </w:pPr>
          </w:p>
        </w:tc>
        <w:tc>
          <w:tcPr>
            <w:tcW w:w="866" w:type="dxa"/>
            <w:tcBorders>
              <w:bottom w:val="single" w:sz="4" w:space="0" w:color="auto"/>
              <w:right w:val="single" w:sz="4" w:space="0" w:color="auto"/>
            </w:tcBorders>
            <w:vAlign w:val="center"/>
          </w:tcPr>
          <w:p w:rsidR="00000000" w:rsidRDefault="00000000">
            <w:pPr>
              <w:spacing w:before="2" w:after="2"/>
              <w:jc w:val="center"/>
              <w:rPr>
                <w:b/>
                <w:snapToGrid w:val="0"/>
                <w:sz w:val="18"/>
              </w:rPr>
            </w:pPr>
            <w:r>
              <w:rPr>
                <w:b/>
                <w:snapToGrid w:val="0"/>
                <w:sz w:val="18"/>
              </w:rPr>
              <w:t>1999</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b/>
                <w:snapToGrid w:val="0"/>
                <w:sz w:val="18"/>
              </w:rPr>
            </w:pPr>
            <w:r>
              <w:rPr>
                <w:b/>
                <w:snapToGrid w:val="0"/>
                <w:sz w:val="18"/>
              </w:rPr>
              <w:t>36 716</w:t>
            </w:r>
          </w:p>
        </w:tc>
        <w:tc>
          <w:tcPr>
            <w:tcW w:w="851" w:type="dxa"/>
            <w:tcBorders>
              <w:bottom w:val="single" w:sz="4" w:space="0" w:color="auto"/>
              <w:right w:val="single" w:sz="4" w:space="0" w:color="auto"/>
            </w:tcBorders>
            <w:vAlign w:val="center"/>
          </w:tcPr>
          <w:p w:rsidR="00000000" w:rsidRDefault="00000000">
            <w:pPr>
              <w:spacing w:before="2" w:after="2"/>
              <w:ind w:right="170"/>
              <w:jc w:val="right"/>
              <w:rPr>
                <w:b/>
                <w:snapToGrid w:val="0"/>
                <w:sz w:val="18"/>
              </w:rPr>
            </w:pPr>
            <w:r>
              <w:rPr>
                <w:b/>
                <w:snapToGrid w:val="0"/>
                <w:sz w:val="18"/>
              </w:rPr>
              <w:t>25 548</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b/>
                <w:snapToGrid w:val="0"/>
                <w:sz w:val="18"/>
              </w:rPr>
            </w:pPr>
            <w:r>
              <w:rPr>
                <w:b/>
                <w:snapToGrid w:val="0"/>
                <w:sz w:val="18"/>
              </w:rPr>
              <w:t>11 139</w:t>
            </w:r>
          </w:p>
        </w:tc>
        <w:tc>
          <w:tcPr>
            <w:tcW w:w="1175" w:type="dxa"/>
            <w:tcBorders>
              <w:bottom w:val="single" w:sz="4" w:space="0" w:color="auto"/>
              <w:right w:val="single" w:sz="4" w:space="0" w:color="auto"/>
            </w:tcBorders>
            <w:vAlign w:val="center"/>
          </w:tcPr>
          <w:p w:rsidR="00000000" w:rsidRDefault="00000000">
            <w:pPr>
              <w:spacing w:before="2" w:after="2"/>
              <w:ind w:right="294"/>
              <w:jc w:val="right"/>
              <w:rPr>
                <w:b/>
                <w:snapToGrid w:val="0"/>
                <w:sz w:val="18"/>
              </w:rPr>
            </w:pPr>
            <w:r>
              <w:rPr>
                <w:b/>
                <w:snapToGrid w:val="0"/>
                <w:sz w:val="18"/>
              </w:rPr>
              <w:t>29</w:t>
            </w:r>
          </w:p>
        </w:tc>
        <w:tc>
          <w:tcPr>
            <w:tcW w:w="810" w:type="dxa"/>
            <w:tcBorders>
              <w:bottom w:val="single" w:sz="4" w:space="0" w:color="auto"/>
              <w:right w:val="single" w:sz="4" w:space="0" w:color="auto"/>
            </w:tcBorders>
            <w:vAlign w:val="center"/>
          </w:tcPr>
          <w:p w:rsidR="00000000" w:rsidRDefault="00000000">
            <w:pPr>
              <w:spacing w:before="2" w:after="2"/>
              <w:ind w:right="170"/>
              <w:jc w:val="right"/>
              <w:rPr>
                <w:b/>
                <w:snapToGrid w:val="0"/>
                <w:sz w:val="18"/>
              </w:rPr>
            </w:pPr>
            <w:r>
              <w:rPr>
                <w:b/>
                <w:snapToGrid w:val="0"/>
                <w:sz w:val="18"/>
              </w:rPr>
              <w:t>22 032</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b/>
                <w:snapToGrid w:val="0"/>
                <w:sz w:val="18"/>
              </w:rPr>
            </w:pPr>
            <w:r>
              <w:rPr>
                <w:b/>
                <w:snapToGrid w:val="0"/>
                <w:sz w:val="18"/>
              </w:rPr>
              <w:t>11 886</w:t>
            </w:r>
          </w:p>
        </w:tc>
        <w:tc>
          <w:tcPr>
            <w:tcW w:w="851" w:type="dxa"/>
            <w:tcBorders>
              <w:bottom w:val="single" w:sz="4" w:space="0" w:color="auto"/>
              <w:right w:val="single" w:sz="4" w:space="0" w:color="auto"/>
            </w:tcBorders>
            <w:vAlign w:val="center"/>
          </w:tcPr>
          <w:p w:rsidR="00000000" w:rsidRDefault="00000000">
            <w:pPr>
              <w:spacing w:before="2" w:after="2"/>
              <w:ind w:right="170"/>
              <w:jc w:val="right"/>
              <w:rPr>
                <w:b/>
                <w:snapToGrid w:val="0"/>
                <w:sz w:val="18"/>
              </w:rPr>
            </w:pPr>
            <w:r>
              <w:rPr>
                <w:b/>
                <w:snapToGrid w:val="0"/>
                <w:sz w:val="18"/>
              </w:rPr>
              <w:t>10 136</w:t>
            </w:r>
          </w:p>
        </w:tc>
        <w:tc>
          <w:tcPr>
            <w:tcW w:w="1134" w:type="dxa"/>
            <w:tcBorders>
              <w:bottom w:val="single" w:sz="4" w:space="0" w:color="auto"/>
              <w:right w:val="single" w:sz="4" w:space="0" w:color="auto"/>
            </w:tcBorders>
            <w:vAlign w:val="center"/>
          </w:tcPr>
          <w:p w:rsidR="00000000" w:rsidRDefault="00000000">
            <w:pPr>
              <w:spacing w:before="2" w:after="2"/>
              <w:ind w:right="283"/>
              <w:jc w:val="right"/>
              <w:rPr>
                <w:b/>
                <w:snapToGrid w:val="0"/>
                <w:sz w:val="18"/>
              </w:rPr>
            </w:pPr>
            <w:r>
              <w:rPr>
                <w:b/>
                <w:snapToGrid w:val="0"/>
                <w:sz w:val="18"/>
              </w:rPr>
              <w:t>10</w:t>
            </w:r>
          </w:p>
        </w:tc>
      </w:tr>
      <w:tr w:rsidR="00000000">
        <w:tblPrEx>
          <w:tblCellMar>
            <w:top w:w="0" w:type="dxa"/>
            <w:bottom w:w="0" w:type="dxa"/>
          </w:tblCellMar>
        </w:tblPrEx>
        <w:trPr>
          <w:trHeight w:val="221"/>
        </w:trPr>
        <w:tc>
          <w:tcPr>
            <w:tcW w:w="1119" w:type="dxa"/>
            <w:tcBorders>
              <w:top w:val="single" w:sz="4" w:space="0" w:color="auto"/>
              <w:left w:val="single" w:sz="4" w:space="0" w:color="auto"/>
              <w:right w:val="single" w:sz="4" w:space="0" w:color="auto"/>
            </w:tcBorders>
            <w:vAlign w:val="center"/>
          </w:tcPr>
          <w:p w:rsidR="00000000" w:rsidRDefault="00000000">
            <w:pPr>
              <w:spacing w:before="2" w:after="2"/>
              <w:jc w:val="center"/>
              <w:rPr>
                <w:b/>
                <w:snapToGrid w:val="0"/>
                <w:sz w:val="18"/>
              </w:rPr>
            </w:pPr>
            <w:r>
              <w:rPr>
                <w:snapToGrid w:val="0"/>
                <w:sz w:val="18"/>
              </w:rPr>
              <w:t>Up until</w:t>
            </w:r>
          </w:p>
        </w:tc>
        <w:tc>
          <w:tcPr>
            <w:tcW w:w="866" w:type="dxa"/>
            <w:tcBorders>
              <w:top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1997</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2 620</w:t>
            </w:r>
          </w:p>
        </w:tc>
        <w:tc>
          <w:tcPr>
            <w:tcW w:w="851"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1 062</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226</w:t>
            </w:r>
          </w:p>
        </w:tc>
        <w:tc>
          <w:tcPr>
            <w:tcW w:w="1175" w:type="dxa"/>
            <w:tcBorders>
              <w:top w:val="single" w:sz="4" w:space="0" w:color="auto"/>
              <w:right w:val="single" w:sz="4" w:space="0" w:color="auto"/>
            </w:tcBorders>
            <w:vAlign w:val="center"/>
          </w:tcPr>
          <w:p w:rsidR="00000000" w:rsidRDefault="00000000">
            <w:pPr>
              <w:spacing w:before="2" w:after="2"/>
              <w:ind w:right="294"/>
              <w:jc w:val="right"/>
              <w:rPr>
                <w:snapToGrid w:val="0"/>
                <w:sz w:val="18"/>
              </w:rPr>
            </w:pPr>
            <w:r>
              <w:rPr>
                <w:snapToGrid w:val="0"/>
                <w:sz w:val="18"/>
              </w:rPr>
              <w:t>1 332</w:t>
            </w:r>
          </w:p>
        </w:tc>
        <w:tc>
          <w:tcPr>
            <w:tcW w:w="81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788</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111</w:t>
            </w:r>
          </w:p>
        </w:tc>
        <w:tc>
          <w:tcPr>
            <w:tcW w:w="851"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356</w:t>
            </w:r>
          </w:p>
        </w:tc>
        <w:tc>
          <w:tcPr>
            <w:tcW w:w="1134" w:type="dxa"/>
            <w:tcBorders>
              <w:top w:val="single" w:sz="4" w:space="0" w:color="auto"/>
              <w:right w:val="single" w:sz="4" w:space="0" w:color="auto"/>
            </w:tcBorders>
            <w:vAlign w:val="center"/>
          </w:tcPr>
          <w:p w:rsidR="00000000" w:rsidRDefault="00000000">
            <w:pPr>
              <w:spacing w:before="2" w:after="2"/>
              <w:ind w:right="283"/>
              <w:jc w:val="right"/>
              <w:rPr>
                <w:snapToGrid w:val="0"/>
                <w:sz w:val="18"/>
              </w:rPr>
            </w:pPr>
            <w:r>
              <w:rPr>
                <w:snapToGrid w:val="0"/>
                <w:sz w:val="18"/>
              </w:rPr>
              <w:t>321</w:t>
            </w:r>
          </w:p>
        </w:tc>
      </w:tr>
      <w:tr w:rsidR="00000000">
        <w:tblPrEx>
          <w:tblCellMar>
            <w:top w:w="0" w:type="dxa"/>
            <w:bottom w:w="0" w:type="dxa"/>
          </w:tblCellMar>
        </w:tblPrEx>
        <w:trPr>
          <w:trHeight w:val="221"/>
        </w:trPr>
        <w:tc>
          <w:tcPr>
            <w:tcW w:w="1119" w:type="dxa"/>
            <w:tcBorders>
              <w:left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19 years</w:t>
            </w:r>
          </w:p>
        </w:tc>
        <w:tc>
          <w:tcPr>
            <w:tcW w:w="866" w:type="dxa"/>
            <w:tcBorders>
              <w:right w:val="single" w:sz="4" w:space="0" w:color="auto"/>
            </w:tcBorders>
            <w:vAlign w:val="center"/>
          </w:tcPr>
          <w:p w:rsidR="00000000" w:rsidRDefault="00000000">
            <w:pPr>
              <w:spacing w:before="2" w:after="2"/>
              <w:jc w:val="center"/>
              <w:rPr>
                <w:snapToGrid w:val="0"/>
                <w:sz w:val="18"/>
              </w:rPr>
            </w:pPr>
            <w:r>
              <w:rPr>
                <w:snapToGrid w:val="0"/>
                <w:sz w:val="18"/>
              </w:rPr>
              <w:t>1998</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2 446</w:t>
            </w:r>
          </w:p>
        </w:tc>
        <w:tc>
          <w:tcPr>
            <w:tcW w:w="851"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1 802</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443</w:t>
            </w:r>
          </w:p>
        </w:tc>
        <w:tc>
          <w:tcPr>
            <w:tcW w:w="1175" w:type="dxa"/>
            <w:tcBorders>
              <w:right w:val="single" w:sz="4" w:space="0" w:color="auto"/>
            </w:tcBorders>
            <w:vAlign w:val="center"/>
          </w:tcPr>
          <w:p w:rsidR="00000000" w:rsidRDefault="00000000">
            <w:pPr>
              <w:spacing w:before="2" w:after="2"/>
              <w:ind w:right="294"/>
              <w:jc w:val="right"/>
              <w:rPr>
                <w:snapToGrid w:val="0"/>
                <w:sz w:val="18"/>
              </w:rPr>
            </w:pPr>
            <w:r>
              <w:rPr>
                <w:snapToGrid w:val="0"/>
                <w:sz w:val="18"/>
              </w:rPr>
              <w:t>201</w:t>
            </w:r>
          </w:p>
        </w:tc>
        <w:tc>
          <w:tcPr>
            <w:tcW w:w="81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730</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254</w:t>
            </w:r>
          </w:p>
        </w:tc>
        <w:tc>
          <w:tcPr>
            <w:tcW w:w="851"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443</w:t>
            </w:r>
          </w:p>
        </w:tc>
        <w:tc>
          <w:tcPr>
            <w:tcW w:w="1134" w:type="dxa"/>
            <w:tcBorders>
              <w:right w:val="single" w:sz="4" w:space="0" w:color="auto"/>
            </w:tcBorders>
            <w:vAlign w:val="center"/>
          </w:tcPr>
          <w:p w:rsidR="00000000" w:rsidRDefault="00000000">
            <w:pPr>
              <w:spacing w:before="2" w:after="2"/>
              <w:ind w:right="283"/>
              <w:jc w:val="right"/>
              <w:rPr>
                <w:snapToGrid w:val="0"/>
                <w:sz w:val="18"/>
              </w:rPr>
            </w:pPr>
            <w:r>
              <w:rPr>
                <w:snapToGrid w:val="0"/>
                <w:sz w:val="18"/>
              </w:rPr>
              <w:t>33</w:t>
            </w:r>
          </w:p>
        </w:tc>
      </w:tr>
      <w:tr w:rsidR="00000000">
        <w:tblPrEx>
          <w:tblCellMar>
            <w:top w:w="0" w:type="dxa"/>
            <w:bottom w:w="0" w:type="dxa"/>
          </w:tblCellMar>
        </w:tblPrEx>
        <w:trPr>
          <w:trHeight w:val="221"/>
        </w:trPr>
        <w:tc>
          <w:tcPr>
            <w:tcW w:w="1119" w:type="dxa"/>
            <w:tcBorders>
              <w:left w:val="single" w:sz="4" w:space="0" w:color="auto"/>
              <w:bottom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of age</w:t>
            </w:r>
          </w:p>
        </w:tc>
        <w:tc>
          <w:tcPr>
            <w:tcW w:w="866" w:type="dxa"/>
            <w:tcBorders>
              <w:bottom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1999</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2 365</w:t>
            </w:r>
          </w:p>
        </w:tc>
        <w:tc>
          <w:tcPr>
            <w:tcW w:w="851"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1 834</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527</w:t>
            </w:r>
          </w:p>
        </w:tc>
        <w:tc>
          <w:tcPr>
            <w:tcW w:w="1175" w:type="dxa"/>
            <w:tcBorders>
              <w:bottom w:val="single" w:sz="4" w:space="0" w:color="auto"/>
              <w:right w:val="single" w:sz="4" w:space="0" w:color="auto"/>
            </w:tcBorders>
            <w:vAlign w:val="center"/>
          </w:tcPr>
          <w:p w:rsidR="00000000" w:rsidRDefault="00000000">
            <w:pPr>
              <w:spacing w:before="2" w:after="2"/>
              <w:ind w:right="294"/>
              <w:jc w:val="right"/>
              <w:rPr>
                <w:snapToGrid w:val="0"/>
                <w:sz w:val="18"/>
              </w:rPr>
            </w:pPr>
            <w:r>
              <w:rPr>
                <w:snapToGrid w:val="0"/>
                <w:sz w:val="18"/>
              </w:rPr>
              <w:t>4</w:t>
            </w:r>
          </w:p>
        </w:tc>
        <w:tc>
          <w:tcPr>
            <w:tcW w:w="81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408</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128</w:t>
            </w:r>
          </w:p>
        </w:tc>
        <w:tc>
          <w:tcPr>
            <w:tcW w:w="851"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280</w:t>
            </w:r>
          </w:p>
        </w:tc>
        <w:tc>
          <w:tcPr>
            <w:tcW w:w="1134" w:type="dxa"/>
            <w:tcBorders>
              <w:bottom w:val="single" w:sz="4" w:space="0" w:color="auto"/>
              <w:right w:val="single" w:sz="4" w:space="0" w:color="auto"/>
            </w:tcBorders>
            <w:vAlign w:val="center"/>
          </w:tcPr>
          <w:p w:rsidR="00000000" w:rsidRDefault="00000000">
            <w:pPr>
              <w:spacing w:before="2" w:after="2"/>
              <w:ind w:right="283"/>
              <w:jc w:val="right"/>
              <w:rPr>
                <w:snapToGrid w:val="0"/>
                <w:sz w:val="18"/>
              </w:rPr>
            </w:pPr>
            <w:r>
              <w:rPr>
                <w:snapToGrid w:val="0"/>
                <w:sz w:val="18"/>
              </w:rPr>
              <w:noBreakHyphen/>
            </w:r>
          </w:p>
        </w:tc>
      </w:tr>
      <w:tr w:rsidR="00000000">
        <w:tblPrEx>
          <w:tblCellMar>
            <w:top w:w="0" w:type="dxa"/>
            <w:bottom w:w="0" w:type="dxa"/>
          </w:tblCellMar>
        </w:tblPrEx>
        <w:trPr>
          <w:trHeight w:val="221"/>
        </w:trPr>
        <w:tc>
          <w:tcPr>
            <w:tcW w:w="1119" w:type="dxa"/>
            <w:tcBorders>
              <w:top w:val="single" w:sz="4" w:space="0" w:color="auto"/>
              <w:left w:val="single" w:sz="4" w:space="0" w:color="auto"/>
              <w:right w:val="single" w:sz="4" w:space="0" w:color="auto"/>
            </w:tcBorders>
            <w:vAlign w:val="center"/>
          </w:tcPr>
          <w:p w:rsidR="00000000" w:rsidRDefault="00000000">
            <w:pPr>
              <w:spacing w:before="2" w:after="2"/>
              <w:jc w:val="center"/>
              <w:rPr>
                <w:b/>
                <w:snapToGrid w:val="0"/>
                <w:sz w:val="18"/>
              </w:rPr>
            </w:pPr>
            <w:r>
              <w:rPr>
                <w:snapToGrid w:val="0"/>
                <w:sz w:val="18"/>
              </w:rPr>
              <w:t xml:space="preserve">Ages 20 </w:t>
            </w:r>
          </w:p>
        </w:tc>
        <w:tc>
          <w:tcPr>
            <w:tcW w:w="866" w:type="dxa"/>
            <w:tcBorders>
              <w:top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1997</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6 414</w:t>
            </w:r>
          </w:p>
        </w:tc>
        <w:tc>
          <w:tcPr>
            <w:tcW w:w="851"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2 418</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610</w:t>
            </w:r>
          </w:p>
        </w:tc>
        <w:tc>
          <w:tcPr>
            <w:tcW w:w="1175" w:type="dxa"/>
            <w:tcBorders>
              <w:top w:val="single" w:sz="4" w:space="0" w:color="auto"/>
              <w:right w:val="single" w:sz="4" w:space="0" w:color="auto"/>
            </w:tcBorders>
            <w:vAlign w:val="center"/>
          </w:tcPr>
          <w:p w:rsidR="00000000" w:rsidRDefault="00000000">
            <w:pPr>
              <w:spacing w:before="2" w:after="2"/>
              <w:ind w:right="294"/>
              <w:jc w:val="right"/>
              <w:rPr>
                <w:snapToGrid w:val="0"/>
                <w:sz w:val="18"/>
              </w:rPr>
            </w:pPr>
            <w:r>
              <w:rPr>
                <w:snapToGrid w:val="0"/>
                <w:sz w:val="18"/>
              </w:rPr>
              <w:t>3 386</w:t>
            </w:r>
          </w:p>
        </w:tc>
        <w:tc>
          <w:tcPr>
            <w:tcW w:w="81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3 308</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553</w:t>
            </w:r>
          </w:p>
        </w:tc>
        <w:tc>
          <w:tcPr>
            <w:tcW w:w="851"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1 510</w:t>
            </w:r>
          </w:p>
        </w:tc>
        <w:tc>
          <w:tcPr>
            <w:tcW w:w="1134" w:type="dxa"/>
            <w:tcBorders>
              <w:top w:val="single" w:sz="4" w:space="0" w:color="auto"/>
              <w:right w:val="single" w:sz="4" w:space="0" w:color="auto"/>
            </w:tcBorders>
            <w:vAlign w:val="center"/>
          </w:tcPr>
          <w:p w:rsidR="00000000" w:rsidRDefault="00000000">
            <w:pPr>
              <w:spacing w:before="2" w:after="2"/>
              <w:ind w:right="283"/>
              <w:jc w:val="right"/>
              <w:rPr>
                <w:snapToGrid w:val="0"/>
                <w:sz w:val="18"/>
              </w:rPr>
            </w:pPr>
            <w:r>
              <w:rPr>
                <w:snapToGrid w:val="0"/>
                <w:sz w:val="18"/>
              </w:rPr>
              <w:t>1 245</w:t>
            </w:r>
          </w:p>
        </w:tc>
      </w:tr>
      <w:tr w:rsidR="00000000">
        <w:tblPrEx>
          <w:tblCellMar>
            <w:top w:w="0" w:type="dxa"/>
            <w:bottom w:w="0" w:type="dxa"/>
          </w:tblCellMar>
        </w:tblPrEx>
        <w:trPr>
          <w:trHeight w:val="221"/>
        </w:trPr>
        <w:tc>
          <w:tcPr>
            <w:tcW w:w="1119" w:type="dxa"/>
            <w:tcBorders>
              <w:left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to 24</w:t>
            </w:r>
          </w:p>
        </w:tc>
        <w:tc>
          <w:tcPr>
            <w:tcW w:w="866" w:type="dxa"/>
            <w:tcBorders>
              <w:right w:val="single" w:sz="4" w:space="0" w:color="auto"/>
            </w:tcBorders>
            <w:vAlign w:val="center"/>
          </w:tcPr>
          <w:p w:rsidR="00000000" w:rsidRDefault="00000000">
            <w:pPr>
              <w:spacing w:before="2" w:after="2"/>
              <w:jc w:val="center"/>
              <w:rPr>
                <w:snapToGrid w:val="0"/>
                <w:sz w:val="18"/>
              </w:rPr>
            </w:pPr>
            <w:r>
              <w:rPr>
                <w:snapToGrid w:val="0"/>
                <w:sz w:val="18"/>
              </w:rPr>
              <w:t>1998</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6 477</w:t>
            </w:r>
          </w:p>
        </w:tc>
        <w:tc>
          <w:tcPr>
            <w:tcW w:w="851"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4 528</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1 431</w:t>
            </w:r>
          </w:p>
        </w:tc>
        <w:tc>
          <w:tcPr>
            <w:tcW w:w="1175" w:type="dxa"/>
            <w:tcBorders>
              <w:right w:val="single" w:sz="4" w:space="0" w:color="auto"/>
            </w:tcBorders>
            <w:vAlign w:val="center"/>
          </w:tcPr>
          <w:p w:rsidR="00000000" w:rsidRDefault="00000000">
            <w:pPr>
              <w:spacing w:before="2" w:after="2"/>
              <w:ind w:right="294"/>
              <w:jc w:val="right"/>
              <w:rPr>
                <w:snapToGrid w:val="0"/>
                <w:sz w:val="18"/>
              </w:rPr>
            </w:pPr>
            <w:r>
              <w:rPr>
                <w:snapToGrid w:val="0"/>
                <w:sz w:val="18"/>
              </w:rPr>
              <w:t>518</w:t>
            </w:r>
          </w:p>
        </w:tc>
        <w:tc>
          <w:tcPr>
            <w:tcW w:w="81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2 985</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1 008</w:t>
            </w:r>
          </w:p>
        </w:tc>
        <w:tc>
          <w:tcPr>
            <w:tcW w:w="851"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1 812</w:t>
            </w:r>
          </w:p>
        </w:tc>
        <w:tc>
          <w:tcPr>
            <w:tcW w:w="1134" w:type="dxa"/>
            <w:tcBorders>
              <w:right w:val="single" w:sz="4" w:space="0" w:color="auto"/>
            </w:tcBorders>
            <w:vAlign w:val="center"/>
          </w:tcPr>
          <w:p w:rsidR="00000000" w:rsidRDefault="00000000">
            <w:pPr>
              <w:spacing w:before="2" w:after="2"/>
              <w:ind w:right="283"/>
              <w:jc w:val="right"/>
              <w:rPr>
                <w:snapToGrid w:val="0"/>
                <w:sz w:val="18"/>
              </w:rPr>
            </w:pPr>
            <w:r>
              <w:rPr>
                <w:snapToGrid w:val="0"/>
                <w:sz w:val="18"/>
              </w:rPr>
              <w:t>165</w:t>
            </w:r>
          </w:p>
        </w:tc>
      </w:tr>
      <w:tr w:rsidR="00000000">
        <w:tblPrEx>
          <w:tblCellMar>
            <w:top w:w="0" w:type="dxa"/>
            <w:bottom w:w="0" w:type="dxa"/>
          </w:tblCellMar>
        </w:tblPrEx>
        <w:trPr>
          <w:trHeight w:val="221"/>
        </w:trPr>
        <w:tc>
          <w:tcPr>
            <w:tcW w:w="1119" w:type="dxa"/>
            <w:tcBorders>
              <w:left w:val="single" w:sz="4" w:space="0" w:color="auto"/>
              <w:bottom w:val="single" w:sz="4" w:space="0" w:color="auto"/>
              <w:right w:val="single" w:sz="4" w:space="0" w:color="auto"/>
            </w:tcBorders>
            <w:vAlign w:val="center"/>
          </w:tcPr>
          <w:p w:rsidR="00000000" w:rsidRDefault="00000000">
            <w:pPr>
              <w:spacing w:before="2" w:after="2"/>
              <w:jc w:val="center"/>
              <w:rPr>
                <w:snapToGrid w:val="0"/>
                <w:sz w:val="18"/>
              </w:rPr>
            </w:pPr>
          </w:p>
        </w:tc>
        <w:tc>
          <w:tcPr>
            <w:tcW w:w="866" w:type="dxa"/>
            <w:tcBorders>
              <w:bottom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1999</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7 009</w:t>
            </w:r>
          </w:p>
        </w:tc>
        <w:tc>
          <w:tcPr>
            <w:tcW w:w="851"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5 322</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1 680</w:t>
            </w:r>
          </w:p>
        </w:tc>
        <w:tc>
          <w:tcPr>
            <w:tcW w:w="1175" w:type="dxa"/>
            <w:tcBorders>
              <w:bottom w:val="single" w:sz="4" w:space="0" w:color="auto"/>
              <w:right w:val="single" w:sz="4" w:space="0" w:color="auto"/>
            </w:tcBorders>
            <w:vAlign w:val="center"/>
          </w:tcPr>
          <w:p w:rsidR="00000000" w:rsidRDefault="00000000">
            <w:pPr>
              <w:spacing w:before="2" w:after="2"/>
              <w:ind w:right="294"/>
              <w:jc w:val="right"/>
              <w:rPr>
                <w:snapToGrid w:val="0"/>
                <w:sz w:val="18"/>
              </w:rPr>
            </w:pPr>
            <w:r>
              <w:rPr>
                <w:snapToGrid w:val="0"/>
                <w:sz w:val="18"/>
              </w:rPr>
              <w:t>7</w:t>
            </w:r>
          </w:p>
        </w:tc>
        <w:tc>
          <w:tcPr>
            <w:tcW w:w="81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2 152</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824</w:t>
            </w:r>
          </w:p>
        </w:tc>
        <w:tc>
          <w:tcPr>
            <w:tcW w:w="851"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1 326</w:t>
            </w:r>
          </w:p>
        </w:tc>
        <w:tc>
          <w:tcPr>
            <w:tcW w:w="1134" w:type="dxa"/>
            <w:tcBorders>
              <w:bottom w:val="single" w:sz="4" w:space="0" w:color="auto"/>
              <w:right w:val="single" w:sz="4" w:space="0" w:color="auto"/>
            </w:tcBorders>
            <w:vAlign w:val="center"/>
          </w:tcPr>
          <w:p w:rsidR="00000000" w:rsidRDefault="00000000">
            <w:pPr>
              <w:spacing w:before="2" w:after="2"/>
              <w:ind w:right="283"/>
              <w:jc w:val="right"/>
              <w:rPr>
                <w:snapToGrid w:val="0"/>
                <w:sz w:val="18"/>
              </w:rPr>
            </w:pPr>
            <w:r>
              <w:rPr>
                <w:snapToGrid w:val="0"/>
                <w:sz w:val="18"/>
              </w:rPr>
              <w:t>2</w:t>
            </w:r>
          </w:p>
        </w:tc>
      </w:tr>
      <w:tr w:rsidR="00000000">
        <w:tblPrEx>
          <w:tblCellMar>
            <w:top w:w="0" w:type="dxa"/>
            <w:bottom w:w="0" w:type="dxa"/>
          </w:tblCellMar>
        </w:tblPrEx>
        <w:trPr>
          <w:trHeight w:val="221"/>
        </w:trPr>
        <w:tc>
          <w:tcPr>
            <w:tcW w:w="1119" w:type="dxa"/>
            <w:tcBorders>
              <w:top w:val="single" w:sz="4" w:space="0" w:color="auto"/>
              <w:left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 xml:space="preserve">Ages 25 </w:t>
            </w:r>
          </w:p>
        </w:tc>
        <w:tc>
          <w:tcPr>
            <w:tcW w:w="866" w:type="dxa"/>
            <w:tcBorders>
              <w:top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1997</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6 257</w:t>
            </w:r>
          </w:p>
        </w:tc>
        <w:tc>
          <w:tcPr>
            <w:tcW w:w="851"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2 393</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679</w:t>
            </w:r>
          </w:p>
        </w:tc>
        <w:tc>
          <w:tcPr>
            <w:tcW w:w="1175" w:type="dxa"/>
            <w:tcBorders>
              <w:top w:val="single" w:sz="4" w:space="0" w:color="auto"/>
              <w:right w:val="single" w:sz="4" w:space="0" w:color="auto"/>
            </w:tcBorders>
            <w:vAlign w:val="center"/>
          </w:tcPr>
          <w:p w:rsidR="00000000" w:rsidRDefault="00000000">
            <w:pPr>
              <w:spacing w:before="2" w:after="2"/>
              <w:ind w:right="294"/>
              <w:jc w:val="right"/>
              <w:rPr>
                <w:snapToGrid w:val="0"/>
                <w:sz w:val="18"/>
              </w:rPr>
            </w:pPr>
            <w:r>
              <w:rPr>
                <w:snapToGrid w:val="0"/>
                <w:sz w:val="18"/>
              </w:rPr>
              <w:t>3 185</w:t>
            </w:r>
          </w:p>
        </w:tc>
        <w:tc>
          <w:tcPr>
            <w:tcW w:w="81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4 732</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890</w:t>
            </w:r>
          </w:p>
        </w:tc>
        <w:tc>
          <w:tcPr>
            <w:tcW w:w="851"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2 017</w:t>
            </w:r>
          </w:p>
        </w:tc>
        <w:tc>
          <w:tcPr>
            <w:tcW w:w="1134" w:type="dxa"/>
            <w:tcBorders>
              <w:top w:val="single" w:sz="4" w:space="0" w:color="auto"/>
              <w:right w:val="single" w:sz="4" w:space="0" w:color="auto"/>
            </w:tcBorders>
            <w:vAlign w:val="center"/>
          </w:tcPr>
          <w:p w:rsidR="00000000" w:rsidRDefault="00000000">
            <w:pPr>
              <w:spacing w:before="2" w:after="2"/>
              <w:ind w:right="283"/>
              <w:jc w:val="right"/>
              <w:rPr>
                <w:snapToGrid w:val="0"/>
                <w:sz w:val="18"/>
              </w:rPr>
            </w:pPr>
            <w:r>
              <w:rPr>
                <w:snapToGrid w:val="0"/>
                <w:sz w:val="18"/>
              </w:rPr>
              <w:t>1 825</w:t>
            </w:r>
          </w:p>
        </w:tc>
      </w:tr>
      <w:tr w:rsidR="00000000">
        <w:tblPrEx>
          <w:tblCellMar>
            <w:top w:w="0" w:type="dxa"/>
            <w:bottom w:w="0" w:type="dxa"/>
          </w:tblCellMar>
        </w:tblPrEx>
        <w:trPr>
          <w:trHeight w:val="221"/>
        </w:trPr>
        <w:tc>
          <w:tcPr>
            <w:tcW w:w="1119" w:type="dxa"/>
            <w:tcBorders>
              <w:left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 xml:space="preserve"> to 29</w:t>
            </w:r>
          </w:p>
        </w:tc>
        <w:tc>
          <w:tcPr>
            <w:tcW w:w="866" w:type="dxa"/>
            <w:tcBorders>
              <w:right w:val="single" w:sz="4" w:space="0" w:color="auto"/>
            </w:tcBorders>
            <w:vAlign w:val="center"/>
          </w:tcPr>
          <w:p w:rsidR="00000000" w:rsidRDefault="00000000">
            <w:pPr>
              <w:spacing w:before="2" w:after="2"/>
              <w:jc w:val="center"/>
              <w:rPr>
                <w:snapToGrid w:val="0"/>
                <w:sz w:val="18"/>
              </w:rPr>
            </w:pPr>
            <w:r>
              <w:rPr>
                <w:snapToGrid w:val="0"/>
                <w:sz w:val="18"/>
              </w:rPr>
              <w:t>1998</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6 320</w:t>
            </w:r>
          </w:p>
        </w:tc>
        <w:tc>
          <w:tcPr>
            <w:tcW w:w="851"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4 364</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1 476</w:t>
            </w:r>
          </w:p>
        </w:tc>
        <w:tc>
          <w:tcPr>
            <w:tcW w:w="1175" w:type="dxa"/>
            <w:tcBorders>
              <w:right w:val="single" w:sz="4" w:space="0" w:color="auto"/>
            </w:tcBorders>
            <w:vAlign w:val="center"/>
          </w:tcPr>
          <w:p w:rsidR="00000000" w:rsidRDefault="00000000">
            <w:pPr>
              <w:spacing w:before="2" w:after="2"/>
              <w:ind w:right="294"/>
              <w:jc w:val="right"/>
              <w:rPr>
                <w:snapToGrid w:val="0"/>
                <w:sz w:val="18"/>
              </w:rPr>
            </w:pPr>
            <w:r>
              <w:rPr>
                <w:snapToGrid w:val="0"/>
                <w:sz w:val="18"/>
              </w:rPr>
              <w:t>480</w:t>
            </w:r>
          </w:p>
        </w:tc>
        <w:tc>
          <w:tcPr>
            <w:tcW w:w="81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4 176</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1 599</w:t>
            </w:r>
          </w:p>
        </w:tc>
        <w:tc>
          <w:tcPr>
            <w:tcW w:w="851"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2 362</w:t>
            </w:r>
          </w:p>
        </w:tc>
        <w:tc>
          <w:tcPr>
            <w:tcW w:w="1134" w:type="dxa"/>
            <w:tcBorders>
              <w:right w:val="single" w:sz="4" w:space="0" w:color="auto"/>
            </w:tcBorders>
            <w:vAlign w:val="center"/>
          </w:tcPr>
          <w:p w:rsidR="00000000" w:rsidRDefault="00000000">
            <w:pPr>
              <w:spacing w:before="2" w:after="2"/>
              <w:ind w:right="283"/>
              <w:jc w:val="right"/>
              <w:rPr>
                <w:snapToGrid w:val="0"/>
                <w:sz w:val="18"/>
              </w:rPr>
            </w:pPr>
            <w:r>
              <w:rPr>
                <w:snapToGrid w:val="0"/>
                <w:sz w:val="18"/>
              </w:rPr>
              <w:t>215</w:t>
            </w:r>
          </w:p>
        </w:tc>
      </w:tr>
      <w:tr w:rsidR="00000000">
        <w:tblPrEx>
          <w:tblCellMar>
            <w:top w:w="0" w:type="dxa"/>
            <w:bottom w:w="0" w:type="dxa"/>
          </w:tblCellMar>
        </w:tblPrEx>
        <w:trPr>
          <w:trHeight w:val="221"/>
        </w:trPr>
        <w:tc>
          <w:tcPr>
            <w:tcW w:w="1119" w:type="dxa"/>
            <w:tcBorders>
              <w:left w:val="single" w:sz="4" w:space="0" w:color="auto"/>
              <w:bottom w:val="single" w:sz="4" w:space="0" w:color="auto"/>
              <w:right w:val="single" w:sz="4" w:space="0" w:color="auto"/>
            </w:tcBorders>
            <w:vAlign w:val="center"/>
          </w:tcPr>
          <w:p w:rsidR="00000000" w:rsidRDefault="00000000">
            <w:pPr>
              <w:spacing w:before="2" w:after="2"/>
              <w:jc w:val="center"/>
              <w:rPr>
                <w:snapToGrid w:val="0"/>
                <w:sz w:val="18"/>
              </w:rPr>
            </w:pPr>
          </w:p>
        </w:tc>
        <w:tc>
          <w:tcPr>
            <w:tcW w:w="866" w:type="dxa"/>
            <w:tcBorders>
              <w:bottom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1999</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6 697</w:t>
            </w:r>
          </w:p>
        </w:tc>
        <w:tc>
          <w:tcPr>
            <w:tcW w:w="851"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4 933</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1 760</w:t>
            </w:r>
          </w:p>
        </w:tc>
        <w:tc>
          <w:tcPr>
            <w:tcW w:w="1175" w:type="dxa"/>
            <w:tcBorders>
              <w:bottom w:val="single" w:sz="4" w:space="0" w:color="auto"/>
              <w:right w:val="single" w:sz="4" w:space="0" w:color="auto"/>
            </w:tcBorders>
            <w:vAlign w:val="center"/>
          </w:tcPr>
          <w:p w:rsidR="00000000" w:rsidRDefault="00000000">
            <w:pPr>
              <w:spacing w:before="2" w:after="2"/>
              <w:ind w:right="294"/>
              <w:jc w:val="right"/>
              <w:rPr>
                <w:snapToGrid w:val="0"/>
                <w:sz w:val="18"/>
              </w:rPr>
            </w:pPr>
            <w:r>
              <w:rPr>
                <w:snapToGrid w:val="0"/>
                <w:sz w:val="18"/>
              </w:rPr>
              <w:t>4</w:t>
            </w:r>
          </w:p>
        </w:tc>
        <w:tc>
          <w:tcPr>
            <w:tcW w:w="81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2 999</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1 259</w:t>
            </w:r>
          </w:p>
        </w:tc>
        <w:tc>
          <w:tcPr>
            <w:tcW w:w="851"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1 739</w:t>
            </w:r>
          </w:p>
        </w:tc>
        <w:tc>
          <w:tcPr>
            <w:tcW w:w="1134" w:type="dxa"/>
            <w:tcBorders>
              <w:bottom w:val="single" w:sz="4" w:space="0" w:color="auto"/>
              <w:right w:val="single" w:sz="4" w:space="0" w:color="auto"/>
            </w:tcBorders>
            <w:vAlign w:val="center"/>
          </w:tcPr>
          <w:p w:rsidR="00000000" w:rsidRDefault="00000000">
            <w:pPr>
              <w:spacing w:before="2" w:after="2"/>
              <w:ind w:right="283"/>
              <w:jc w:val="right"/>
              <w:rPr>
                <w:snapToGrid w:val="0"/>
                <w:sz w:val="18"/>
              </w:rPr>
            </w:pPr>
            <w:r>
              <w:rPr>
                <w:snapToGrid w:val="0"/>
                <w:sz w:val="18"/>
              </w:rPr>
              <w:t>1</w:t>
            </w:r>
          </w:p>
        </w:tc>
      </w:tr>
      <w:tr w:rsidR="00000000">
        <w:tblPrEx>
          <w:tblCellMar>
            <w:top w:w="0" w:type="dxa"/>
            <w:bottom w:w="0" w:type="dxa"/>
          </w:tblCellMar>
        </w:tblPrEx>
        <w:trPr>
          <w:trHeight w:val="221"/>
        </w:trPr>
        <w:tc>
          <w:tcPr>
            <w:tcW w:w="1119" w:type="dxa"/>
            <w:tcBorders>
              <w:top w:val="single" w:sz="4" w:space="0" w:color="auto"/>
              <w:left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 xml:space="preserve">Ages 30 </w:t>
            </w:r>
          </w:p>
        </w:tc>
        <w:tc>
          <w:tcPr>
            <w:tcW w:w="866" w:type="dxa"/>
            <w:tcBorders>
              <w:top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1997</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5 670</w:t>
            </w:r>
          </w:p>
        </w:tc>
        <w:tc>
          <w:tcPr>
            <w:tcW w:w="851"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2 152</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711</w:t>
            </w:r>
          </w:p>
        </w:tc>
        <w:tc>
          <w:tcPr>
            <w:tcW w:w="1175" w:type="dxa"/>
            <w:tcBorders>
              <w:top w:val="single" w:sz="4" w:space="0" w:color="auto"/>
              <w:right w:val="single" w:sz="4" w:space="0" w:color="auto"/>
            </w:tcBorders>
            <w:vAlign w:val="center"/>
          </w:tcPr>
          <w:p w:rsidR="00000000" w:rsidRDefault="00000000">
            <w:pPr>
              <w:spacing w:before="2" w:after="2"/>
              <w:ind w:right="294"/>
              <w:jc w:val="right"/>
              <w:rPr>
                <w:snapToGrid w:val="0"/>
                <w:sz w:val="18"/>
              </w:rPr>
            </w:pPr>
            <w:r>
              <w:rPr>
                <w:snapToGrid w:val="0"/>
                <w:sz w:val="18"/>
              </w:rPr>
              <w:t>2 807</w:t>
            </w:r>
          </w:p>
        </w:tc>
        <w:tc>
          <w:tcPr>
            <w:tcW w:w="81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5 758</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1 064</w:t>
            </w:r>
          </w:p>
        </w:tc>
        <w:tc>
          <w:tcPr>
            <w:tcW w:w="851"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2 112</w:t>
            </w:r>
          </w:p>
        </w:tc>
        <w:tc>
          <w:tcPr>
            <w:tcW w:w="1134" w:type="dxa"/>
            <w:tcBorders>
              <w:top w:val="single" w:sz="4" w:space="0" w:color="auto"/>
              <w:right w:val="single" w:sz="4" w:space="0" w:color="auto"/>
            </w:tcBorders>
            <w:vAlign w:val="center"/>
          </w:tcPr>
          <w:p w:rsidR="00000000" w:rsidRDefault="00000000">
            <w:pPr>
              <w:spacing w:before="2" w:after="2"/>
              <w:ind w:right="283"/>
              <w:jc w:val="right"/>
              <w:rPr>
                <w:snapToGrid w:val="0"/>
                <w:sz w:val="18"/>
              </w:rPr>
            </w:pPr>
            <w:r>
              <w:rPr>
                <w:snapToGrid w:val="0"/>
                <w:sz w:val="18"/>
              </w:rPr>
              <w:t>2 582</w:t>
            </w:r>
          </w:p>
        </w:tc>
      </w:tr>
      <w:tr w:rsidR="00000000">
        <w:tblPrEx>
          <w:tblCellMar>
            <w:top w:w="0" w:type="dxa"/>
            <w:bottom w:w="0" w:type="dxa"/>
          </w:tblCellMar>
        </w:tblPrEx>
        <w:trPr>
          <w:trHeight w:val="221"/>
        </w:trPr>
        <w:tc>
          <w:tcPr>
            <w:tcW w:w="1119" w:type="dxa"/>
            <w:tcBorders>
              <w:left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to 34</w:t>
            </w:r>
          </w:p>
        </w:tc>
        <w:tc>
          <w:tcPr>
            <w:tcW w:w="866" w:type="dxa"/>
            <w:tcBorders>
              <w:right w:val="single" w:sz="4" w:space="0" w:color="auto"/>
            </w:tcBorders>
            <w:vAlign w:val="center"/>
          </w:tcPr>
          <w:p w:rsidR="00000000" w:rsidRDefault="00000000">
            <w:pPr>
              <w:spacing w:before="2" w:after="2"/>
              <w:jc w:val="center"/>
              <w:rPr>
                <w:snapToGrid w:val="0"/>
                <w:sz w:val="18"/>
              </w:rPr>
            </w:pPr>
            <w:r>
              <w:rPr>
                <w:snapToGrid w:val="0"/>
                <w:sz w:val="18"/>
              </w:rPr>
              <w:t>1998</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5 696</w:t>
            </w:r>
          </w:p>
        </w:tc>
        <w:tc>
          <w:tcPr>
            <w:tcW w:w="851"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3 808</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1 484</w:t>
            </w:r>
          </w:p>
        </w:tc>
        <w:tc>
          <w:tcPr>
            <w:tcW w:w="1175" w:type="dxa"/>
            <w:tcBorders>
              <w:right w:val="single" w:sz="4" w:space="0" w:color="auto"/>
            </w:tcBorders>
            <w:vAlign w:val="center"/>
          </w:tcPr>
          <w:p w:rsidR="00000000" w:rsidRDefault="00000000">
            <w:pPr>
              <w:spacing w:before="2" w:after="2"/>
              <w:ind w:right="294"/>
              <w:jc w:val="right"/>
              <w:rPr>
                <w:snapToGrid w:val="0"/>
                <w:sz w:val="18"/>
              </w:rPr>
            </w:pPr>
            <w:r>
              <w:rPr>
                <w:snapToGrid w:val="0"/>
                <w:sz w:val="18"/>
              </w:rPr>
              <w:t>404</w:t>
            </w:r>
          </w:p>
        </w:tc>
        <w:tc>
          <w:tcPr>
            <w:tcW w:w="81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4 927</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2 239</w:t>
            </w:r>
          </w:p>
        </w:tc>
        <w:tc>
          <w:tcPr>
            <w:tcW w:w="851"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2 438</w:t>
            </w:r>
          </w:p>
        </w:tc>
        <w:tc>
          <w:tcPr>
            <w:tcW w:w="1134" w:type="dxa"/>
            <w:tcBorders>
              <w:right w:val="single" w:sz="4" w:space="0" w:color="auto"/>
            </w:tcBorders>
            <w:vAlign w:val="center"/>
          </w:tcPr>
          <w:p w:rsidR="00000000" w:rsidRDefault="00000000">
            <w:pPr>
              <w:spacing w:before="2" w:after="2"/>
              <w:ind w:right="283"/>
              <w:jc w:val="right"/>
              <w:rPr>
                <w:snapToGrid w:val="0"/>
                <w:sz w:val="18"/>
              </w:rPr>
            </w:pPr>
            <w:r>
              <w:rPr>
                <w:snapToGrid w:val="0"/>
                <w:sz w:val="18"/>
              </w:rPr>
              <w:t>250</w:t>
            </w:r>
          </w:p>
        </w:tc>
      </w:tr>
      <w:tr w:rsidR="00000000">
        <w:tblPrEx>
          <w:tblCellMar>
            <w:top w:w="0" w:type="dxa"/>
            <w:bottom w:w="0" w:type="dxa"/>
          </w:tblCellMar>
        </w:tblPrEx>
        <w:trPr>
          <w:trHeight w:val="221"/>
        </w:trPr>
        <w:tc>
          <w:tcPr>
            <w:tcW w:w="1119" w:type="dxa"/>
            <w:tcBorders>
              <w:left w:val="single" w:sz="4" w:space="0" w:color="auto"/>
              <w:bottom w:val="single" w:sz="4" w:space="0" w:color="auto"/>
              <w:right w:val="single" w:sz="4" w:space="0" w:color="auto"/>
            </w:tcBorders>
            <w:vAlign w:val="center"/>
          </w:tcPr>
          <w:p w:rsidR="00000000" w:rsidRDefault="00000000">
            <w:pPr>
              <w:spacing w:before="2" w:after="2"/>
              <w:jc w:val="center"/>
              <w:rPr>
                <w:snapToGrid w:val="0"/>
                <w:sz w:val="18"/>
              </w:rPr>
            </w:pPr>
          </w:p>
        </w:tc>
        <w:tc>
          <w:tcPr>
            <w:tcW w:w="866" w:type="dxa"/>
            <w:tcBorders>
              <w:bottom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1999</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5 754</w:t>
            </w:r>
          </w:p>
        </w:tc>
        <w:tc>
          <w:tcPr>
            <w:tcW w:w="851"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4 005</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1 744</w:t>
            </w:r>
          </w:p>
        </w:tc>
        <w:tc>
          <w:tcPr>
            <w:tcW w:w="1175" w:type="dxa"/>
            <w:tcBorders>
              <w:bottom w:val="single" w:sz="4" w:space="0" w:color="auto"/>
              <w:right w:val="single" w:sz="4" w:space="0" w:color="auto"/>
            </w:tcBorders>
            <w:vAlign w:val="center"/>
          </w:tcPr>
          <w:p w:rsidR="00000000" w:rsidRDefault="00000000">
            <w:pPr>
              <w:spacing w:before="2" w:after="2"/>
              <w:ind w:right="294"/>
              <w:jc w:val="right"/>
              <w:rPr>
                <w:snapToGrid w:val="0"/>
                <w:sz w:val="18"/>
              </w:rPr>
            </w:pPr>
            <w:r>
              <w:rPr>
                <w:snapToGrid w:val="0"/>
                <w:sz w:val="18"/>
              </w:rPr>
              <w:t>5</w:t>
            </w:r>
          </w:p>
        </w:tc>
        <w:tc>
          <w:tcPr>
            <w:tcW w:w="81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3 619</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1 768</w:t>
            </w:r>
          </w:p>
        </w:tc>
        <w:tc>
          <w:tcPr>
            <w:tcW w:w="851"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1 848</w:t>
            </w:r>
          </w:p>
        </w:tc>
        <w:tc>
          <w:tcPr>
            <w:tcW w:w="1134" w:type="dxa"/>
            <w:tcBorders>
              <w:bottom w:val="single" w:sz="4" w:space="0" w:color="auto"/>
              <w:right w:val="single" w:sz="4" w:space="0" w:color="auto"/>
            </w:tcBorders>
            <w:vAlign w:val="center"/>
          </w:tcPr>
          <w:p w:rsidR="00000000" w:rsidRDefault="00000000">
            <w:pPr>
              <w:spacing w:before="2" w:after="2"/>
              <w:ind w:right="283"/>
              <w:jc w:val="right"/>
              <w:rPr>
                <w:snapToGrid w:val="0"/>
                <w:sz w:val="18"/>
              </w:rPr>
            </w:pPr>
            <w:r>
              <w:rPr>
                <w:snapToGrid w:val="0"/>
                <w:sz w:val="18"/>
              </w:rPr>
              <w:t>3</w:t>
            </w:r>
          </w:p>
        </w:tc>
      </w:tr>
      <w:tr w:rsidR="00000000">
        <w:tblPrEx>
          <w:tblCellMar>
            <w:top w:w="0" w:type="dxa"/>
            <w:bottom w:w="0" w:type="dxa"/>
          </w:tblCellMar>
        </w:tblPrEx>
        <w:trPr>
          <w:trHeight w:val="221"/>
        </w:trPr>
        <w:tc>
          <w:tcPr>
            <w:tcW w:w="1119" w:type="dxa"/>
            <w:tcBorders>
              <w:top w:val="single" w:sz="4" w:space="0" w:color="auto"/>
              <w:left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 xml:space="preserve">Ages 35 </w:t>
            </w:r>
          </w:p>
        </w:tc>
        <w:tc>
          <w:tcPr>
            <w:tcW w:w="866" w:type="dxa"/>
            <w:tcBorders>
              <w:top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1997</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4 613</w:t>
            </w:r>
          </w:p>
        </w:tc>
        <w:tc>
          <w:tcPr>
            <w:tcW w:w="851"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1 717</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688</w:t>
            </w:r>
          </w:p>
        </w:tc>
        <w:tc>
          <w:tcPr>
            <w:tcW w:w="1175" w:type="dxa"/>
            <w:tcBorders>
              <w:top w:val="single" w:sz="4" w:space="0" w:color="auto"/>
              <w:right w:val="single" w:sz="4" w:space="0" w:color="auto"/>
            </w:tcBorders>
            <w:vAlign w:val="center"/>
          </w:tcPr>
          <w:p w:rsidR="00000000" w:rsidRDefault="00000000">
            <w:pPr>
              <w:spacing w:before="2" w:after="2"/>
              <w:ind w:right="294"/>
              <w:jc w:val="right"/>
              <w:rPr>
                <w:snapToGrid w:val="0"/>
                <w:sz w:val="18"/>
              </w:rPr>
            </w:pPr>
            <w:r>
              <w:rPr>
                <w:snapToGrid w:val="0"/>
                <w:sz w:val="18"/>
              </w:rPr>
              <w:t>2 208</w:t>
            </w:r>
          </w:p>
        </w:tc>
        <w:tc>
          <w:tcPr>
            <w:tcW w:w="81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6 530</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1 121</w:t>
            </w:r>
          </w:p>
        </w:tc>
        <w:tc>
          <w:tcPr>
            <w:tcW w:w="851"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2 178</w:t>
            </w:r>
          </w:p>
        </w:tc>
        <w:tc>
          <w:tcPr>
            <w:tcW w:w="1134" w:type="dxa"/>
            <w:tcBorders>
              <w:top w:val="single" w:sz="4" w:space="0" w:color="auto"/>
              <w:right w:val="single" w:sz="4" w:space="0" w:color="auto"/>
            </w:tcBorders>
            <w:vAlign w:val="center"/>
          </w:tcPr>
          <w:p w:rsidR="00000000" w:rsidRDefault="00000000">
            <w:pPr>
              <w:spacing w:before="2" w:after="2"/>
              <w:ind w:right="283"/>
              <w:jc w:val="right"/>
              <w:rPr>
                <w:snapToGrid w:val="0"/>
                <w:sz w:val="18"/>
              </w:rPr>
            </w:pPr>
            <w:r>
              <w:rPr>
                <w:snapToGrid w:val="0"/>
                <w:sz w:val="18"/>
              </w:rPr>
              <w:t>3 231</w:t>
            </w:r>
          </w:p>
        </w:tc>
      </w:tr>
      <w:tr w:rsidR="00000000">
        <w:tblPrEx>
          <w:tblCellMar>
            <w:top w:w="0" w:type="dxa"/>
            <w:bottom w:w="0" w:type="dxa"/>
          </w:tblCellMar>
        </w:tblPrEx>
        <w:trPr>
          <w:trHeight w:val="221"/>
        </w:trPr>
        <w:tc>
          <w:tcPr>
            <w:tcW w:w="1119" w:type="dxa"/>
            <w:tcBorders>
              <w:left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to 39</w:t>
            </w:r>
          </w:p>
        </w:tc>
        <w:tc>
          <w:tcPr>
            <w:tcW w:w="866" w:type="dxa"/>
            <w:tcBorders>
              <w:right w:val="single" w:sz="4" w:space="0" w:color="auto"/>
            </w:tcBorders>
            <w:vAlign w:val="center"/>
          </w:tcPr>
          <w:p w:rsidR="00000000" w:rsidRDefault="00000000">
            <w:pPr>
              <w:spacing w:before="2" w:after="2"/>
              <w:jc w:val="center"/>
              <w:rPr>
                <w:snapToGrid w:val="0"/>
                <w:sz w:val="18"/>
              </w:rPr>
            </w:pPr>
            <w:r>
              <w:rPr>
                <w:snapToGrid w:val="0"/>
                <w:sz w:val="18"/>
              </w:rPr>
              <w:t>1998</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4 737</w:t>
            </w:r>
          </w:p>
        </w:tc>
        <w:tc>
          <w:tcPr>
            <w:tcW w:w="851"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2 925</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1 462</w:t>
            </w:r>
          </w:p>
        </w:tc>
        <w:tc>
          <w:tcPr>
            <w:tcW w:w="1175" w:type="dxa"/>
            <w:tcBorders>
              <w:right w:val="single" w:sz="4" w:space="0" w:color="auto"/>
            </w:tcBorders>
            <w:vAlign w:val="center"/>
          </w:tcPr>
          <w:p w:rsidR="00000000" w:rsidRDefault="00000000">
            <w:pPr>
              <w:spacing w:before="2" w:after="2"/>
              <w:ind w:right="294"/>
              <w:jc w:val="right"/>
              <w:rPr>
                <w:snapToGrid w:val="0"/>
                <w:sz w:val="18"/>
              </w:rPr>
            </w:pPr>
            <w:r>
              <w:rPr>
                <w:snapToGrid w:val="0"/>
                <w:sz w:val="18"/>
              </w:rPr>
              <w:t>350</w:t>
            </w:r>
          </w:p>
        </w:tc>
        <w:tc>
          <w:tcPr>
            <w:tcW w:w="81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5 433</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2 630</w:t>
            </w:r>
          </w:p>
        </w:tc>
        <w:tc>
          <w:tcPr>
            <w:tcW w:w="851"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2 506</w:t>
            </w:r>
          </w:p>
        </w:tc>
        <w:tc>
          <w:tcPr>
            <w:tcW w:w="1134" w:type="dxa"/>
            <w:tcBorders>
              <w:right w:val="single" w:sz="4" w:space="0" w:color="auto"/>
            </w:tcBorders>
            <w:vAlign w:val="center"/>
          </w:tcPr>
          <w:p w:rsidR="00000000" w:rsidRDefault="00000000">
            <w:pPr>
              <w:spacing w:before="2" w:after="2"/>
              <w:ind w:right="283"/>
              <w:jc w:val="right"/>
              <w:rPr>
                <w:snapToGrid w:val="0"/>
                <w:sz w:val="18"/>
              </w:rPr>
            </w:pPr>
            <w:r>
              <w:rPr>
                <w:snapToGrid w:val="0"/>
                <w:sz w:val="18"/>
              </w:rPr>
              <w:t>297</w:t>
            </w:r>
          </w:p>
        </w:tc>
      </w:tr>
      <w:tr w:rsidR="00000000">
        <w:tblPrEx>
          <w:tblCellMar>
            <w:top w:w="0" w:type="dxa"/>
            <w:bottom w:w="0" w:type="dxa"/>
          </w:tblCellMar>
        </w:tblPrEx>
        <w:trPr>
          <w:trHeight w:val="221"/>
        </w:trPr>
        <w:tc>
          <w:tcPr>
            <w:tcW w:w="1119" w:type="dxa"/>
            <w:tcBorders>
              <w:left w:val="single" w:sz="4" w:space="0" w:color="auto"/>
              <w:bottom w:val="single" w:sz="4" w:space="0" w:color="auto"/>
              <w:right w:val="single" w:sz="4" w:space="0" w:color="auto"/>
            </w:tcBorders>
            <w:vAlign w:val="center"/>
          </w:tcPr>
          <w:p w:rsidR="00000000" w:rsidRDefault="00000000">
            <w:pPr>
              <w:spacing w:before="2" w:after="2"/>
              <w:jc w:val="center"/>
              <w:rPr>
                <w:snapToGrid w:val="0"/>
                <w:sz w:val="18"/>
              </w:rPr>
            </w:pPr>
          </w:p>
        </w:tc>
        <w:tc>
          <w:tcPr>
            <w:tcW w:w="866" w:type="dxa"/>
            <w:tcBorders>
              <w:bottom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1999</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4 793</w:t>
            </w:r>
          </w:p>
        </w:tc>
        <w:tc>
          <w:tcPr>
            <w:tcW w:w="851"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3 224</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1 564</w:t>
            </w:r>
          </w:p>
        </w:tc>
        <w:tc>
          <w:tcPr>
            <w:tcW w:w="1175" w:type="dxa"/>
            <w:tcBorders>
              <w:bottom w:val="single" w:sz="4" w:space="0" w:color="auto"/>
              <w:right w:val="single" w:sz="4" w:space="0" w:color="auto"/>
            </w:tcBorders>
            <w:vAlign w:val="center"/>
          </w:tcPr>
          <w:p w:rsidR="00000000" w:rsidRDefault="00000000">
            <w:pPr>
              <w:spacing w:before="2" w:after="2"/>
              <w:ind w:right="294"/>
              <w:jc w:val="right"/>
              <w:rPr>
                <w:snapToGrid w:val="0"/>
                <w:sz w:val="18"/>
              </w:rPr>
            </w:pPr>
            <w:r>
              <w:rPr>
                <w:snapToGrid w:val="0"/>
                <w:sz w:val="18"/>
              </w:rPr>
              <w:t>5</w:t>
            </w:r>
          </w:p>
        </w:tc>
        <w:tc>
          <w:tcPr>
            <w:tcW w:w="81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3 870</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2 051</w:t>
            </w:r>
          </w:p>
        </w:tc>
        <w:tc>
          <w:tcPr>
            <w:tcW w:w="851"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1 818</w:t>
            </w:r>
          </w:p>
        </w:tc>
        <w:tc>
          <w:tcPr>
            <w:tcW w:w="1134" w:type="dxa"/>
            <w:tcBorders>
              <w:bottom w:val="single" w:sz="4" w:space="0" w:color="auto"/>
              <w:right w:val="single" w:sz="4" w:space="0" w:color="auto"/>
            </w:tcBorders>
            <w:vAlign w:val="center"/>
          </w:tcPr>
          <w:p w:rsidR="00000000" w:rsidRDefault="00000000">
            <w:pPr>
              <w:spacing w:before="2" w:after="2"/>
              <w:ind w:right="283"/>
              <w:jc w:val="right"/>
              <w:rPr>
                <w:snapToGrid w:val="0"/>
                <w:sz w:val="18"/>
              </w:rPr>
            </w:pPr>
            <w:r>
              <w:rPr>
                <w:snapToGrid w:val="0"/>
                <w:sz w:val="18"/>
              </w:rPr>
              <w:t>1</w:t>
            </w:r>
          </w:p>
        </w:tc>
      </w:tr>
      <w:tr w:rsidR="00000000">
        <w:tblPrEx>
          <w:tblCellMar>
            <w:top w:w="0" w:type="dxa"/>
            <w:bottom w:w="0" w:type="dxa"/>
          </w:tblCellMar>
        </w:tblPrEx>
        <w:trPr>
          <w:trHeight w:val="221"/>
        </w:trPr>
        <w:tc>
          <w:tcPr>
            <w:tcW w:w="1119" w:type="dxa"/>
            <w:tcBorders>
              <w:top w:val="single" w:sz="4" w:space="0" w:color="auto"/>
              <w:left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 xml:space="preserve">Ages 40 </w:t>
            </w:r>
          </w:p>
        </w:tc>
        <w:tc>
          <w:tcPr>
            <w:tcW w:w="866" w:type="dxa"/>
            <w:tcBorders>
              <w:top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1997</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3 878</w:t>
            </w:r>
          </w:p>
        </w:tc>
        <w:tc>
          <w:tcPr>
            <w:tcW w:w="851"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1 383</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622</w:t>
            </w:r>
          </w:p>
        </w:tc>
        <w:tc>
          <w:tcPr>
            <w:tcW w:w="1175" w:type="dxa"/>
            <w:tcBorders>
              <w:top w:val="single" w:sz="4" w:space="0" w:color="auto"/>
              <w:right w:val="single" w:sz="4" w:space="0" w:color="auto"/>
            </w:tcBorders>
            <w:vAlign w:val="center"/>
          </w:tcPr>
          <w:p w:rsidR="00000000" w:rsidRDefault="00000000">
            <w:pPr>
              <w:spacing w:before="2" w:after="2"/>
              <w:ind w:right="294"/>
              <w:jc w:val="right"/>
              <w:rPr>
                <w:snapToGrid w:val="0"/>
                <w:sz w:val="18"/>
              </w:rPr>
            </w:pPr>
            <w:r>
              <w:rPr>
                <w:snapToGrid w:val="0"/>
                <w:sz w:val="18"/>
              </w:rPr>
              <w:t>1 873</w:t>
            </w:r>
          </w:p>
        </w:tc>
        <w:tc>
          <w:tcPr>
            <w:tcW w:w="81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6 099</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978</w:t>
            </w:r>
          </w:p>
        </w:tc>
        <w:tc>
          <w:tcPr>
            <w:tcW w:w="851"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1 628</w:t>
            </w:r>
          </w:p>
        </w:tc>
        <w:tc>
          <w:tcPr>
            <w:tcW w:w="1134" w:type="dxa"/>
            <w:tcBorders>
              <w:top w:val="single" w:sz="4" w:space="0" w:color="auto"/>
              <w:right w:val="single" w:sz="4" w:space="0" w:color="auto"/>
            </w:tcBorders>
            <w:vAlign w:val="center"/>
          </w:tcPr>
          <w:p w:rsidR="00000000" w:rsidRDefault="00000000">
            <w:pPr>
              <w:spacing w:before="2" w:after="2"/>
              <w:ind w:right="283"/>
              <w:jc w:val="right"/>
              <w:rPr>
                <w:snapToGrid w:val="0"/>
                <w:sz w:val="18"/>
              </w:rPr>
            </w:pPr>
            <w:r>
              <w:rPr>
                <w:snapToGrid w:val="0"/>
                <w:sz w:val="18"/>
              </w:rPr>
              <w:t>3 493</w:t>
            </w:r>
          </w:p>
        </w:tc>
      </w:tr>
      <w:tr w:rsidR="00000000">
        <w:tblPrEx>
          <w:tblCellMar>
            <w:top w:w="0" w:type="dxa"/>
            <w:bottom w:w="0" w:type="dxa"/>
          </w:tblCellMar>
        </w:tblPrEx>
        <w:trPr>
          <w:trHeight w:val="221"/>
        </w:trPr>
        <w:tc>
          <w:tcPr>
            <w:tcW w:w="1119" w:type="dxa"/>
            <w:tcBorders>
              <w:left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to 44</w:t>
            </w:r>
          </w:p>
        </w:tc>
        <w:tc>
          <w:tcPr>
            <w:tcW w:w="866" w:type="dxa"/>
            <w:tcBorders>
              <w:right w:val="single" w:sz="4" w:space="0" w:color="auto"/>
            </w:tcBorders>
            <w:vAlign w:val="center"/>
          </w:tcPr>
          <w:p w:rsidR="00000000" w:rsidRDefault="00000000">
            <w:pPr>
              <w:spacing w:before="2" w:after="2"/>
              <w:jc w:val="center"/>
              <w:rPr>
                <w:snapToGrid w:val="0"/>
                <w:sz w:val="18"/>
              </w:rPr>
            </w:pPr>
            <w:r>
              <w:rPr>
                <w:snapToGrid w:val="0"/>
                <w:sz w:val="18"/>
              </w:rPr>
              <w:t>1998</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3 786</w:t>
            </w:r>
          </w:p>
        </w:tc>
        <w:tc>
          <w:tcPr>
            <w:tcW w:w="851"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2 216</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1 297</w:t>
            </w:r>
          </w:p>
        </w:tc>
        <w:tc>
          <w:tcPr>
            <w:tcW w:w="1175" w:type="dxa"/>
            <w:tcBorders>
              <w:right w:val="single" w:sz="4" w:space="0" w:color="auto"/>
            </w:tcBorders>
            <w:vAlign w:val="center"/>
          </w:tcPr>
          <w:p w:rsidR="00000000" w:rsidRDefault="00000000">
            <w:pPr>
              <w:spacing w:before="2" w:after="2"/>
              <w:ind w:right="294"/>
              <w:jc w:val="right"/>
              <w:rPr>
                <w:snapToGrid w:val="0"/>
                <w:sz w:val="18"/>
              </w:rPr>
            </w:pPr>
            <w:r>
              <w:rPr>
                <w:snapToGrid w:val="0"/>
                <w:sz w:val="18"/>
              </w:rPr>
              <w:t>273</w:t>
            </w:r>
          </w:p>
        </w:tc>
        <w:tc>
          <w:tcPr>
            <w:tcW w:w="81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5 141</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2 814</w:t>
            </w:r>
          </w:p>
        </w:tc>
        <w:tc>
          <w:tcPr>
            <w:tcW w:w="851"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2 000</w:t>
            </w:r>
          </w:p>
        </w:tc>
        <w:tc>
          <w:tcPr>
            <w:tcW w:w="1134" w:type="dxa"/>
            <w:tcBorders>
              <w:right w:val="single" w:sz="4" w:space="0" w:color="auto"/>
            </w:tcBorders>
            <w:vAlign w:val="center"/>
          </w:tcPr>
          <w:p w:rsidR="00000000" w:rsidRDefault="00000000">
            <w:pPr>
              <w:spacing w:before="2" w:after="2"/>
              <w:ind w:right="283"/>
              <w:jc w:val="right"/>
              <w:rPr>
                <w:snapToGrid w:val="0"/>
                <w:sz w:val="18"/>
              </w:rPr>
            </w:pPr>
            <w:r>
              <w:rPr>
                <w:snapToGrid w:val="0"/>
                <w:sz w:val="18"/>
              </w:rPr>
              <w:t>327</w:t>
            </w:r>
          </w:p>
        </w:tc>
      </w:tr>
      <w:tr w:rsidR="00000000">
        <w:tblPrEx>
          <w:tblCellMar>
            <w:top w:w="0" w:type="dxa"/>
            <w:bottom w:w="0" w:type="dxa"/>
          </w:tblCellMar>
        </w:tblPrEx>
        <w:trPr>
          <w:trHeight w:val="221"/>
        </w:trPr>
        <w:tc>
          <w:tcPr>
            <w:tcW w:w="1119" w:type="dxa"/>
            <w:tcBorders>
              <w:left w:val="single" w:sz="4" w:space="0" w:color="auto"/>
              <w:bottom w:val="single" w:sz="4" w:space="0" w:color="auto"/>
              <w:right w:val="single" w:sz="4" w:space="0" w:color="auto"/>
            </w:tcBorders>
            <w:vAlign w:val="center"/>
          </w:tcPr>
          <w:p w:rsidR="00000000" w:rsidRDefault="00000000">
            <w:pPr>
              <w:spacing w:before="2" w:after="2"/>
              <w:jc w:val="center"/>
              <w:rPr>
                <w:snapToGrid w:val="0"/>
                <w:sz w:val="18"/>
              </w:rPr>
            </w:pPr>
          </w:p>
        </w:tc>
        <w:tc>
          <w:tcPr>
            <w:tcW w:w="866" w:type="dxa"/>
            <w:tcBorders>
              <w:bottom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1999</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3 785</w:t>
            </w:r>
          </w:p>
        </w:tc>
        <w:tc>
          <w:tcPr>
            <w:tcW w:w="851"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2 380</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1 403</w:t>
            </w:r>
          </w:p>
        </w:tc>
        <w:tc>
          <w:tcPr>
            <w:tcW w:w="1175" w:type="dxa"/>
            <w:tcBorders>
              <w:bottom w:val="single" w:sz="4" w:space="0" w:color="auto"/>
              <w:right w:val="single" w:sz="4" w:space="0" w:color="auto"/>
            </w:tcBorders>
            <w:vAlign w:val="center"/>
          </w:tcPr>
          <w:p w:rsidR="00000000" w:rsidRDefault="00000000">
            <w:pPr>
              <w:spacing w:before="2" w:after="2"/>
              <w:ind w:right="294"/>
              <w:jc w:val="right"/>
              <w:rPr>
                <w:snapToGrid w:val="0"/>
                <w:sz w:val="18"/>
              </w:rPr>
            </w:pPr>
            <w:r>
              <w:rPr>
                <w:snapToGrid w:val="0"/>
                <w:sz w:val="18"/>
              </w:rPr>
              <w:t>2</w:t>
            </w:r>
          </w:p>
        </w:tc>
        <w:tc>
          <w:tcPr>
            <w:tcW w:w="81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3 998</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2 411</w:t>
            </w:r>
          </w:p>
        </w:tc>
        <w:tc>
          <w:tcPr>
            <w:tcW w:w="851"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1 587</w:t>
            </w:r>
          </w:p>
        </w:tc>
        <w:tc>
          <w:tcPr>
            <w:tcW w:w="1134" w:type="dxa"/>
            <w:tcBorders>
              <w:bottom w:val="single" w:sz="4" w:space="0" w:color="auto"/>
              <w:right w:val="single" w:sz="4" w:space="0" w:color="auto"/>
            </w:tcBorders>
            <w:vAlign w:val="center"/>
          </w:tcPr>
          <w:p w:rsidR="00000000" w:rsidRDefault="00000000">
            <w:pPr>
              <w:spacing w:before="2" w:after="2"/>
              <w:ind w:right="283"/>
              <w:jc w:val="right"/>
              <w:rPr>
                <w:snapToGrid w:val="0"/>
                <w:sz w:val="18"/>
              </w:rPr>
            </w:pPr>
            <w:r>
              <w:rPr>
                <w:snapToGrid w:val="0"/>
                <w:sz w:val="18"/>
              </w:rPr>
              <w:noBreakHyphen/>
            </w:r>
          </w:p>
        </w:tc>
      </w:tr>
      <w:tr w:rsidR="00000000">
        <w:tblPrEx>
          <w:tblCellMar>
            <w:top w:w="0" w:type="dxa"/>
            <w:bottom w:w="0" w:type="dxa"/>
          </w:tblCellMar>
        </w:tblPrEx>
        <w:trPr>
          <w:trHeight w:val="221"/>
        </w:trPr>
        <w:tc>
          <w:tcPr>
            <w:tcW w:w="1119" w:type="dxa"/>
            <w:tcBorders>
              <w:top w:val="single" w:sz="4" w:space="0" w:color="auto"/>
              <w:left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 xml:space="preserve">Ages 45 </w:t>
            </w:r>
          </w:p>
        </w:tc>
        <w:tc>
          <w:tcPr>
            <w:tcW w:w="866" w:type="dxa"/>
            <w:tcBorders>
              <w:top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1997</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2 672</w:t>
            </w:r>
          </w:p>
        </w:tc>
        <w:tc>
          <w:tcPr>
            <w:tcW w:w="851"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879</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473</w:t>
            </w:r>
          </w:p>
        </w:tc>
        <w:tc>
          <w:tcPr>
            <w:tcW w:w="1175" w:type="dxa"/>
            <w:tcBorders>
              <w:top w:val="single" w:sz="4" w:space="0" w:color="auto"/>
              <w:right w:val="single" w:sz="4" w:space="0" w:color="auto"/>
            </w:tcBorders>
            <w:vAlign w:val="center"/>
          </w:tcPr>
          <w:p w:rsidR="00000000" w:rsidRDefault="00000000">
            <w:pPr>
              <w:spacing w:before="2" w:after="2"/>
              <w:ind w:right="294"/>
              <w:jc w:val="right"/>
              <w:rPr>
                <w:snapToGrid w:val="0"/>
                <w:sz w:val="18"/>
              </w:rPr>
            </w:pPr>
            <w:r>
              <w:rPr>
                <w:snapToGrid w:val="0"/>
                <w:sz w:val="18"/>
              </w:rPr>
              <w:t>1 320</w:t>
            </w:r>
          </w:p>
        </w:tc>
        <w:tc>
          <w:tcPr>
            <w:tcW w:w="81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4 079</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579</w:t>
            </w:r>
          </w:p>
        </w:tc>
        <w:tc>
          <w:tcPr>
            <w:tcW w:w="851"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878</w:t>
            </w:r>
          </w:p>
        </w:tc>
        <w:tc>
          <w:tcPr>
            <w:tcW w:w="1134" w:type="dxa"/>
            <w:tcBorders>
              <w:top w:val="single" w:sz="4" w:space="0" w:color="auto"/>
              <w:right w:val="single" w:sz="4" w:space="0" w:color="auto"/>
            </w:tcBorders>
            <w:vAlign w:val="center"/>
          </w:tcPr>
          <w:p w:rsidR="00000000" w:rsidRDefault="00000000">
            <w:pPr>
              <w:spacing w:before="2" w:after="2"/>
              <w:ind w:right="283"/>
              <w:jc w:val="right"/>
              <w:rPr>
                <w:snapToGrid w:val="0"/>
                <w:sz w:val="18"/>
              </w:rPr>
            </w:pPr>
            <w:r>
              <w:rPr>
                <w:snapToGrid w:val="0"/>
                <w:sz w:val="18"/>
              </w:rPr>
              <w:t>2 622</w:t>
            </w:r>
          </w:p>
        </w:tc>
      </w:tr>
      <w:tr w:rsidR="00000000">
        <w:tblPrEx>
          <w:tblCellMar>
            <w:top w:w="0" w:type="dxa"/>
            <w:bottom w:w="0" w:type="dxa"/>
          </w:tblCellMar>
        </w:tblPrEx>
        <w:trPr>
          <w:trHeight w:val="221"/>
        </w:trPr>
        <w:tc>
          <w:tcPr>
            <w:tcW w:w="1119" w:type="dxa"/>
            <w:tcBorders>
              <w:left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to 49</w:t>
            </w:r>
          </w:p>
        </w:tc>
        <w:tc>
          <w:tcPr>
            <w:tcW w:w="866" w:type="dxa"/>
            <w:tcBorders>
              <w:right w:val="single" w:sz="4" w:space="0" w:color="auto"/>
            </w:tcBorders>
            <w:vAlign w:val="center"/>
          </w:tcPr>
          <w:p w:rsidR="00000000" w:rsidRDefault="00000000">
            <w:pPr>
              <w:spacing w:before="2" w:after="2"/>
              <w:jc w:val="center"/>
              <w:rPr>
                <w:snapToGrid w:val="0"/>
                <w:sz w:val="18"/>
              </w:rPr>
            </w:pPr>
            <w:r>
              <w:rPr>
                <w:snapToGrid w:val="0"/>
                <w:sz w:val="18"/>
              </w:rPr>
              <w:t>1998</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2 529</w:t>
            </w:r>
          </w:p>
        </w:tc>
        <w:tc>
          <w:tcPr>
            <w:tcW w:w="851"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1 481</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879</w:t>
            </w:r>
          </w:p>
        </w:tc>
        <w:tc>
          <w:tcPr>
            <w:tcW w:w="1175" w:type="dxa"/>
            <w:tcBorders>
              <w:right w:val="single" w:sz="4" w:space="0" w:color="auto"/>
            </w:tcBorders>
            <w:vAlign w:val="center"/>
          </w:tcPr>
          <w:p w:rsidR="00000000" w:rsidRDefault="00000000">
            <w:pPr>
              <w:spacing w:before="2" w:after="2"/>
              <w:ind w:right="294"/>
              <w:jc w:val="right"/>
              <w:rPr>
                <w:snapToGrid w:val="0"/>
                <w:sz w:val="18"/>
              </w:rPr>
            </w:pPr>
            <w:r>
              <w:rPr>
                <w:snapToGrid w:val="0"/>
                <w:sz w:val="18"/>
              </w:rPr>
              <w:t>169</w:t>
            </w:r>
          </w:p>
        </w:tc>
        <w:tc>
          <w:tcPr>
            <w:tcW w:w="81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3 386</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2 048</w:t>
            </w:r>
          </w:p>
        </w:tc>
        <w:tc>
          <w:tcPr>
            <w:tcW w:w="851"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1 099</w:t>
            </w:r>
          </w:p>
        </w:tc>
        <w:tc>
          <w:tcPr>
            <w:tcW w:w="1134" w:type="dxa"/>
            <w:tcBorders>
              <w:right w:val="single" w:sz="4" w:space="0" w:color="auto"/>
            </w:tcBorders>
            <w:vAlign w:val="center"/>
          </w:tcPr>
          <w:p w:rsidR="00000000" w:rsidRDefault="00000000">
            <w:pPr>
              <w:spacing w:before="2" w:after="2"/>
              <w:ind w:right="283"/>
              <w:jc w:val="right"/>
              <w:rPr>
                <w:snapToGrid w:val="0"/>
                <w:sz w:val="18"/>
              </w:rPr>
            </w:pPr>
            <w:r>
              <w:rPr>
                <w:snapToGrid w:val="0"/>
                <w:sz w:val="18"/>
              </w:rPr>
              <w:t>239</w:t>
            </w:r>
          </w:p>
        </w:tc>
      </w:tr>
      <w:tr w:rsidR="00000000">
        <w:tblPrEx>
          <w:tblCellMar>
            <w:top w:w="0" w:type="dxa"/>
            <w:bottom w:w="0" w:type="dxa"/>
          </w:tblCellMar>
        </w:tblPrEx>
        <w:trPr>
          <w:trHeight w:val="221"/>
        </w:trPr>
        <w:tc>
          <w:tcPr>
            <w:tcW w:w="1119" w:type="dxa"/>
            <w:tcBorders>
              <w:left w:val="single" w:sz="4" w:space="0" w:color="auto"/>
              <w:bottom w:val="single" w:sz="4" w:space="0" w:color="auto"/>
              <w:right w:val="single" w:sz="4" w:space="0" w:color="auto"/>
            </w:tcBorders>
            <w:vAlign w:val="center"/>
          </w:tcPr>
          <w:p w:rsidR="00000000" w:rsidRDefault="00000000">
            <w:pPr>
              <w:spacing w:before="2" w:after="2"/>
              <w:jc w:val="center"/>
              <w:rPr>
                <w:snapToGrid w:val="0"/>
                <w:sz w:val="18"/>
              </w:rPr>
            </w:pPr>
          </w:p>
        </w:tc>
        <w:tc>
          <w:tcPr>
            <w:tcW w:w="866" w:type="dxa"/>
            <w:tcBorders>
              <w:bottom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1999</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2 750</w:t>
            </w:r>
          </w:p>
        </w:tc>
        <w:tc>
          <w:tcPr>
            <w:tcW w:w="851"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1 644</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1 105</w:t>
            </w:r>
          </w:p>
        </w:tc>
        <w:tc>
          <w:tcPr>
            <w:tcW w:w="1175" w:type="dxa"/>
            <w:tcBorders>
              <w:bottom w:val="single" w:sz="4" w:space="0" w:color="auto"/>
              <w:right w:val="single" w:sz="4" w:space="0" w:color="auto"/>
            </w:tcBorders>
            <w:vAlign w:val="center"/>
          </w:tcPr>
          <w:p w:rsidR="00000000" w:rsidRDefault="00000000">
            <w:pPr>
              <w:spacing w:before="2" w:after="2"/>
              <w:ind w:right="294"/>
              <w:jc w:val="right"/>
              <w:rPr>
                <w:snapToGrid w:val="0"/>
                <w:sz w:val="18"/>
              </w:rPr>
            </w:pPr>
            <w:r>
              <w:rPr>
                <w:snapToGrid w:val="0"/>
                <w:sz w:val="18"/>
              </w:rPr>
              <w:t>1</w:t>
            </w:r>
          </w:p>
        </w:tc>
        <w:tc>
          <w:tcPr>
            <w:tcW w:w="81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2 463</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1 635</w:t>
            </w:r>
          </w:p>
        </w:tc>
        <w:tc>
          <w:tcPr>
            <w:tcW w:w="851"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827</w:t>
            </w:r>
          </w:p>
        </w:tc>
        <w:tc>
          <w:tcPr>
            <w:tcW w:w="1134" w:type="dxa"/>
            <w:tcBorders>
              <w:bottom w:val="single" w:sz="4" w:space="0" w:color="auto"/>
              <w:right w:val="single" w:sz="4" w:space="0" w:color="auto"/>
            </w:tcBorders>
            <w:vAlign w:val="center"/>
          </w:tcPr>
          <w:p w:rsidR="00000000" w:rsidRDefault="00000000">
            <w:pPr>
              <w:spacing w:before="2" w:after="2"/>
              <w:ind w:right="283"/>
              <w:jc w:val="right"/>
              <w:rPr>
                <w:snapToGrid w:val="0"/>
                <w:sz w:val="18"/>
              </w:rPr>
            </w:pPr>
            <w:r>
              <w:rPr>
                <w:snapToGrid w:val="0"/>
                <w:sz w:val="18"/>
              </w:rPr>
              <w:t>1</w:t>
            </w:r>
          </w:p>
        </w:tc>
      </w:tr>
      <w:tr w:rsidR="00000000">
        <w:tblPrEx>
          <w:tblCellMar>
            <w:top w:w="0" w:type="dxa"/>
            <w:bottom w:w="0" w:type="dxa"/>
          </w:tblCellMar>
        </w:tblPrEx>
        <w:trPr>
          <w:trHeight w:val="221"/>
        </w:trPr>
        <w:tc>
          <w:tcPr>
            <w:tcW w:w="1119" w:type="dxa"/>
            <w:tcBorders>
              <w:top w:val="single" w:sz="4" w:space="0" w:color="auto"/>
              <w:left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 xml:space="preserve">Ages 50 </w:t>
            </w:r>
          </w:p>
        </w:tc>
        <w:tc>
          <w:tcPr>
            <w:tcW w:w="866" w:type="dxa"/>
            <w:tcBorders>
              <w:top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1997</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1 589</w:t>
            </w:r>
          </w:p>
        </w:tc>
        <w:tc>
          <w:tcPr>
            <w:tcW w:w="851"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535</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319</w:t>
            </w:r>
          </w:p>
        </w:tc>
        <w:tc>
          <w:tcPr>
            <w:tcW w:w="1175" w:type="dxa"/>
            <w:tcBorders>
              <w:top w:val="single" w:sz="4" w:space="0" w:color="auto"/>
              <w:right w:val="single" w:sz="4" w:space="0" w:color="auto"/>
            </w:tcBorders>
            <w:vAlign w:val="center"/>
          </w:tcPr>
          <w:p w:rsidR="00000000" w:rsidRDefault="00000000">
            <w:pPr>
              <w:spacing w:before="2" w:after="2"/>
              <w:ind w:right="294"/>
              <w:jc w:val="right"/>
              <w:rPr>
                <w:snapToGrid w:val="0"/>
                <w:sz w:val="18"/>
              </w:rPr>
            </w:pPr>
            <w:r>
              <w:rPr>
                <w:snapToGrid w:val="0"/>
                <w:sz w:val="18"/>
              </w:rPr>
              <w:t>735</w:t>
            </w:r>
          </w:p>
        </w:tc>
        <w:tc>
          <w:tcPr>
            <w:tcW w:w="81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1 901</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250</w:t>
            </w:r>
          </w:p>
        </w:tc>
        <w:tc>
          <w:tcPr>
            <w:tcW w:w="851"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298</w:t>
            </w:r>
          </w:p>
        </w:tc>
        <w:tc>
          <w:tcPr>
            <w:tcW w:w="1134" w:type="dxa"/>
            <w:tcBorders>
              <w:top w:val="single" w:sz="4" w:space="0" w:color="auto"/>
              <w:right w:val="single" w:sz="4" w:space="0" w:color="auto"/>
            </w:tcBorders>
            <w:vAlign w:val="center"/>
          </w:tcPr>
          <w:p w:rsidR="00000000" w:rsidRDefault="00000000">
            <w:pPr>
              <w:spacing w:before="2" w:after="2"/>
              <w:ind w:right="283"/>
              <w:jc w:val="right"/>
              <w:rPr>
                <w:snapToGrid w:val="0"/>
                <w:sz w:val="18"/>
              </w:rPr>
            </w:pPr>
            <w:r>
              <w:rPr>
                <w:snapToGrid w:val="0"/>
                <w:sz w:val="18"/>
              </w:rPr>
              <w:t>1 353</w:t>
            </w:r>
          </w:p>
        </w:tc>
      </w:tr>
      <w:tr w:rsidR="00000000">
        <w:tblPrEx>
          <w:tblCellMar>
            <w:top w:w="0" w:type="dxa"/>
            <w:bottom w:w="0" w:type="dxa"/>
          </w:tblCellMar>
        </w:tblPrEx>
        <w:trPr>
          <w:trHeight w:val="221"/>
        </w:trPr>
        <w:tc>
          <w:tcPr>
            <w:tcW w:w="1119" w:type="dxa"/>
            <w:tcBorders>
              <w:left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to 54</w:t>
            </w:r>
          </w:p>
        </w:tc>
        <w:tc>
          <w:tcPr>
            <w:tcW w:w="866" w:type="dxa"/>
            <w:tcBorders>
              <w:right w:val="single" w:sz="4" w:space="0" w:color="auto"/>
            </w:tcBorders>
            <w:vAlign w:val="center"/>
          </w:tcPr>
          <w:p w:rsidR="00000000" w:rsidRDefault="00000000">
            <w:pPr>
              <w:spacing w:before="2" w:after="2"/>
              <w:jc w:val="center"/>
              <w:rPr>
                <w:snapToGrid w:val="0"/>
                <w:sz w:val="18"/>
              </w:rPr>
            </w:pPr>
            <w:r>
              <w:rPr>
                <w:snapToGrid w:val="0"/>
                <w:sz w:val="18"/>
              </w:rPr>
              <w:t>1998</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1 537</w:t>
            </w:r>
          </w:p>
        </w:tc>
        <w:tc>
          <w:tcPr>
            <w:tcW w:w="851"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847</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591</w:t>
            </w:r>
          </w:p>
        </w:tc>
        <w:tc>
          <w:tcPr>
            <w:tcW w:w="1175" w:type="dxa"/>
            <w:tcBorders>
              <w:right w:val="single" w:sz="4" w:space="0" w:color="auto"/>
            </w:tcBorders>
            <w:vAlign w:val="center"/>
          </w:tcPr>
          <w:p w:rsidR="00000000" w:rsidRDefault="00000000">
            <w:pPr>
              <w:spacing w:before="2" w:after="2"/>
              <w:ind w:right="294"/>
              <w:jc w:val="right"/>
              <w:rPr>
                <w:snapToGrid w:val="0"/>
                <w:sz w:val="18"/>
              </w:rPr>
            </w:pPr>
            <w:r>
              <w:rPr>
                <w:snapToGrid w:val="0"/>
                <w:sz w:val="18"/>
              </w:rPr>
              <w:t>99</w:t>
            </w:r>
          </w:p>
        </w:tc>
        <w:tc>
          <w:tcPr>
            <w:tcW w:w="81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1 636</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1 056</w:t>
            </w:r>
          </w:p>
        </w:tc>
        <w:tc>
          <w:tcPr>
            <w:tcW w:w="851"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436</w:t>
            </w:r>
          </w:p>
        </w:tc>
        <w:tc>
          <w:tcPr>
            <w:tcW w:w="1134" w:type="dxa"/>
            <w:tcBorders>
              <w:right w:val="single" w:sz="4" w:space="0" w:color="auto"/>
            </w:tcBorders>
            <w:vAlign w:val="center"/>
          </w:tcPr>
          <w:p w:rsidR="00000000" w:rsidRDefault="00000000">
            <w:pPr>
              <w:spacing w:before="2" w:after="2"/>
              <w:ind w:right="283"/>
              <w:jc w:val="right"/>
              <w:rPr>
                <w:snapToGrid w:val="0"/>
                <w:sz w:val="18"/>
              </w:rPr>
            </w:pPr>
            <w:r>
              <w:rPr>
                <w:snapToGrid w:val="0"/>
                <w:sz w:val="18"/>
              </w:rPr>
              <w:t>144</w:t>
            </w:r>
          </w:p>
        </w:tc>
      </w:tr>
      <w:tr w:rsidR="00000000">
        <w:tblPrEx>
          <w:tblCellMar>
            <w:top w:w="0" w:type="dxa"/>
            <w:bottom w:w="0" w:type="dxa"/>
          </w:tblCellMar>
        </w:tblPrEx>
        <w:trPr>
          <w:trHeight w:val="221"/>
        </w:trPr>
        <w:tc>
          <w:tcPr>
            <w:tcW w:w="1119" w:type="dxa"/>
            <w:tcBorders>
              <w:left w:val="single" w:sz="4" w:space="0" w:color="auto"/>
              <w:bottom w:val="single" w:sz="4" w:space="0" w:color="auto"/>
              <w:right w:val="single" w:sz="4" w:space="0" w:color="auto"/>
            </w:tcBorders>
            <w:vAlign w:val="center"/>
          </w:tcPr>
          <w:p w:rsidR="00000000" w:rsidRDefault="00000000">
            <w:pPr>
              <w:spacing w:before="2" w:after="2"/>
              <w:jc w:val="center"/>
              <w:rPr>
                <w:snapToGrid w:val="0"/>
                <w:sz w:val="18"/>
              </w:rPr>
            </w:pPr>
          </w:p>
        </w:tc>
        <w:tc>
          <w:tcPr>
            <w:tcW w:w="866" w:type="dxa"/>
            <w:tcBorders>
              <w:bottom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1999</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1 550</w:t>
            </w:r>
          </w:p>
        </w:tc>
        <w:tc>
          <w:tcPr>
            <w:tcW w:w="851"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884</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666</w:t>
            </w:r>
          </w:p>
        </w:tc>
        <w:tc>
          <w:tcPr>
            <w:tcW w:w="1175" w:type="dxa"/>
            <w:tcBorders>
              <w:bottom w:val="single" w:sz="4" w:space="0" w:color="auto"/>
              <w:right w:val="single" w:sz="4" w:space="0" w:color="auto"/>
            </w:tcBorders>
            <w:vAlign w:val="center"/>
          </w:tcPr>
          <w:p w:rsidR="00000000" w:rsidRDefault="00000000">
            <w:pPr>
              <w:spacing w:before="2" w:after="2"/>
              <w:ind w:right="294"/>
              <w:jc w:val="right"/>
              <w:rPr>
                <w:snapToGrid w:val="0"/>
                <w:sz w:val="18"/>
              </w:rPr>
            </w:pPr>
            <w:r>
              <w:rPr>
                <w:snapToGrid w:val="0"/>
                <w:sz w:val="18"/>
              </w:rPr>
              <w:noBreakHyphen/>
            </w:r>
          </w:p>
        </w:tc>
        <w:tc>
          <w:tcPr>
            <w:tcW w:w="81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1 208</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908</w:t>
            </w:r>
          </w:p>
        </w:tc>
        <w:tc>
          <w:tcPr>
            <w:tcW w:w="851"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300</w:t>
            </w:r>
          </w:p>
        </w:tc>
        <w:tc>
          <w:tcPr>
            <w:tcW w:w="1134" w:type="dxa"/>
            <w:tcBorders>
              <w:bottom w:val="single" w:sz="4" w:space="0" w:color="auto"/>
              <w:right w:val="single" w:sz="4" w:space="0" w:color="auto"/>
            </w:tcBorders>
            <w:vAlign w:val="center"/>
          </w:tcPr>
          <w:p w:rsidR="00000000" w:rsidRDefault="00000000">
            <w:pPr>
              <w:spacing w:before="2" w:after="2"/>
              <w:ind w:right="283"/>
              <w:jc w:val="right"/>
              <w:rPr>
                <w:snapToGrid w:val="0"/>
                <w:sz w:val="18"/>
              </w:rPr>
            </w:pPr>
            <w:r>
              <w:rPr>
                <w:snapToGrid w:val="0"/>
                <w:sz w:val="18"/>
              </w:rPr>
              <w:noBreakHyphen/>
            </w:r>
          </w:p>
        </w:tc>
      </w:tr>
      <w:tr w:rsidR="00000000">
        <w:tblPrEx>
          <w:tblCellMar>
            <w:top w:w="0" w:type="dxa"/>
            <w:bottom w:w="0" w:type="dxa"/>
          </w:tblCellMar>
        </w:tblPrEx>
        <w:trPr>
          <w:trHeight w:val="221"/>
        </w:trPr>
        <w:tc>
          <w:tcPr>
            <w:tcW w:w="1119" w:type="dxa"/>
            <w:tcBorders>
              <w:top w:val="single" w:sz="4" w:space="0" w:color="auto"/>
              <w:left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 xml:space="preserve">Ages 55 </w:t>
            </w:r>
          </w:p>
        </w:tc>
        <w:tc>
          <w:tcPr>
            <w:tcW w:w="866" w:type="dxa"/>
            <w:tcBorders>
              <w:top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1997</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926</w:t>
            </w:r>
          </w:p>
        </w:tc>
        <w:tc>
          <w:tcPr>
            <w:tcW w:w="851"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325</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168</w:t>
            </w:r>
          </w:p>
        </w:tc>
        <w:tc>
          <w:tcPr>
            <w:tcW w:w="1175" w:type="dxa"/>
            <w:tcBorders>
              <w:top w:val="single" w:sz="4" w:space="0" w:color="auto"/>
              <w:right w:val="single" w:sz="4" w:space="0" w:color="auto"/>
            </w:tcBorders>
            <w:vAlign w:val="center"/>
          </w:tcPr>
          <w:p w:rsidR="00000000" w:rsidRDefault="00000000">
            <w:pPr>
              <w:spacing w:before="2" w:after="2"/>
              <w:ind w:right="294"/>
              <w:jc w:val="right"/>
              <w:rPr>
                <w:snapToGrid w:val="0"/>
                <w:sz w:val="18"/>
              </w:rPr>
            </w:pPr>
            <w:r>
              <w:rPr>
                <w:snapToGrid w:val="0"/>
                <w:sz w:val="18"/>
              </w:rPr>
              <w:t>433</w:t>
            </w:r>
          </w:p>
        </w:tc>
        <w:tc>
          <w:tcPr>
            <w:tcW w:w="81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883</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108</w:t>
            </w:r>
          </w:p>
        </w:tc>
        <w:tc>
          <w:tcPr>
            <w:tcW w:w="851"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127</w:t>
            </w:r>
          </w:p>
        </w:tc>
        <w:tc>
          <w:tcPr>
            <w:tcW w:w="1134" w:type="dxa"/>
            <w:tcBorders>
              <w:top w:val="single" w:sz="4" w:space="0" w:color="auto"/>
              <w:right w:val="single" w:sz="4" w:space="0" w:color="auto"/>
            </w:tcBorders>
            <w:vAlign w:val="center"/>
          </w:tcPr>
          <w:p w:rsidR="00000000" w:rsidRDefault="00000000">
            <w:pPr>
              <w:spacing w:before="2" w:after="2"/>
              <w:ind w:right="283"/>
              <w:jc w:val="right"/>
              <w:rPr>
                <w:snapToGrid w:val="0"/>
                <w:sz w:val="18"/>
              </w:rPr>
            </w:pPr>
            <w:r>
              <w:rPr>
                <w:snapToGrid w:val="0"/>
                <w:sz w:val="18"/>
              </w:rPr>
              <w:t>648</w:t>
            </w:r>
          </w:p>
        </w:tc>
      </w:tr>
      <w:tr w:rsidR="00000000">
        <w:tblPrEx>
          <w:tblCellMar>
            <w:top w:w="0" w:type="dxa"/>
            <w:bottom w:w="0" w:type="dxa"/>
          </w:tblCellMar>
        </w:tblPrEx>
        <w:trPr>
          <w:trHeight w:val="221"/>
        </w:trPr>
        <w:tc>
          <w:tcPr>
            <w:tcW w:w="1119" w:type="dxa"/>
            <w:tcBorders>
              <w:left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to 59</w:t>
            </w:r>
          </w:p>
        </w:tc>
        <w:tc>
          <w:tcPr>
            <w:tcW w:w="866" w:type="dxa"/>
            <w:tcBorders>
              <w:right w:val="single" w:sz="4" w:space="0" w:color="auto"/>
            </w:tcBorders>
            <w:vAlign w:val="center"/>
          </w:tcPr>
          <w:p w:rsidR="00000000" w:rsidRDefault="00000000">
            <w:pPr>
              <w:spacing w:before="2" w:after="2"/>
              <w:jc w:val="center"/>
              <w:rPr>
                <w:snapToGrid w:val="0"/>
                <w:sz w:val="18"/>
              </w:rPr>
            </w:pPr>
            <w:r>
              <w:rPr>
                <w:snapToGrid w:val="0"/>
                <w:sz w:val="18"/>
              </w:rPr>
              <w:t>1998</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910</w:t>
            </w:r>
          </w:p>
        </w:tc>
        <w:tc>
          <w:tcPr>
            <w:tcW w:w="851"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510</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343</w:t>
            </w:r>
          </w:p>
        </w:tc>
        <w:tc>
          <w:tcPr>
            <w:tcW w:w="1175" w:type="dxa"/>
            <w:tcBorders>
              <w:right w:val="single" w:sz="4" w:space="0" w:color="auto"/>
            </w:tcBorders>
            <w:vAlign w:val="center"/>
          </w:tcPr>
          <w:p w:rsidR="00000000" w:rsidRDefault="00000000">
            <w:pPr>
              <w:spacing w:before="2" w:after="2"/>
              <w:ind w:right="294"/>
              <w:jc w:val="right"/>
              <w:rPr>
                <w:snapToGrid w:val="0"/>
                <w:sz w:val="18"/>
              </w:rPr>
            </w:pPr>
            <w:r>
              <w:rPr>
                <w:snapToGrid w:val="0"/>
                <w:sz w:val="18"/>
              </w:rPr>
              <w:t>57</w:t>
            </w:r>
          </w:p>
        </w:tc>
        <w:tc>
          <w:tcPr>
            <w:tcW w:w="81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720</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524</w:t>
            </w:r>
          </w:p>
        </w:tc>
        <w:tc>
          <w:tcPr>
            <w:tcW w:w="851"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126</w:t>
            </w:r>
          </w:p>
        </w:tc>
        <w:tc>
          <w:tcPr>
            <w:tcW w:w="1134" w:type="dxa"/>
            <w:tcBorders>
              <w:right w:val="single" w:sz="4" w:space="0" w:color="auto"/>
            </w:tcBorders>
            <w:vAlign w:val="center"/>
          </w:tcPr>
          <w:p w:rsidR="00000000" w:rsidRDefault="00000000">
            <w:pPr>
              <w:spacing w:before="2" w:after="2"/>
              <w:ind w:right="283"/>
              <w:jc w:val="right"/>
              <w:rPr>
                <w:snapToGrid w:val="0"/>
                <w:sz w:val="18"/>
              </w:rPr>
            </w:pPr>
            <w:r>
              <w:rPr>
                <w:snapToGrid w:val="0"/>
                <w:sz w:val="18"/>
              </w:rPr>
              <w:t>70</w:t>
            </w:r>
          </w:p>
        </w:tc>
      </w:tr>
      <w:tr w:rsidR="00000000">
        <w:tblPrEx>
          <w:tblCellMar>
            <w:top w:w="0" w:type="dxa"/>
            <w:bottom w:w="0" w:type="dxa"/>
          </w:tblCellMar>
        </w:tblPrEx>
        <w:trPr>
          <w:trHeight w:val="221"/>
        </w:trPr>
        <w:tc>
          <w:tcPr>
            <w:tcW w:w="1119" w:type="dxa"/>
            <w:tcBorders>
              <w:left w:val="single" w:sz="4" w:space="0" w:color="auto"/>
              <w:bottom w:val="single" w:sz="4" w:space="0" w:color="auto"/>
              <w:right w:val="single" w:sz="4" w:space="0" w:color="auto"/>
            </w:tcBorders>
            <w:vAlign w:val="center"/>
          </w:tcPr>
          <w:p w:rsidR="00000000" w:rsidRDefault="00000000">
            <w:pPr>
              <w:spacing w:before="2" w:after="2"/>
              <w:jc w:val="center"/>
              <w:rPr>
                <w:snapToGrid w:val="0"/>
                <w:sz w:val="18"/>
              </w:rPr>
            </w:pPr>
          </w:p>
        </w:tc>
        <w:tc>
          <w:tcPr>
            <w:tcW w:w="866" w:type="dxa"/>
            <w:tcBorders>
              <w:bottom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1999</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865</w:t>
            </w:r>
          </w:p>
        </w:tc>
        <w:tc>
          <w:tcPr>
            <w:tcW w:w="851"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504</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360</w:t>
            </w:r>
          </w:p>
        </w:tc>
        <w:tc>
          <w:tcPr>
            <w:tcW w:w="1175" w:type="dxa"/>
            <w:tcBorders>
              <w:bottom w:val="single" w:sz="4" w:space="0" w:color="auto"/>
              <w:right w:val="single" w:sz="4" w:space="0" w:color="auto"/>
            </w:tcBorders>
            <w:vAlign w:val="center"/>
          </w:tcPr>
          <w:p w:rsidR="00000000" w:rsidRDefault="00000000">
            <w:pPr>
              <w:spacing w:before="2" w:after="2"/>
              <w:ind w:right="294"/>
              <w:jc w:val="right"/>
              <w:rPr>
                <w:snapToGrid w:val="0"/>
                <w:sz w:val="18"/>
              </w:rPr>
            </w:pPr>
            <w:r>
              <w:rPr>
                <w:snapToGrid w:val="0"/>
                <w:sz w:val="18"/>
              </w:rPr>
              <w:t>1</w:t>
            </w:r>
          </w:p>
        </w:tc>
        <w:tc>
          <w:tcPr>
            <w:tcW w:w="81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520</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405</w:t>
            </w:r>
          </w:p>
        </w:tc>
        <w:tc>
          <w:tcPr>
            <w:tcW w:w="851"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115</w:t>
            </w:r>
          </w:p>
        </w:tc>
        <w:tc>
          <w:tcPr>
            <w:tcW w:w="1134" w:type="dxa"/>
            <w:tcBorders>
              <w:bottom w:val="single" w:sz="4" w:space="0" w:color="auto"/>
              <w:right w:val="single" w:sz="4" w:space="0" w:color="auto"/>
            </w:tcBorders>
            <w:vAlign w:val="center"/>
          </w:tcPr>
          <w:p w:rsidR="00000000" w:rsidRDefault="00000000">
            <w:pPr>
              <w:spacing w:before="2" w:after="2"/>
              <w:ind w:right="283"/>
              <w:jc w:val="right"/>
              <w:rPr>
                <w:snapToGrid w:val="0"/>
                <w:sz w:val="18"/>
              </w:rPr>
            </w:pPr>
            <w:r>
              <w:rPr>
                <w:snapToGrid w:val="0"/>
                <w:sz w:val="18"/>
              </w:rPr>
              <w:noBreakHyphen/>
            </w:r>
          </w:p>
        </w:tc>
      </w:tr>
      <w:tr w:rsidR="00000000">
        <w:tblPrEx>
          <w:tblCellMar>
            <w:top w:w="0" w:type="dxa"/>
            <w:bottom w:w="0" w:type="dxa"/>
          </w:tblCellMar>
        </w:tblPrEx>
        <w:trPr>
          <w:trHeight w:val="221"/>
        </w:trPr>
        <w:tc>
          <w:tcPr>
            <w:tcW w:w="1119" w:type="dxa"/>
            <w:tcBorders>
              <w:top w:val="single" w:sz="4" w:space="0" w:color="auto"/>
              <w:left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 xml:space="preserve">Ages 60 </w:t>
            </w:r>
          </w:p>
        </w:tc>
        <w:tc>
          <w:tcPr>
            <w:tcW w:w="866" w:type="dxa"/>
            <w:tcBorders>
              <w:top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1997</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402</w:t>
            </w:r>
          </w:p>
        </w:tc>
        <w:tc>
          <w:tcPr>
            <w:tcW w:w="851"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160</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41</w:t>
            </w:r>
          </w:p>
        </w:tc>
        <w:tc>
          <w:tcPr>
            <w:tcW w:w="1175" w:type="dxa"/>
            <w:tcBorders>
              <w:top w:val="single" w:sz="4" w:space="0" w:color="auto"/>
              <w:right w:val="single" w:sz="4" w:space="0" w:color="auto"/>
            </w:tcBorders>
            <w:vAlign w:val="center"/>
          </w:tcPr>
          <w:p w:rsidR="00000000" w:rsidRDefault="00000000">
            <w:pPr>
              <w:spacing w:before="2" w:after="2"/>
              <w:ind w:right="294"/>
              <w:jc w:val="right"/>
              <w:rPr>
                <w:snapToGrid w:val="0"/>
                <w:sz w:val="18"/>
              </w:rPr>
            </w:pPr>
            <w:r>
              <w:rPr>
                <w:snapToGrid w:val="0"/>
                <w:sz w:val="18"/>
              </w:rPr>
              <w:t>201</w:t>
            </w:r>
          </w:p>
        </w:tc>
        <w:tc>
          <w:tcPr>
            <w:tcW w:w="81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341</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52</w:t>
            </w:r>
          </w:p>
        </w:tc>
        <w:tc>
          <w:tcPr>
            <w:tcW w:w="851"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7</w:t>
            </w:r>
          </w:p>
        </w:tc>
        <w:tc>
          <w:tcPr>
            <w:tcW w:w="1134" w:type="dxa"/>
            <w:tcBorders>
              <w:top w:val="single" w:sz="4" w:space="0" w:color="auto"/>
              <w:right w:val="single" w:sz="4" w:space="0" w:color="auto"/>
            </w:tcBorders>
            <w:vAlign w:val="center"/>
          </w:tcPr>
          <w:p w:rsidR="00000000" w:rsidRDefault="00000000">
            <w:pPr>
              <w:spacing w:before="2" w:after="2"/>
              <w:ind w:right="283"/>
              <w:jc w:val="right"/>
              <w:rPr>
                <w:snapToGrid w:val="0"/>
                <w:sz w:val="18"/>
              </w:rPr>
            </w:pPr>
            <w:r>
              <w:rPr>
                <w:snapToGrid w:val="0"/>
                <w:sz w:val="18"/>
              </w:rPr>
              <w:t>282</w:t>
            </w:r>
          </w:p>
        </w:tc>
      </w:tr>
      <w:tr w:rsidR="00000000">
        <w:tblPrEx>
          <w:tblCellMar>
            <w:top w:w="0" w:type="dxa"/>
            <w:bottom w:w="0" w:type="dxa"/>
          </w:tblCellMar>
        </w:tblPrEx>
        <w:trPr>
          <w:trHeight w:val="221"/>
        </w:trPr>
        <w:tc>
          <w:tcPr>
            <w:tcW w:w="1119" w:type="dxa"/>
            <w:tcBorders>
              <w:left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to 64</w:t>
            </w:r>
          </w:p>
        </w:tc>
        <w:tc>
          <w:tcPr>
            <w:tcW w:w="866" w:type="dxa"/>
            <w:tcBorders>
              <w:right w:val="single" w:sz="4" w:space="0" w:color="auto"/>
            </w:tcBorders>
            <w:vAlign w:val="center"/>
          </w:tcPr>
          <w:p w:rsidR="00000000" w:rsidRDefault="00000000">
            <w:pPr>
              <w:spacing w:before="2" w:after="2"/>
              <w:jc w:val="center"/>
              <w:rPr>
                <w:snapToGrid w:val="0"/>
                <w:sz w:val="18"/>
              </w:rPr>
            </w:pPr>
            <w:r>
              <w:rPr>
                <w:snapToGrid w:val="0"/>
                <w:sz w:val="18"/>
              </w:rPr>
              <w:t>1998</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389</w:t>
            </w:r>
          </w:p>
        </w:tc>
        <w:tc>
          <w:tcPr>
            <w:tcW w:w="851"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268</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86</w:t>
            </w:r>
          </w:p>
        </w:tc>
        <w:tc>
          <w:tcPr>
            <w:tcW w:w="1175" w:type="dxa"/>
            <w:tcBorders>
              <w:right w:val="single" w:sz="4" w:space="0" w:color="auto"/>
            </w:tcBorders>
            <w:vAlign w:val="center"/>
          </w:tcPr>
          <w:p w:rsidR="00000000" w:rsidRDefault="00000000">
            <w:pPr>
              <w:spacing w:before="2" w:after="2"/>
              <w:ind w:right="294"/>
              <w:jc w:val="right"/>
              <w:rPr>
                <w:snapToGrid w:val="0"/>
                <w:sz w:val="18"/>
              </w:rPr>
            </w:pPr>
            <w:r>
              <w:rPr>
                <w:snapToGrid w:val="0"/>
                <w:sz w:val="18"/>
              </w:rPr>
              <w:t>35</w:t>
            </w:r>
          </w:p>
        </w:tc>
        <w:tc>
          <w:tcPr>
            <w:tcW w:w="81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238</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187</w:t>
            </w:r>
          </w:p>
        </w:tc>
        <w:tc>
          <w:tcPr>
            <w:tcW w:w="851"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22</w:t>
            </w:r>
          </w:p>
        </w:tc>
        <w:tc>
          <w:tcPr>
            <w:tcW w:w="1134" w:type="dxa"/>
            <w:tcBorders>
              <w:right w:val="single" w:sz="4" w:space="0" w:color="auto"/>
            </w:tcBorders>
            <w:vAlign w:val="center"/>
          </w:tcPr>
          <w:p w:rsidR="00000000" w:rsidRDefault="00000000">
            <w:pPr>
              <w:spacing w:before="2" w:after="2"/>
              <w:ind w:right="283"/>
              <w:jc w:val="right"/>
              <w:rPr>
                <w:snapToGrid w:val="0"/>
                <w:sz w:val="18"/>
              </w:rPr>
            </w:pPr>
            <w:r>
              <w:rPr>
                <w:snapToGrid w:val="0"/>
                <w:sz w:val="18"/>
              </w:rPr>
              <w:t>29</w:t>
            </w:r>
          </w:p>
        </w:tc>
      </w:tr>
      <w:tr w:rsidR="00000000">
        <w:tblPrEx>
          <w:tblCellMar>
            <w:top w:w="0" w:type="dxa"/>
            <w:bottom w:w="0" w:type="dxa"/>
          </w:tblCellMar>
        </w:tblPrEx>
        <w:trPr>
          <w:trHeight w:val="221"/>
        </w:trPr>
        <w:tc>
          <w:tcPr>
            <w:tcW w:w="1119" w:type="dxa"/>
            <w:tcBorders>
              <w:left w:val="single" w:sz="4" w:space="0" w:color="auto"/>
              <w:bottom w:val="single" w:sz="4" w:space="0" w:color="auto"/>
              <w:right w:val="single" w:sz="4" w:space="0" w:color="auto"/>
            </w:tcBorders>
            <w:vAlign w:val="center"/>
          </w:tcPr>
          <w:p w:rsidR="00000000" w:rsidRDefault="00000000">
            <w:pPr>
              <w:spacing w:before="2" w:after="2"/>
              <w:jc w:val="center"/>
              <w:rPr>
                <w:snapToGrid w:val="0"/>
                <w:sz w:val="18"/>
              </w:rPr>
            </w:pPr>
          </w:p>
        </w:tc>
        <w:tc>
          <w:tcPr>
            <w:tcW w:w="866" w:type="dxa"/>
            <w:tcBorders>
              <w:bottom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1999</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381</w:t>
            </w:r>
          </w:p>
        </w:tc>
        <w:tc>
          <w:tcPr>
            <w:tcW w:w="851"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280</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101</w:t>
            </w:r>
          </w:p>
        </w:tc>
        <w:tc>
          <w:tcPr>
            <w:tcW w:w="1175" w:type="dxa"/>
            <w:tcBorders>
              <w:bottom w:val="single" w:sz="4" w:space="0" w:color="auto"/>
              <w:right w:val="single" w:sz="4" w:space="0" w:color="auto"/>
            </w:tcBorders>
            <w:vAlign w:val="center"/>
          </w:tcPr>
          <w:p w:rsidR="00000000" w:rsidRDefault="00000000">
            <w:pPr>
              <w:spacing w:before="2" w:after="2"/>
              <w:ind w:right="294"/>
              <w:jc w:val="right"/>
              <w:rPr>
                <w:snapToGrid w:val="0"/>
                <w:sz w:val="18"/>
              </w:rPr>
            </w:pPr>
            <w:r>
              <w:rPr>
                <w:snapToGrid w:val="0"/>
                <w:sz w:val="18"/>
              </w:rPr>
              <w:noBreakHyphen/>
            </w:r>
          </w:p>
        </w:tc>
        <w:tc>
          <w:tcPr>
            <w:tcW w:w="81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186</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164</w:t>
            </w:r>
          </w:p>
        </w:tc>
        <w:tc>
          <w:tcPr>
            <w:tcW w:w="851"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20</w:t>
            </w:r>
          </w:p>
        </w:tc>
        <w:tc>
          <w:tcPr>
            <w:tcW w:w="1134" w:type="dxa"/>
            <w:tcBorders>
              <w:bottom w:val="single" w:sz="4" w:space="0" w:color="auto"/>
              <w:right w:val="single" w:sz="4" w:space="0" w:color="auto"/>
            </w:tcBorders>
            <w:vAlign w:val="center"/>
          </w:tcPr>
          <w:p w:rsidR="00000000" w:rsidRDefault="00000000">
            <w:pPr>
              <w:spacing w:before="2" w:after="2"/>
              <w:ind w:right="283"/>
              <w:jc w:val="right"/>
              <w:rPr>
                <w:snapToGrid w:val="0"/>
                <w:sz w:val="18"/>
              </w:rPr>
            </w:pPr>
            <w:r>
              <w:rPr>
                <w:snapToGrid w:val="0"/>
                <w:sz w:val="18"/>
              </w:rPr>
              <w:t>2</w:t>
            </w:r>
          </w:p>
        </w:tc>
      </w:tr>
      <w:tr w:rsidR="00000000">
        <w:tblPrEx>
          <w:tblCellMar>
            <w:top w:w="0" w:type="dxa"/>
            <w:bottom w:w="0" w:type="dxa"/>
          </w:tblCellMar>
        </w:tblPrEx>
        <w:trPr>
          <w:trHeight w:val="221"/>
        </w:trPr>
        <w:tc>
          <w:tcPr>
            <w:tcW w:w="1119" w:type="dxa"/>
            <w:tcBorders>
              <w:top w:val="single" w:sz="4" w:space="0" w:color="auto"/>
              <w:left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 xml:space="preserve">Ages 65 </w:t>
            </w:r>
          </w:p>
        </w:tc>
        <w:tc>
          <w:tcPr>
            <w:tcW w:w="866" w:type="dxa"/>
            <w:tcBorders>
              <w:top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1997</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102</w:t>
            </w:r>
          </w:p>
        </w:tc>
        <w:tc>
          <w:tcPr>
            <w:tcW w:w="851"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20</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6</w:t>
            </w:r>
          </w:p>
        </w:tc>
        <w:tc>
          <w:tcPr>
            <w:tcW w:w="1175" w:type="dxa"/>
            <w:tcBorders>
              <w:top w:val="single" w:sz="4" w:space="0" w:color="auto"/>
              <w:right w:val="single" w:sz="4" w:space="0" w:color="auto"/>
            </w:tcBorders>
            <w:vAlign w:val="center"/>
          </w:tcPr>
          <w:p w:rsidR="00000000" w:rsidRDefault="00000000">
            <w:pPr>
              <w:spacing w:before="2" w:after="2"/>
              <w:ind w:right="294"/>
              <w:jc w:val="right"/>
              <w:rPr>
                <w:snapToGrid w:val="0"/>
                <w:sz w:val="18"/>
              </w:rPr>
            </w:pPr>
            <w:r>
              <w:rPr>
                <w:snapToGrid w:val="0"/>
                <w:sz w:val="18"/>
              </w:rPr>
              <w:t>76</w:t>
            </w:r>
          </w:p>
        </w:tc>
        <w:tc>
          <w:tcPr>
            <w:tcW w:w="81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125</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12</w:t>
            </w:r>
          </w:p>
        </w:tc>
        <w:tc>
          <w:tcPr>
            <w:tcW w:w="851"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2</w:t>
            </w:r>
          </w:p>
        </w:tc>
        <w:tc>
          <w:tcPr>
            <w:tcW w:w="1134" w:type="dxa"/>
            <w:tcBorders>
              <w:top w:val="single" w:sz="4" w:space="0" w:color="auto"/>
              <w:right w:val="single" w:sz="4" w:space="0" w:color="auto"/>
            </w:tcBorders>
            <w:vAlign w:val="center"/>
          </w:tcPr>
          <w:p w:rsidR="00000000" w:rsidRDefault="00000000">
            <w:pPr>
              <w:spacing w:before="2" w:after="2"/>
              <w:ind w:right="283"/>
              <w:jc w:val="right"/>
              <w:rPr>
                <w:snapToGrid w:val="0"/>
                <w:sz w:val="18"/>
              </w:rPr>
            </w:pPr>
            <w:r>
              <w:rPr>
                <w:snapToGrid w:val="0"/>
                <w:sz w:val="18"/>
              </w:rPr>
              <w:t>111</w:t>
            </w:r>
          </w:p>
        </w:tc>
      </w:tr>
      <w:tr w:rsidR="00000000">
        <w:tblPrEx>
          <w:tblCellMar>
            <w:top w:w="0" w:type="dxa"/>
            <w:bottom w:w="0" w:type="dxa"/>
          </w:tblCellMar>
        </w:tblPrEx>
        <w:trPr>
          <w:trHeight w:val="221"/>
        </w:trPr>
        <w:tc>
          <w:tcPr>
            <w:tcW w:w="1119" w:type="dxa"/>
            <w:tcBorders>
              <w:left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to 69</w:t>
            </w:r>
          </w:p>
        </w:tc>
        <w:tc>
          <w:tcPr>
            <w:tcW w:w="866" w:type="dxa"/>
            <w:tcBorders>
              <w:right w:val="single" w:sz="4" w:space="0" w:color="auto"/>
            </w:tcBorders>
            <w:vAlign w:val="center"/>
          </w:tcPr>
          <w:p w:rsidR="00000000" w:rsidRDefault="00000000">
            <w:pPr>
              <w:spacing w:before="2" w:after="2"/>
              <w:jc w:val="center"/>
              <w:rPr>
                <w:snapToGrid w:val="0"/>
                <w:sz w:val="18"/>
              </w:rPr>
            </w:pPr>
            <w:r>
              <w:rPr>
                <w:snapToGrid w:val="0"/>
                <w:sz w:val="18"/>
              </w:rPr>
              <w:t>1998</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95</w:t>
            </w:r>
          </w:p>
        </w:tc>
        <w:tc>
          <w:tcPr>
            <w:tcW w:w="851"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54</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33</w:t>
            </w:r>
          </w:p>
        </w:tc>
        <w:tc>
          <w:tcPr>
            <w:tcW w:w="1175" w:type="dxa"/>
            <w:tcBorders>
              <w:right w:val="single" w:sz="4" w:space="0" w:color="auto"/>
            </w:tcBorders>
            <w:vAlign w:val="center"/>
          </w:tcPr>
          <w:p w:rsidR="00000000" w:rsidRDefault="00000000">
            <w:pPr>
              <w:spacing w:before="2" w:after="2"/>
              <w:ind w:right="294"/>
              <w:jc w:val="right"/>
              <w:rPr>
                <w:snapToGrid w:val="0"/>
                <w:sz w:val="18"/>
              </w:rPr>
            </w:pPr>
            <w:r>
              <w:rPr>
                <w:snapToGrid w:val="0"/>
                <w:sz w:val="18"/>
              </w:rPr>
              <w:t>8</w:t>
            </w:r>
          </w:p>
        </w:tc>
        <w:tc>
          <w:tcPr>
            <w:tcW w:w="81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64</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53</w:t>
            </w:r>
          </w:p>
        </w:tc>
        <w:tc>
          <w:tcPr>
            <w:tcW w:w="851"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3</w:t>
            </w:r>
          </w:p>
        </w:tc>
        <w:tc>
          <w:tcPr>
            <w:tcW w:w="1134" w:type="dxa"/>
            <w:tcBorders>
              <w:right w:val="single" w:sz="4" w:space="0" w:color="auto"/>
            </w:tcBorders>
            <w:vAlign w:val="center"/>
          </w:tcPr>
          <w:p w:rsidR="00000000" w:rsidRDefault="00000000">
            <w:pPr>
              <w:spacing w:before="2" w:after="2"/>
              <w:ind w:right="283"/>
              <w:jc w:val="right"/>
              <w:rPr>
                <w:snapToGrid w:val="0"/>
                <w:sz w:val="18"/>
              </w:rPr>
            </w:pPr>
            <w:r>
              <w:rPr>
                <w:snapToGrid w:val="0"/>
                <w:sz w:val="18"/>
              </w:rPr>
              <w:t>8</w:t>
            </w:r>
          </w:p>
        </w:tc>
      </w:tr>
      <w:tr w:rsidR="00000000">
        <w:tblPrEx>
          <w:tblCellMar>
            <w:top w:w="0" w:type="dxa"/>
            <w:bottom w:w="0" w:type="dxa"/>
          </w:tblCellMar>
        </w:tblPrEx>
        <w:trPr>
          <w:trHeight w:val="221"/>
        </w:trPr>
        <w:tc>
          <w:tcPr>
            <w:tcW w:w="1119" w:type="dxa"/>
            <w:tcBorders>
              <w:left w:val="single" w:sz="4" w:space="0" w:color="auto"/>
              <w:bottom w:val="single" w:sz="4" w:space="0" w:color="auto"/>
              <w:right w:val="single" w:sz="4" w:space="0" w:color="auto"/>
            </w:tcBorders>
            <w:vAlign w:val="center"/>
          </w:tcPr>
          <w:p w:rsidR="00000000" w:rsidRDefault="00000000">
            <w:pPr>
              <w:spacing w:before="2" w:after="2"/>
              <w:jc w:val="center"/>
              <w:rPr>
                <w:snapToGrid w:val="0"/>
                <w:sz w:val="18"/>
              </w:rPr>
            </w:pPr>
          </w:p>
        </w:tc>
        <w:tc>
          <w:tcPr>
            <w:tcW w:w="866" w:type="dxa"/>
            <w:tcBorders>
              <w:bottom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1999</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86</w:t>
            </w:r>
          </w:p>
        </w:tc>
        <w:tc>
          <w:tcPr>
            <w:tcW w:w="851"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64</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22</w:t>
            </w:r>
          </w:p>
        </w:tc>
        <w:tc>
          <w:tcPr>
            <w:tcW w:w="1175" w:type="dxa"/>
            <w:tcBorders>
              <w:bottom w:val="single" w:sz="4" w:space="0" w:color="auto"/>
              <w:right w:val="single" w:sz="4" w:space="0" w:color="auto"/>
            </w:tcBorders>
            <w:vAlign w:val="center"/>
          </w:tcPr>
          <w:p w:rsidR="00000000" w:rsidRDefault="00000000">
            <w:pPr>
              <w:spacing w:before="2" w:after="2"/>
              <w:ind w:right="294"/>
              <w:jc w:val="right"/>
              <w:rPr>
                <w:snapToGrid w:val="0"/>
                <w:sz w:val="18"/>
              </w:rPr>
            </w:pPr>
            <w:r>
              <w:rPr>
                <w:snapToGrid w:val="0"/>
                <w:sz w:val="18"/>
              </w:rPr>
              <w:noBreakHyphen/>
            </w:r>
          </w:p>
        </w:tc>
        <w:tc>
          <w:tcPr>
            <w:tcW w:w="81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42</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42</w:t>
            </w:r>
          </w:p>
        </w:tc>
        <w:tc>
          <w:tcPr>
            <w:tcW w:w="851"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noBreakHyphen/>
            </w:r>
          </w:p>
        </w:tc>
        <w:tc>
          <w:tcPr>
            <w:tcW w:w="1134" w:type="dxa"/>
            <w:tcBorders>
              <w:bottom w:val="single" w:sz="4" w:space="0" w:color="auto"/>
              <w:right w:val="single" w:sz="4" w:space="0" w:color="auto"/>
            </w:tcBorders>
            <w:vAlign w:val="center"/>
          </w:tcPr>
          <w:p w:rsidR="00000000" w:rsidRDefault="00000000">
            <w:pPr>
              <w:spacing w:before="2" w:after="2"/>
              <w:ind w:right="283"/>
              <w:jc w:val="right"/>
              <w:rPr>
                <w:snapToGrid w:val="0"/>
                <w:sz w:val="18"/>
              </w:rPr>
            </w:pPr>
            <w:r>
              <w:rPr>
                <w:snapToGrid w:val="0"/>
                <w:sz w:val="18"/>
              </w:rPr>
              <w:noBreakHyphen/>
            </w:r>
          </w:p>
        </w:tc>
      </w:tr>
      <w:tr w:rsidR="00000000">
        <w:tblPrEx>
          <w:tblCellMar>
            <w:top w:w="0" w:type="dxa"/>
            <w:bottom w:w="0" w:type="dxa"/>
          </w:tblCellMar>
        </w:tblPrEx>
        <w:trPr>
          <w:trHeight w:val="221"/>
        </w:trPr>
        <w:tc>
          <w:tcPr>
            <w:tcW w:w="1119" w:type="dxa"/>
            <w:tcBorders>
              <w:top w:val="single" w:sz="4" w:space="0" w:color="auto"/>
              <w:left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70 years</w:t>
            </w:r>
          </w:p>
        </w:tc>
        <w:tc>
          <w:tcPr>
            <w:tcW w:w="866" w:type="dxa"/>
            <w:tcBorders>
              <w:top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1997</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36</w:t>
            </w:r>
          </w:p>
        </w:tc>
        <w:tc>
          <w:tcPr>
            <w:tcW w:w="851"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4</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2</w:t>
            </w:r>
          </w:p>
        </w:tc>
        <w:tc>
          <w:tcPr>
            <w:tcW w:w="1175" w:type="dxa"/>
            <w:tcBorders>
              <w:top w:val="single" w:sz="4" w:space="0" w:color="auto"/>
              <w:right w:val="single" w:sz="4" w:space="0" w:color="auto"/>
            </w:tcBorders>
            <w:vAlign w:val="center"/>
          </w:tcPr>
          <w:p w:rsidR="00000000" w:rsidRDefault="00000000">
            <w:pPr>
              <w:spacing w:before="2" w:after="2"/>
              <w:ind w:right="294"/>
              <w:jc w:val="right"/>
              <w:rPr>
                <w:snapToGrid w:val="0"/>
                <w:sz w:val="18"/>
              </w:rPr>
            </w:pPr>
            <w:r>
              <w:rPr>
                <w:snapToGrid w:val="0"/>
                <w:sz w:val="18"/>
              </w:rPr>
              <w:t>30</w:t>
            </w:r>
          </w:p>
        </w:tc>
        <w:tc>
          <w:tcPr>
            <w:tcW w:w="81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33</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noBreakHyphen/>
            </w:r>
          </w:p>
        </w:tc>
        <w:tc>
          <w:tcPr>
            <w:tcW w:w="851"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w:t>
            </w:r>
          </w:p>
        </w:tc>
        <w:tc>
          <w:tcPr>
            <w:tcW w:w="1134" w:type="dxa"/>
            <w:tcBorders>
              <w:top w:val="single" w:sz="4" w:space="0" w:color="auto"/>
              <w:right w:val="single" w:sz="4" w:space="0" w:color="auto"/>
            </w:tcBorders>
            <w:vAlign w:val="center"/>
          </w:tcPr>
          <w:p w:rsidR="00000000" w:rsidRDefault="00000000">
            <w:pPr>
              <w:spacing w:before="2" w:after="2"/>
              <w:ind w:right="283"/>
              <w:jc w:val="right"/>
              <w:rPr>
                <w:snapToGrid w:val="0"/>
                <w:sz w:val="18"/>
              </w:rPr>
            </w:pPr>
            <w:r>
              <w:rPr>
                <w:snapToGrid w:val="0"/>
                <w:sz w:val="18"/>
              </w:rPr>
              <w:t>32</w:t>
            </w:r>
          </w:p>
        </w:tc>
      </w:tr>
      <w:tr w:rsidR="00000000">
        <w:tblPrEx>
          <w:tblCellMar>
            <w:top w:w="0" w:type="dxa"/>
            <w:bottom w:w="0" w:type="dxa"/>
          </w:tblCellMar>
        </w:tblPrEx>
        <w:trPr>
          <w:trHeight w:val="221"/>
        </w:trPr>
        <w:tc>
          <w:tcPr>
            <w:tcW w:w="1119" w:type="dxa"/>
            <w:tcBorders>
              <w:left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of age or</w:t>
            </w:r>
          </w:p>
        </w:tc>
        <w:tc>
          <w:tcPr>
            <w:tcW w:w="866" w:type="dxa"/>
            <w:tcBorders>
              <w:right w:val="single" w:sz="4" w:space="0" w:color="auto"/>
            </w:tcBorders>
            <w:vAlign w:val="center"/>
          </w:tcPr>
          <w:p w:rsidR="00000000" w:rsidRDefault="00000000">
            <w:pPr>
              <w:spacing w:before="2" w:after="2"/>
              <w:jc w:val="center"/>
              <w:rPr>
                <w:snapToGrid w:val="0"/>
                <w:sz w:val="18"/>
              </w:rPr>
            </w:pPr>
            <w:r>
              <w:rPr>
                <w:snapToGrid w:val="0"/>
                <w:sz w:val="18"/>
              </w:rPr>
              <w:t>1998</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27</w:t>
            </w:r>
          </w:p>
        </w:tc>
        <w:tc>
          <w:tcPr>
            <w:tcW w:w="851"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14</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9</w:t>
            </w:r>
          </w:p>
        </w:tc>
        <w:tc>
          <w:tcPr>
            <w:tcW w:w="1175" w:type="dxa"/>
            <w:tcBorders>
              <w:right w:val="single" w:sz="4" w:space="0" w:color="auto"/>
            </w:tcBorders>
            <w:vAlign w:val="center"/>
          </w:tcPr>
          <w:p w:rsidR="00000000" w:rsidRDefault="00000000">
            <w:pPr>
              <w:spacing w:before="2" w:after="2"/>
              <w:ind w:right="294"/>
              <w:jc w:val="right"/>
              <w:rPr>
                <w:snapToGrid w:val="0"/>
                <w:sz w:val="18"/>
              </w:rPr>
            </w:pPr>
            <w:r>
              <w:rPr>
                <w:snapToGrid w:val="0"/>
                <w:sz w:val="18"/>
              </w:rPr>
              <w:t>4</w:t>
            </w:r>
          </w:p>
        </w:tc>
        <w:tc>
          <w:tcPr>
            <w:tcW w:w="81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11</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7</w:t>
            </w:r>
          </w:p>
        </w:tc>
        <w:tc>
          <w:tcPr>
            <w:tcW w:w="851"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noBreakHyphen/>
            </w:r>
          </w:p>
        </w:tc>
        <w:tc>
          <w:tcPr>
            <w:tcW w:w="1134" w:type="dxa"/>
            <w:tcBorders>
              <w:right w:val="single" w:sz="4" w:space="0" w:color="auto"/>
            </w:tcBorders>
            <w:vAlign w:val="center"/>
          </w:tcPr>
          <w:p w:rsidR="00000000" w:rsidRDefault="00000000">
            <w:pPr>
              <w:spacing w:before="2" w:after="2"/>
              <w:ind w:right="283"/>
              <w:jc w:val="right"/>
              <w:rPr>
                <w:snapToGrid w:val="0"/>
                <w:sz w:val="18"/>
              </w:rPr>
            </w:pPr>
            <w:r>
              <w:rPr>
                <w:snapToGrid w:val="0"/>
                <w:sz w:val="18"/>
              </w:rPr>
              <w:t>4</w:t>
            </w:r>
          </w:p>
        </w:tc>
      </w:tr>
      <w:tr w:rsidR="00000000">
        <w:tblPrEx>
          <w:tblCellMar>
            <w:top w:w="0" w:type="dxa"/>
            <w:bottom w:w="0" w:type="dxa"/>
          </w:tblCellMar>
        </w:tblPrEx>
        <w:trPr>
          <w:trHeight w:val="221"/>
        </w:trPr>
        <w:tc>
          <w:tcPr>
            <w:tcW w:w="1119" w:type="dxa"/>
            <w:tcBorders>
              <w:left w:val="single" w:sz="4" w:space="0" w:color="auto"/>
              <w:bottom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older</w:t>
            </w:r>
          </w:p>
        </w:tc>
        <w:tc>
          <w:tcPr>
            <w:tcW w:w="866" w:type="dxa"/>
            <w:tcBorders>
              <w:bottom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1999</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39</w:t>
            </w:r>
          </w:p>
        </w:tc>
        <w:tc>
          <w:tcPr>
            <w:tcW w:w="851"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28</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11</w:t>
            </w:r>
          </w:p>
        </w:tc>
        <w:tc>
          <w:tcPr>
            <w:tcW w:w="1175" w:type="dxa"/>
            <w:tcBorders>
              <w:bottom w:val="single" w:sz="4" w:space="0" w:color="auto"/>
              <w:right w:val="single" w:sz="4" w:space="0" w:color="auto"/>
            </w:tcBorders>
            <w:vAlign w:val="center"/>
          </w:tcPr>
          <w:p w:rsidR="00000000" w:rsidRDefault="00000000">
            <w:pPr>
              <w:spacing w:before="2" w:after="2"/>
              <w:ind w:right="294"/>
              <w:jc w:val="right"/>
              <w:rPr>
                <w:snapToGrid w:val="0"/>
                <w:sz w:val="18"/>
              </w:rPr>
            </w:pPr>
            <w:r>
              <w:rPr>
                <w:snapToGrid w:val="0"/>
                <w:sz w:val="18"/>
              </w:rPr>
              <w:noBreakHyphen/>
            </w:r>
          </w:p>
        </w:tc>
        <w:tc>
          <w:tcPr>
            <w:tcW w:w="81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12</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10</w:t>
            </w:r>
          </w:p>
        </w:tc>
        <w:tc>
          <w:tcPr>
            <w:tcW w:w="851"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2</w:t>
            </w:r>
          </w:p>
        </w:tc>
        <w:tc>
          <w:tcPr>
            <w:tcW w:w="1134" w:type="dxa"/>
            <w:tcBorders>
              <w:bottom w:val="single" w:sz="4" w:space="0" w:color="auto"/>
              <w:right w:val="single" w:sz="4" w:space="0" w:color="auto"/>
            </w:tcBorders>
            <w:vAlign w:val="center"/>
          </w:tcPr>
          <w:p w:rsidR="00000000" w:rsidRDefault="00000000">
            <w:pPr>
              <w:spacing w:before="2" w:after="2"/>
              <w:ind w:right="283"/>
              <w:jc w:val="right"/>
              <w:rPr>
                <w:snapToGrid w:val="0"/>
                <w:sz w:val="18"/>
              </w:rPr>
            </w:pPr>
            <w:r>
              <w:rPr>
                <w:snapToGrid w:val="0"/>
                <w:sz w:val="18"/>
              </w:rPr>
              <w:noBreakHyphen/>
            </w:r>
          </w:p>
        </w:tc>
      </w:tr>
      <w:tr w:rsidR="00000000">
        <w:tblPrEx>
          <w:tblCellMar>
            <w:top w:w="0" w:type="dxa"/>
            <w:bottom w:w="0" w:type="dxa"/>
          </w:tblCellMar>
        </w:tblPrEx>
        <w:trPr>
          <w:trHeight w:val="221"/>
        </w:trPr>
        <w:tc>
          <w:tcPr>
            <w:tcW w:w="1119" w:type="dxa"/>
            <w:tcBorders>
              <w:top w:val="single" w:sz="4" w:space="0" w:color="auto"/>
              <w:left w:val="single" w:sz="4" w:space="0" w:color="auto"/>
              <w:right w:val="single" w:sz="4" w:space="0" w:color="auto"/>
            </w:tcBorders>
            <w:vAlign w:val="center"/>
          </w:tcPr>
          <w:p w:rsidR="00000000" w:rsidRDefault="00000000">
            <w:pPr>
              <w:spacing w:before="2" w:after="2"/>
              <w:jc w:val="center"/>
              <w:rPr>
                <w:snapToGrid w:val="0"/>
                <w:sz w:val="18"/>
              </w:rPr>
            </w:pPr>
          </w:p>
        </w:tc>
        <w:tc>
          <w:tcPr>
            <w:tcW w:w="866" w:type="dxa"/>
            <w:tcBorders>
              <w:top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1997</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2 034</w:t>
            </w:r>
          </w:p>
        </w:tc>
        <w:tc>
          <w:tcPr>
            <w:tcW w:w="851"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628</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293</w:t>
            </w:r>
          </w:p>
        </w:tc>
        <w:tc>
          <w:tcPr>
            <w:tcW w:w="1175" w:type="dxa"/>
            <w:tcBorders>
              <w:top w:val="single" w:sz="4" w:space="0" w:color="auto"/>
              <w:right w:val="single" w:sz="4" w:space="0" w:color="auto"/>
            </w:tcBorders>
            <w:vAlign w:val="center"/>
          </w:tcPr>
          <w:p w:rsidR="00000000" w:rsidRDefault="00000000">
            <w:pPr>
              <w:spacing w:before="2" w:after="2"/>
              <w:ind w:right="294"/>
              <w:jc w:val="right"/>
              <w:rPr>
                <w:snapToGrid w:val="0"/>
                <w:sz w:val="18"/>
              </w:rPr>
            </w:pPr>
            <w:r>
              <w:rPr>
                <w:snapToGrid w:val="0"/>
                <w:sz w:val="18"/>
              </w:rPr>
              <w:t>1 113</w:t>
            </w:r>
          </w:p>
        </w:tc>
        <w:tc>
          <w:tcPr>
            <w:tcW w:w="81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2 071</w:t>
            </w:r>
          </w:p>
        </w:tc>
        <w:tc>
          <w:tcPr>
            <w:tcW w:w="850"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350</w:t>
            </w:r>
          </w:p>
        </w:tc>
        <w:tc>
          <w:tcPr>
            <w:tcW w:w="851" w:type="dxa"/>
            <w:tcBorders>
              <w:top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734</w:t>
            </w:r>
          </w:p>
        </w:tc>
        <w:tc>
          <w:tcPr>
            <w:tcW w:w="1134" w:type="dxa"/>
            <w:tcBorders>
              <w:top w:val="single" w:sz="4" w:space="0" w:color="auto"/>
              <w:right w:val="single" w:sz="4" w:space="0" w:color="auto"/>
            </w:tcBorders>
            <w:vAlign w:val="center"/>
          </w:tcPr>
          <w:p w:rsidR="00000000" w:rsidRDefault="00000000">
            <w:pPr>
              <w:spacing w:before="2" w:after="2"/>
              <w:ind w:right="283"/>
              <w:jc w:val="right"/>
              <w:rPr>
                <w:snapToGrid w:val="0"/>
                <w:sz w:val="18"/>
              </w:rPr>
            </w:pPr>
            <w:r>
              <w:rPr>
                <w:snapToGrid w:val="0"/>
                <w:sz w:val="18"/>
              </w:rPr>
              <w:t>987</w:t>
            </w:r>
          </w:p>
        </w:tc>
      </w:tr>
      <w:tr w:rsidR="00000000">
        <w:tblPrEx>
          <w:tblCellMar>
            <w:top w:w="0" w:type="dxa"/>
            <w:bottom w:w="0" w:type="dxa"/>
          </w:tblCellMar>
        </w:tblPrEx>
        <w:trPr>
          <w:trHeight w:val="221"/>
        </w:trPr>
        <w:tc>
          <w:tcPr>
            <w:tcW w:w="1119" w:type="dxa"/>
            <w:tcBorders>
              <w:left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Unknown</w:t>
            </w:r>
          </w:p>
        </w:tc>
        <w:tc>
          <w:tcPr>
            <w:tcW w:w="866" w:type="dxa"/>
            <w:tcBorders>
              <w:right w:val="single" w:sz="4" w:space="0" w:color="auto"/>
            </w:tcBorders>
            <w:vAlign w:val="center"/>
          </w:tcPr>
          <w:p w:rsidR="00000000" w:rsidRDefault="00000000">
            <w:pPr>
              <w:spacing w:before="2" w:after="2"/>
              <w:jc w:val="center"/>
              <w:rPr>
                <w:snapToGrid w:val="0"/>
                <w:sz w:val="18"/>
              </w:rPr>
            </w:pPr>
            <w:r>
              <w:rPr>
                <w:snapToGrid w:val="0"/>
                <w:sz w:val="18"/>
              </w:rPr>
              <w:t>1998</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1 165</w:t>
            </w:r>
          </w:p>
        </w:tc>
        <w:tc>
          <w:tcPr>
            <w:tcW w:w="851"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668</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317</w:t>
            </w:r>
          </w:p>
        </w:tc>
        <w:tc>
          <w:tcPr>
            <w:tcW w:w="1175" w:type="dxa"/>
            <w:tcBorders>
              <w:right w:val="single" w:sz="4" w:space="0" w:color="auto"/>
            </w:tcBorders>
            <w:vAlign w:val="center"/>
          </w:tcPr>
          <w:p w:rsidR="00000000" w:rsidRDefault="00000000">
            <w:pPr>
              <w:spacing w:before="2" w:after="2"/>
              <w:ind w:right="294"/>
              <w:jc w:val="right"/>
              <w:rPr>
                <w:snapToGrid w:val="0"/>
                <w:sz w:val="18"/>
              </w:rPr>
            </w:pPr>
            <w:r>
              <w:rPr>
                <w:snapToGrid w:val="0"/>
                <w:sz w:val="18"/>
              </w:rPr>
              <w:t>180</w:t>
            </w:r>
          </w:p>
        </w:tc>
        <w:tc>
          <w:tcPr>
            <w:tcW w:w="81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1 042</w:t>
            </w:r>
          </w:p>
        </w:tc>
        <w:tc>
          <w:tcPr>
            <w:tcW w:w="850"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443</w:t>
            </w:r>
          </w:p>
        </w:tc>
        <w:tc>
          <w:tcPr>
            <w:tcW w:w="851" w:type="dxa"/>
            <w:tcBorders>
              <w:right w:val="single" w:sz="4" w:space="0" w:color="auto"/>
            </w:tcBorders>
            <w:vAlign w:val="center"/>
          </w:tcPr>
          <w:p w:rsidR="00000000" w:rsidRDefault="00000000">
            <w:pPr>
              <w:spacing w:before="2" w:after="2"/>
              <w:ind w:right="170"/>
              <w:jc w:val="right"/>
              <w:rPr>
                <w:snapToGrid w:val="0"/>
                <w:sz w:val="18"/>
              </w:rPr>
            </w:pPr>
            <w:r>
              <w:rPr>
                <w:snapToGrid w:val="0"/>
                <w:sz w:val="18"/>
              </w:rPr>
              <w:t>431</w:t>
            </w:r>
          </w:p>
        </w:tc>
        <w:tc>
          <w:tcPr>
            <w:tcW w:w="1134" w:type="dxa"/>
            <w:tcBorders>
              <w:right w:val="single" w:sz="4" w:space="0" w:color="auto"/>
            </w:tcBorders>
            <w:vAlign w:val="center"/>
          </w:tcPr>
          <w:p w:rsidR="00000000" w:rsidRDefault="00000000">
            <w:pPr>
              <w:spacing w:before="2" w:after="2"/>
              <w:ind w:right="283"/>
              <w:jc w:val="right"/>
              <w:rPr>
                <w:snapToGrid w:val="0"/>
                <w:sz w:val="18"/>
              </w:rPr>
            </w:pPr>
            <w:r>
              <w:rPr>
                <w:snapToGrid w:val="0"/>
                <w:sz w:val="18"/>
              </w:rPr>
              <w:t>168</w:t>
            </w:r>
          </w:p>
        </w:tc>
      </w:tr>
      <w:tr w:rsidR="00000000">
        <w:tblPrEx>
          <w:tblCellMar>
            <w:top w:w="0" w:type="dxa"/>
            <w:bottom w:w="0" w:type="dxa"/>
          </w:tblCellMar>
        </w:tblPrEx>
        <w:trPr>
          <w:trHeight w:val="221"/>
        </w:trPr>
        <w:tc>
          <w:tcPr>
            <w:tcW w:w="1119" w:type="dxa"/>
            <w:tcBorders>
              <w:left w:val="single" w:sz="4" w:space="0" w:color="auto"/>
              <w:bottom w:val="single" w:sz="4" w:space="0" w:color="auto"/>
              <w:right w:val="single" w:sz="4" w:space="0" w:color="auto"/>
            </w:tcBorders>
            <w:vAlign w:val="center"/>
          </w:tcPr>
          <w:p w:rsidR="00000000" w:rsidRDefault="00000000">
            <w:pPr>
              <w:spacing w:before="2" w:after="2"/>
              <w:jc w:val="center"/>
              <w:rPr>
                <w:snapToGrid w:val="0"/>
                <w:sz w:val="18"/>
              </w:rPr>
            </w:pPr>
          </w:p>
        </w:tc>
        <w:tc>
          <w:tcPr>
            <w:tcW w:w="866" w:type="dxa"/>
            <w:tcBorders>
              <w:bottom w:val="single" w:sz="4" w:space="0" w:color="auto"/>
              <w:right w:val="single" w:sz="4" w:space="0" w:color="auto"/>
            </w:tcBorders>
            <w:vAlign w:val="center"/>
          </w:tcPr>
          <w:p w:rsidR="00000000" w:rsidRDefault="00000000">
            <w:pPr>
              <w:spacing w:before="2" w:after="2"/>
              <w:jc w:val="center"/>
              <w:rPr>
                <w:snapToGrid w:val="0"/>
                <w:sz w:val="18"/>
              </w:rPr>
            </w:pPr>
            <w:r>
              <w:rPr>
                <w:snapToGrid w:val="0"/>
                <w:sz w:val="18"/>
              </w:rPr>
              <w:t>1999</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642</w:t>
            </w:r>
          </w:p>
        </w:tc>
        <w:tc>
          <w:tcPr>
            <w:tcW w:w="851"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446</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196</w:t>
            </w:r>
          </w:p>
        </w:tc>
        <w:tc>
          <w:tcPr>
            <w:tcW w:w="1175" w:type="dxa"/>
            <w:tcBorders>
              <w:bottom w:val="single" w:sz="4" w:space="0" w:color="auto"/>
              <w:right w:val="single" w:sz="4" w:space="0" w:color="auto"/>
            </w:tcBorders>
            <w:vAlign w:val="center"/>
          </w:tcPr>
          <w:p w:rsidR="00000000" w:rsidRDefault="00000000">
            <w:pPr>
              <w:spacing w:before="2" w:after="2"/>
              <w:ind w:right="294"/>
              <w:jc w:val="right"/>
              <w:rPr>
                <w:snapToGrid w:val="0"/>
                <w:sz w:val="18"/>
              </w:rPr>
            </w:pPr>
            <w:r>
              <w:rPr>
                <w:snapToGrid w:val="0"/>
                <w:sz w:val="18"/>
              </w:rPr>
              <w:noBreakHyphen/>
            </w:r>
          </w:p>
        </w:tc>
        <w:tc>
          <w:tcPr>
            <w:tcW w:w="81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555</w:t>
            </w:r>
          </w:p>
        </w:tc>
        <w:tc>
          <w:tcPr>
            <w:tcW w:w="850"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281</w:t>
            </w:r>
          </w:p>
        </w:tc>
        <w:tc>
          <w:tcPr>
            <w:tcW w:w="851" w:type="dxa"/>
            <w:tcBorders>
              <w:bottom w:val="single" w:sz="4" w:space="0" w:color="auto"/>
              <w:right w:val="single" w:sz="4" w:space="0" w:color="auto"/>
            </w:tcBorders>
            <w:vAlign w:val="center"/>
          </w:tcPr>
          <w:p w:rsidR="00000000" w:rsidRDefault="00000000">
            <w:pPr>
              <w:spacing w:before="2" w:after="2"/>
              <w:ind w:right="170"/>
              <w:jc w:val="right"/>
              <w:rPr>
                <w:snapToGrid w:val="0"/>
                <w:sz w:val="18"/>
              </w:rPr>
            </w:pPr>
            <w:r>
              <w:rPr>
                <w:snapToGrid w:val="0"/>
                <w:sz w:val="18"/>
              </w:rPr>
              <w:t>274</w:t>
            </w:r>
          </w:p>
        </w:tc>
        <w:tc>
          <w:tcPr>
            <w:tcW w:w="1134" w:type="dxa"/>
            <w:tcBorders>
              <w:bottom w:val="single" w:sz="4" w:space="0" w:color="auto"/>
              <w:right w:val="single" w:sz="4" w:space="0" w:color="auto"/>
            </w:tcBorders>
            <w:vAlign w:val="center"/>
          </w:tcPr>
          <w:p w:rsidR="00000000" w:rsidRDefault="00000000">
            <w:pPr>
              <w:spacing w:before="2" w:after="2"/>
              <w:ind w:right="283"/>
              <w:jc w:val="right"/>
              <w:rPr>
                <w:snapToGrid w:val="0"/>
                <w:sz w:val="18"/>
              </w:rPr>
            </w:pPr>
            <w:r>
              <w:rPr>
                <w:snapToGrid w:val="0"/>
                <w:sz w:val="18"/>
              </w:rPr>
              <w:noBreakHyphen/>
            </w:r>
          </w:p>
        </w:tc>
      </w:tr>
    </w:tbl>
    <w:p w:rsidR="00000000" w:rsidRDefault="00000000">
      <w:pPr>
        <w:rPr>
          <w:sz w:val="18"/>
        </w:rPr>
      </w:pPr>
    </w:p>
    <w:p w:rsidR="00000000" w:rsidRDefault="00000000">
      <w:pPr>
        <w:spacing w:line="360" w:lineRule="auto"/>
        <w:rPr>
          <w:sz w:val="18"/>
        </w:rPr>
      </w:pPr>
      <w:r>
        <w:rPr>
          <w:sz w:val="18"/>
        </w:rPr>
        <w:tab/>
      </w:r>
      <w:r>
        <w:rPr>
          <w:sz w:val="18"/>
          <w:u w:val="single"/>
        </w:rPr>
        <w:t>Source</w:t>
      </w:r>
      <w:r>
        <w:rPr>
          <w:sz w:val="18"/>
        </w:rPr>
        <w:t>:  DATAPREV, CAT.</w:t>
      </w:r>
    </w:p>
    <w:p w:rsidR="00000000" w:rsidRDefault="00000000">
      <w:pPr>
        <w:spacing w:line="360" w:lineRule="auto"/>
        <w:rPr>
          <w:sz w:val="18"/>
        </w:rPr>
      </w:pPr>
      <w:r>
        <w:rPr>
          <w:sz w:val="18"/>
        </w:rPr>
        <w:tab/>
        <w:t>Please note:  The data are incomplete and are subject to corrections.</w:t>
      </w:r>
    </w:p>
    <w:p w:rsidR="00000000" w:rsidRDefault="00000000">
      <w:pPr>
        <w:rPr>
          <w:snapToGrid w:val="0"/>
          <w:kern w:val="2"/>
          <w:sz w:val="18"/>
        </w:rPr>
      </w:pPr>
      <w:r>
        <w:rPr>
          <w:snapToGrid w:val="0"/>
          <w:kern w:val="2"/>
          <w:sz w:val="18"/>
        </w:rPr>
        <w:tab/>
        <w:t>*  In 1997 gender variables began to be included in the data transmitted by the various units to the central database under the CAT system.  As additional units adopt these procedures there will be a constant and gradual decrease in the number of gender cases that are considered to be unknown.</w:t>
      </w:r>
    </w:p>
    <w:p w:rsidR="00000000" w:rsidRDefault="00000000">
      <w:pPr>
        <w:pStyle w:val="Heading1"/>
        <w:rPr>
          <w:snapToGrid w:val="0"/>
          <w:kern w:val="2"/>
          <w:sz w:val="18"/>
        </w:rPr>
      </w:pPr>
      <w:r>
        <w:rPr>
          <w:snapToGrid w:val="0"/>
          <w:kern w:val="2"/>
        </w:rPr>
        <w:br w:type="page"/>
      </w:r>
      <w:r>
        <w:rPr>
          <w:snapToGrid w:val="0"/>
          <w:kern w:val="2"/>
          <w:sz w:val="18"/>
        </w:rPr>
        <w:t>Table 30</w:t>
      </w:r>
    </w:p>
    <w:p w:rsidR="00000000" w:rsidRDefault="00000000">
      <w:pPr>
        <w:pStyle w:val="Heading1"/>
        <w:rPr>
          <w:snapToGrid w:val="0"/>
          <w:kern w:val="2"/>
          <w:sz w:val="18"/>
        </w:rPr>
      </w:pPr>
    </w:p>
    <w:p w:rsidR="00000000" w:rsidRDefault="00000000">
      <w:pPr>
        <w:pStyle w:val="Heading1"/>
        <w:rPr>
          <w:snapToGrid w:val="0"/>
          <w:sz w:val="18"/>
        </w:rPr>
      </w:pPr>
      <w:r>
        <w:rPr>
          <w:snapToGrid w:val="0"/>
          <w:sz w:val="18"/>
        </w:rPr>
        <w:t>Number of workplace accidents recorded by cause, gender and age bracket, 1997</w:t>
      </w:r>
      <w:r>
        <w:rPr>
          <w:snapToGrid w:val="0"/>
          <w:sz w:val="18"/>
        </w:rPr>
        <w:noBreakHyphen/>
        <w:t>1999</w:t>
      </w:r>
    </w:p>
    <w:p w:rsidR="00000000" w:rsidRDefault="00000000">
      <w:pPr>
        <w:rPr>
          <w:sz w:val="18"/>
        </w:rPr>
      </w:pPr>
    </w:p>
    <w:tbl>
      <w:tblPr>
        <w:tblW w:w="0" w:type="auto"/>
        <w:tblInd w:w="29"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194"/>
        <w:gridCol w:w="888"/>
        <w:gridCol w:w="889"/>
        <w:gridCol w:w="889"/>
        <w:gridCol w:w="889"/>
        <w:gridCol w:w="889"/>
        <w:gridCol w:w="889"/>
        <w:gridCol w:w="888"/>
        <w:gridCol w:w="889"/>
        <w:gridCol w:w="889"/>
      </w:tblGrid>
      <w:tr w:rsidR="00000000">
        <w:tblPrEx>
          <w:tblCellMar>
            <w:top w:w="0" w:type="dxa"/>
            <w:bottom w:w="0" w:type="dxa"/>
          </w:tblCellMar>
        </w:tblPrEx>
        <w:trPr>
          <w:trHeight w:val="93"/>
        </w:trPr>
        <w:tc>
          <w:tcPr>
            <w:tcW w:w="1194" w:type="dxa"/>
            <w:tcBorders>
              <w:bottom w:val="nil"/>
            </w:tcBorders>
            <w:vAlign w:val="center"/>
          </w:tcPr>
          <w:p w:rsidR="00000000" w:rsidRDefault="00000000">
            <w:pPr>
              <w:jc w:val="center"/>
              <w:rPr>
                <w:snapToGrid w:val="0"/>
                <w:sz w:val="18"/>
              </w:rPr>
            </w:pPr>
          </w:p>
        </w:tc>
        <w:tc>
          <w:tcPr>
            <w:tcW w:w="888" w:type="dxa"/>
            <w:tcBorders>
              <w:top w:val="single" w:sz="4" w:space="0" w:color="auto"/>
              <w:bottom w:val="nil"/>
            </w:tcBorders>
            <w:vAlign w:val="center"/>
          </w:tcPr>
          <w:p w:rsidR="00000000" w:rsidRDefault="00000000">
            <w:pPr>
              <w:tabs>
                <w:tab w:val="center" w:pos="1302"/>
              </w:tabs>
              <w:jc w:val="center"/>
              <w:rPr>
                <w:snapToGrid w:val="0"/>
                <w:sz w:val="18"/>
              </w:rPr>
            </w:pPr>
          </w:p>
        </w:tc>
        <w:tc>
          <w:tcPr>
            <w:tcW w:w="7111" w:type="dxa"/>
            <w:gridSpan w:val="8"/>
            <w:tcBorders>
              <w:top w:val="single" w:sz="4" w:space="0" w:color="auto"/>
              <w:bottom w:val="nil"/>
            </w:tcBorders>
            <w:vAlign w:val="center"/>
          </w:tcPr>
          <w:p w:rsidR="00000000" w:rsidRDefault="00000000">
            <w:pPr>
              <w:jc w:val="center"/>
              <w:rPr>
                <w:snapToGrid w:val="0"/>
                <w:sz w:val="18"/>
              </w:rPr>
            </w:pPr>
            <w:r>
              <w:rPr>
                <w:snapToGrid w:val="0"/>
                <w:sz w:val="18"/>
              </w:rPr>
              <w:t>Number of workplace accidents recorded</w:t>
            </w:r>
          </w:p>
        </w:tc>
      </w:tr>
      <w:tr w:rsidR="00000000">
        <w:tblPrEx>
          <w:tblCellMar>
            <w:top w:w="0" w:type="dxa"/>
            <w:bottom w:w="0" w:type="dxa"/>
          </w:tblCellMar>
        </w:tblPrEx>
        <w:trPr>
          <w:trHeight w:val="93"/>
        </w:trPr>
        <w:tc>
          <w:tcPr>
            <w:tcW w:w="1194" w:type="dxa"/>
            <w:tcBorders>
              <w:bottom w:val="nil"/>
            </w:tcBorders>
            <w:vAlign w:val="center"/>
          </w:tcPr>
          <w:p w:rsidR="00000000" w:rsidRDefault="00000000">
            <w:pPr>
              <w:jc w:val="center"/>
              <w:rPr>
                <w:snapToGrid w:val="0"/>
                <w:sz w:val="18"/>
              </w:rPr>
            </w:pPr>
            <w:r>
              <w:rPr>
                <w:snapToGrid w:val="0"/>
                <w:sz w:val="18"/>
              </w:rPr>
              <w:t>Age</w:t>
            </w:r>
          </w:p>
        </w:tc>
        <w:tc>
          <w:tcPr>
            <w:tcW w:w="888" w:type="dxa"/>
            <w:tcBorders>
              <w:top w:val="nil"/>
              <w:bottom w:val="nil"/>
            </w:tcBorders>
            <w:vAlign w:val="center"/>
          </w:tcPr>
          <w:p w:rsidR="00000000" w:rsidRDefault="00000000">
            <w:pPr>
              <w:tabs>
                <w:tab w:val="center" w:pos="1302"/>
              </w:tabs>
              <w:jc w:val="center"/>
              <w:rPr>
                <w:snapToGrid w:val="0"/>
                <w:sz w:val="18"/>
              </w:rPr>
            </w:pPr>
            <w:r>
              <w:rPr>
                <w:snapToGrid w:val="0"/>
                <w:sz w:val="18"/>
              </w:rPr>
              <w:t>Years</w:t>
            </w:r>
          </w:p>
        </w:tc>
        <w:tc>
          <w:tcPr>
            <w:tcW w:w="3556" w:type="dxa"/>
            <w:gridSpan w:val="4"/>
            <w:tcBorders>
              <w:top w:val="single" w:sz="4" w:space="0" w:color="auto"/>
              <w:bottom w:val="single" w:sz="4" w:space="0" w:color="auto"/>
            </w:tcBorders>
            <w:vAlign w:val="center"/>
          </w:tcPr>
          <w:p w:rsidR="00000000" w:rsidRDefault="00000000">
            <w:pPr>
              <w:jc w:val="center"/>
              <w:rPr>
                <w:snapToGrid w:val="0"/>
                <w:sz w:val="18"/>
              </w:rPr>
            </w:pPr>
            <w:r>
              <w:rPr>
                <w:snapToGrid w:val="0"/>
                <w:sz w:val="18"/>
              </w:rPr>
              <w:t>Total</w:t>
            </w:r>
          </w:p>
        </w:tc>
        <w:tc>
          <w:tcPr>
            <w:tcW w:w="3555" w:type="dxa"/>
            <w:gridSpan w:val="4"/>
            <w:tcBorders>
              <w:top w:val="single" w:sz="4" w:space="0" w:color="auto"/>
              <w:bottom w:val="single" w:sz="4" w:space="0" w:color="auto"/>
            </w:tcBorders>
            <w:vAlign w:val="center"/>
          </w:tcPr>
          <w:p w:rsidR="00000000" w:rsidRDefault="00000000">
            <w:pPr>
              <w:jc w:val="center"/>
              <w:rPr>
                <w:snapToGrid w:val="0"/>
                <w:sz w:val="18"/>
              </w:rPr>
            </w:pPr>
            <w:r>
              <w:rPr>
                <w:snapToGrid w:val="0"/>
                <w:sz w:val="18"/>
              </w:rPr>
              <w:t>Typical accidents</w:t>
            </w:r>
          </w:p>
        </w:tc>
      </w:tr>
      <w:tr w:rsidR="00000000">
        <w:tblPrEx>
          <w:tblCellMar>
            <w:top w:w="0" w:type="dxa"/>
            <w:bottom w:w="0" w:type="dxa"/>
          </w:tblCellMar>
        </w:tblPrEx>
        <w:trPr>
          <w:trHeight w:val="181"/>
        </w:trPr>
        <w:tc>
          <w:tcPr>
            <w:tcW w:w="1194" w:type="dxa"/>
            <w:tcBorders>
              <w:top w:val="nil"/>
              <w:bottom w:val="single" w:sz="4" w:space="0" w:color="auto"/>
            </w:tcBorders>
            <w:vAlign w:val="center"/>
          </w:tcPr>
          <w:p w:rsidR="00000000" w:rsidRDefault="00000000">
            <w:pPr>
              <w:jc w:val="center"/>
              <w:rPr>
                <w:snapToGrid w:val="0"/>
                <w:sz w:val="18"/>
              </w:rPr>
            </w:pPr>
          </w:p>
        </w:tc>
        <w:tc>
          <w:tcPr>
            <w:tcW w:w="888" w:type="dxa"/>
            <w:tcBorders>
              <w:top w:val="nil"/>
              <w:bottom w:val="single" w:sz="4" w:space="0" w:color="auto"/>
            </w:tcBorders>
            <w:vAlign w:val="center"/>
          </w:tcPr>
          <w:p w:rsidR="00000000" w:rsidRDefault="00000000">
            <w:pPr>
              <w:jc w:val="center"/>
              <w:rPr>
                <w:snapToGrid w:val="0"/>
                <w:sz w:val="18"/>
              </w:rPr>
            </w:pPr>
          </w:p>
        </w:tc>
        <w:tc>
          <w:tcPr>
            <w:tcW w:w="889" w:type="dxa"/>
            <w:tcBorders>
              <w:top w:val="single" w:sz="4" w:space="0" w:color="auto"/>
              <w:bottom w:val="single" w:sz="4" w:space="0" w:color="auto"/>
            </w:tcBorders>
            <w:vAlign w:val="center"/>
          </w:tcPr>
          <w:p w:rsidR="00000000" w:rsidRDefault="00000000">
            <w:pPr>
              <w:jc w:val="center"/>
              <w:rPr>
                <w:snapToGrid w:val="0"/>
                <w:sz w:val="18"/>
              </w:rPr>
            </w:pPr>
            <w:r>
              <w:rPr>
                <w:snapToGrid w:val="0"/>
                <w:sz w:val="18"/>
              </w:rPr>
              <w:t>Total</w:t>
            </w:r>
          </w:p>
        </w:tc>
        <w:tc>
          <w:tcPr>
            <w:tcW w:w="889" w:type="dxa"/>
            <w:tcBorders>
              <w:top w:val="single" w:sz="4" w:space="0" w:color="auto"/>
              <w:bottom w:val="single" w:sz="4" w:space="0" w:color="auto"/>
            </w:tcBorders>
            <w:vAlign w:val="center"/>
          </w:tcPr>
          <w:p w:rsidR="00000000" w:rsidRDefault="00000000">
            <w:pPr>
              <w:jc w:val="center"/>
              <w:rPr>
                <w:snapToGrid w:val="0"/>
                <w:sz w:val="18"/>
              </w:rPr>
            </w:pPr>
            <w:r>
              <w:rPr>
                <w:snapToGrid w:val="0"/>
                <w:sz w:val="18"/>
              </w:rPr>
              <w:t>Men</w:t>
            </w:r>
          </w:p>
        </w:tc>
        <w:tc>
          <w:tcPr>
            <w:tcW w:w="889" w:type="dxa"/>
            <w:tcBorders>
              <w:top w:val="single" w:sz="4" w:space="0" w:color="auto"/>
              <w:bottom w:val="single" w:sz="4" w:space="0" w:color="auto"/>
            </w:tcBorders>
            <w:vAlign w:val="center"/>
          </w:tcPr>
          <w:p w:rsidR="00000000" w:rsidRDefault="00000000">
            <w:pPr>
              <w:jc w:val="center"/>
              <w:rPr>
                <w:snapToGrid w:val="0"/>
                <w:sz w:val="18"/>
              </w:rPr>
            </w:pPr>
            <w:r>
              <w:rPr>
                <w:snapToGrid w:val="0"/>
                <w:sz w:val="18"/>
              </w:rPr>
              <w:t>Women</w:t>
            </w:r>
          </w:p>
        </w:tc>
        <w:tc>
          <w:tcPr>
            <w:tcW w:w="889" w:type="dxa"/>
            <w:tcBorders>
              <w:top w:val="single" w:sz="4" w:space="0" w:color="auto"/>
              <w:bottom w:val="single" w:sz="4" w:space="0" w:color="auto"/>
            </w:tcBorders>
            <w:vAlign w:val="center"/>
          </w:tcPr>
          <w:p w:rsidR="00000000" w:rsidRDefault="00000000">
            <w:pPr>
              <w:jc w:val="center"/>
              <w:rPr>
                <w:snapToGrid w:val="0"/>
                <w:sz w:val="18"/>
              </w:rPr>
            </w:pPr>
            <w:r>
              <w:rPr>
                <w:snapToGrid w:val="0"/>
                <w:sz w:val="18"/>
              </w:rPr>
              <w:t>Unknown*</w:t>
            </w:r>
          </w:p>
        </w:tc>
        <w:tc>
          <w:tcPr>
            <w:tcW w:w="889" w:type="dxa"/>
            <w:tcBorders>
              <w:top w:val="nil"/>
              <w:bottom w:val="single" w:sz="4" w:space="0" w:color="auto"/>
            </w:tcBorders>
            <w:vAlign w:val="center"/>
          </w:tcPr>
          <w:p w:rsidR="00000000" w:rsidRDefault="00000000">
            <w:pPr>
              <w:jc w:val="center"/>
              <w:rPr>
                <w:snapToGrid w:val="0"/>
                <w:sz w:val="18"/>
              </w:rPr>
            </w:pPr>
            <w:r>
              <w:rPr>
                <w:snapToGrid w:val="0"/>
                <w:sz w:val="18"/>
              </w:rPr>
              <w:t>Total</w:t>
            </w:r>
          </w:p>
        </w:tc>
        <w:tc>
          <w:tcPr>
            <w:tcW w:w="888" w:type="dxa"/>
            <w:tcBorders>
              <w:top w:val="nil"/>
              <w:bottom w:val="single" w:sz="4" w:space="0" w:color="auto"/>
            </w:tcBorders>
            <w:vAlign w:val="center"/>
          </w:tcPr>
          <w:p w:rsidR="00000000" w:rsidRDefault="00000000">
            <w:pPr>
              <w:jc w:val="center"/>
              <w:rPr>
                <w:snapToGrid w:val="0"/>
                <w:sz w:val="18"/>
              </w:rPr>
            </w:pPr>
            <w:r>
              <w:rPr>
                <w:snapToGrid w:val="0"/>
                <w:sz w:val="18"/>
              </w:rPr>
              <w:t>Men</w:t>
            </w:r>
          </w:p>
        </w:tc>
        <w:tc>
          <w:tcPr>
            <w:tcW w:w="889" w:type="dxa"/>
            <w:tcBorders>
              <w:top w:val="nil"/>
              <w:bottom w:val="single" w:sz="4" w:space="0" w:color="auto"/>
            </w:tcBorders>
            <w:vAlign w:val="center"/>
          </w:tcPr>
          <w:p w:rsidR="00000000" w:rsidRDefault="00000000">
            <w:pPr>
              <w:jc w:val="center"/>
              <w:rPr>
                <w:snapToGrid w:val="0"/>
                <w:sz w:val="18"/>
              </w:rPr>
            </w:pPr>
            <w:r>
              <w:rPr>
                <w:snapToGrid w:val="0"/>
                <w:sz w:val="18"/>
              </w:rPr>
              <w:t>Women</w:t>
            </w:r>
          </w:p>
        </w:tc>
        <w:tc>
          <w:tcPr>
            <w:tcW w:w="889" w:type="dxa"/>
            <w:tcBorders>
              <w:top w:val="nil"/>
              <w:bottom w:val="single" w:sz="4" w:space="0" w:color="auto"/>
            </w:tcBorders>
            <w:vAlign w:val="center"/>
          </w:tcPr>
          <w:p w:rsidR="00000000" w:rsidRDefault="00000000">
            <w:pPr>
              <w:jc w:val="center"/>
              <w:rPr>
                <w:snapToGrid w:val="0"/>
                <w:sz w:val="18"/>
              </w:rPr>
            </w:pPr>
            <w:r>
              <w:rPr>
                <w:snapToGrid w:val="0"/>
                <w:sz w:val="18"/>
              </w:rPr>
              <w:t>Unknown*</w:t>
            </w:r>
          </w:p>
        </w:tc>
      </w:tr>
      <w:tr w:rsidR="00000000">
        <w:tblPrEx>
          <w:tblCellMar>
            <w:top w:w="0" w:type="dxa"/>
            <w:bottom w:w="0" w:type="dxa"/>
          </w:tblCellMar>
        </w:tblPrEx>
        <w:trPr>
          <w:trHeight w:val="216"/>
        </w:trPr>
        <w:tc>
          <w:tcPr>
            <w:tcW w:w="1194" w:type="dxa"/>
            <w:tcBorders>
              <w:top w:val="single" w:sz="4" w:space="0" w:color="auto"/>
            </w:tcBorders>
            <w:vAlign w:val="center"/>
          </w:tcPr>
          <w:p w:rsidR="00000000" w:rsidRDefault="00000000">
            <w:pPr>
              <w:jc w:val="center"/>
              <w:rPr>
                <w:snapToGrid w:val="0"/>
                <w:sz w:val="18"/>
              </w:rPr>
            </w:pPr>
          </w:p>
        </w:tc>
        <w:tc>
          <w:tcPr>
            <w:tcW w:w="888" w:type="dxa"/>
            <w:tcBorders>
              <w:top w:val="single" w:sz="4" w:space="0" w:color="auto"/>
            </w:tcBorders>
            <w:vAlign w:val="center"/>
          </w:tcPr>
          <w:p w:rsidR="00000000" w:rsidRDefault="00000000">
            <w:pPr>
              <w:jc w:val="center"/>
              <w:rPr>
                <w:b/>
                <w:snapToGrid w:val="0"/>
                <w:sz w:val="18"/>
              </w:rPr>
            </w:pPr>
            <w:r>
              <w:rPr>
                <w:b/>
                <w:snapToGrid w:val="0"/>
                <w:sz w:val="18"/>
              </w:rPr>
              <w:t>1997</w:t>
            </w:r>
          </w:p>
        </w:tc>
        <w:tc>
          <w:tcPr>
            <w:tcW w:w="889" w:type="dxa"/>
            <w:tcBorders>
              <w:top w:val="single" w:sz="4" w:space="0" w:color="auto"/>
            </w:tcBorders>
            <w:vAlign w:val="center"/>
          </w:tcPr>
          <w:p w:rsidR="00000000" w:rsidRDefault="00000000">
            <w:pPr>
              <w:ind w:right="170"/>
              <w:jc w:val="right"/>
              <w:rPr>
                <w:b/>
                <w:snapToGrid w:val="0"/>
                <w:sz w:val="18"/>
              </w:rPr>
            </w:pPr>
            <w:r>
              <w:rPr>
                <w:b/>
                <w:snapToGrid w:val="0"/>
                <w:sz w:val="18"/>
              </w:rPr>
              <w:t>421 343</w:t>
            </w:r>
          </w:p>
        </w:tc>
        <w:tc>
          <w:tcPr>
            <w:tcW w:w="889" w:type="dxa"/>
            <w:tcBorders>
              <w:top w:val="single" w:sz="4" w:space="0" w:color="auto"/>
            </w:tcBorders>
            <w:vAlign w:val="center"/>
          </w:tcPr>
          <w:p w:rsidR="00000000" w:rsidRDefault="00000000">
            <w:pPr>
              <w:ind w:right="170"/>
              <w:jc w:val="right"/>
              <w:rPr>
                <w:b/>
                <w:snapToGrid w:val="0"/>
                <w:sz w:val="18"/>
              </w:rPr>
            </w:pPr>
            <w:r>
              <w:rPr>
                <w:b/>
                <w:snapToGrid w:val="0"/>
                <w:sz w:val="18"/>
              </w:rPr>
              <w:t>118 349</w:t>
            </w:r>
          </w:p>
        </w:tc>
        <w:tc>
          <w:tcPr>
            <w:tcW w:w="889" w:type="dxa"/>
            <w:tcBorders>
              <w:top w:val="single" w:sz="4" w:space="0" w:color="auto"/>
            </w:tcBorders>
            <w:vAlign w:val="center"/>
          </w:tcPr>
          <w:p w:rsidR="00000000" w:rsidRDefault="00000000">
            <w:pPr>
              <w:ind w:right="170"/>
              <w:jc w:val="right"/>
              <w:rPr>
                <w:b/>
                <w:snapToGrid w:val="0"/>
                <w:sz w:val="18"/>
              </w:rPr>
            </w:pPr>
            <w:r>
              <w:rPr>
                <w:b/>
                <w:snapToGrid w:val="0"/>
                <w:sz w:val="18"/>
              </w:rPr>
              <w:t>32 400</w:t>
            </w:r>
          </w:p>
        </w:tc>
        <w:tc>
          <w:tcPr>
            <w:tcW w:w="889" w:type="dxa"/>
            <w:tcBorders>
              <w:top w:val="single" w:sz="4" w:space="0" w:color="auto"/>
            </w:tcBorders>
            <w:vAlign w:val="center"/>
          </w:tcPr>
          <w:p w:rsidR="00000000" w:rsidRDefault="00000000">
            <w:pPr>
              <w:ind w:right="170"/>
              <w:jc w:val="right"/>
              <w:rPr>
                <w:b/>
                <w:snapToGrid w:val="0"/>
                <w:sz w:val="18"/>
              </w:rPr>
            </w:pPr>
            <w:r>
              <w:rPr>
                <w:b/>
                <w:snapToGrid w:val="0"/>
                <w:sz w:val="18"/>
              </w:rPr>
              <w:t>270 594</w:t>
            </w:r>
          </w:p>
        </w:tc>
        <w:tc>
          <w:tcPr>
            <w:tcW w:w="889" w:type="dxa"/>
            <w:tcBorders>
              <w:top w:val="single" w:sz="4" w:space="0" w:color="auto"/>
            </w:tcBorders>
            <w:vAlign w:val="center"/>
          </w:tcPr>
          <w:p w:rsidR="00000000" w:rsidRDefault="00000000">
            <w:pPr>
              <w:ind w:right="170"/>
              <w:jc w:val="right"/>
              <w:rPr>
                <w:b/>
                <w:snapToGrid w:val="0"/>
                <w:sz w:val="18"/>
              </w:rPr>
            </w:pPr>
            <w:r>
              <w:rPr>
                <w:b/>
                <w:snapToGrid w:val="0"/>
                <w:sz w:val="18"/>
              </w:rPr>
              <w:t>347 482</w:t>
            </w:r>
          </w:p>
        </w:tc>
        <w:tc>
          <w:tcPr>
            <w:tcW w:w="888" w:type="dxa"/>
            <w:tcBorders>
              <w:top w:val="single" w:sz="4" w:space="0" w:color="auto"/>
            </w:tcBorders>
            <w:vAlign w:val="center"/>
          </w:tcPr>
          <w:p w:rsidR="00000000" w:rsidRDefault="00000000">
            <w:pPr>
              <w:ind w:right="170"/>
              <w:jc w:val="right"/>
              <w:rPr>
                <w:b/>
                <w:snapToGrid w:val="0"/>
                <w:sz w:val="18"/>
              </w:rPr>
            </w:pPr>
            <w:r>
              <w:rPr>
                <w:b/>
                <w:snapToGrid w:val="0"/>
                <w:sz w:val="18"/>
              </w:rPr>
              <w:t>98 605</w:t>
            </w:r>
          </w:p>
        </w:tc>
        <w:tc>
          <w:tcPr>
            <w:tcW w:w="889" w:type="dxa"/>
            <w:tcBorders>
              <w:top w:val="single" w:sz="4" w:space="0" w:color="auto"/>
            </w:tcBorders>
            <w:vAlign w:val="center"/>
          </w:tcPr>
          <w:p w:rsidR="00000000" w:rsidRDefault="00000000">
            <w:pPr>
              <w:ind w:right="170"/>
              <w:jc w:val="right"/>
              <w:rPr>
                <w:b/>
                <w:snapToGrid w:val="0"/>
                <w:sz w:val="18"/>
              </w:rPr>
            </w:pPr>
            <w:r>
              <w:rPr>
                <w:b/>
                <w:snapToGrid w:val="0"/>
                <w:sz w:val="18"/>
              </w:rPr>
              <w:t>15 714</w:t>
            </w:r>
          </w:p>
        </w:tc>
        <w:tc>
          <w:tcPr>
            <w:tcW w:w="889" w:type="dxa"/>
            <w:tcBorders>
              <w:top w:val="single" w:sz="4" w:space="0" w:color="auto"/>
            </w:tcBorders>
            <w:vAlign w:val="center"/>
          </w:tcPr>
          <w:p w:rsidR="00000000" w:rsidRDefault="00000000">
            <w:pPr>
              <w:ind w:right="170"/>
              <w:jc w:val="right"/>
              <w:rPr>
                <w:b/>
                <w:snapToGrid w:val="0"/>
                <w:sz w:val="18"/>
              </w:rPr>
            </w:pPr>
            <w:r>
              <w:rPr>
                <w:b/>
                <w:snapToGrid w:val="0"/>
                <w:sz w:val="18"/>
              </w:rPr>
              <w:t>233 163</w:t>
            </w:r>
          </w:p>
        </w:tc>
      </w:tr>
      <w:tr w:rsidR="00000000">
        <w:tblPrEx>
          <w:tblCellMar>
            <w:top w:w="0" w:type="dxa"/>
            <w:bottom w:w="0" w:type="dxa"/>
          </w:tblCellMar>
        </w:tblPrEx>
        <w:trPr>
          <w:trHeight w:val="221"/>
        </w:trPr>
        <w:tc>
          <w:tcPr>
            <w:tcW w:w="1194" w:type="dxa"/>
            <w:tcBorders>
              <w:bottom w:val="nil"/>
            </w:tcBorders>
            <w:vAlign w:val="center"/>
          </w:tcPr>
          <w:p w:rsidR="00000000" w:rsidRDefault="00000000">
            <w:pPr>
              <w:jc w:val="center"/>
              <w:rPr>
                <w:b/>
                <w:snapToGrid w:val="0"/>
                <w:sz w:val="18"/>
              </w:rPr>
            </w:pPr>
            <w:r>
              <w:rPr>
                <w:b/>
                <w:snapToGrid w:val="0"/>
                <w:sz w:val="18"/>
              </w:rPr>
              <w:t>Total</w:t>
            </w:r>
          </w:p>
        </w:tc>
        <w:tc>
          <w:tcPr>
            <w:tcW w:w="888" w:type="dxa"/>
            <w:tcBorders>
              <w:bottom w:val="nil"/>
            </w:tcBorders>
            <w:vAlign w:val="center"/>
          </w:tcPr>
          <w:p w:rsidR="00000000" w:rsidRDefault="00000000">
            <w:pPr>
              <w:jc w:val="center"/>
              <w:rPr>
                <w:b/>
                <w:snapToGrid w:val="0"/>
                <w:sz w:val="18"/>
              </w:rPr>
            </w:pPr>
            <w:r>
              <w:rPr>
                <w:b/>
                <w:snapToGrid w:val="0"/>
                <w:sz w:val="18"/>
              </w:rPr>
              <w:t>1998</w:t>
            </w:r>
          </w:p>
        </w:tc>
        <w:tc>
          <w:tcPr>
            <w:tcW w:w="889" w:type="dxa"/>
            <w:tcBorders>
              <w:bottom w:val="nil"/>
            </w:tcBorders>
            <w:vAlign w:val="center"/>
          </w:tcPr>
          <w:p w:rsidR="00000000" w:rsidRDefault="00000000">
            <w:pPr>
              <w:ind w:right="170"/>
              <w:jc w:val="right"/>
              <w:rPr>
                <w:b/>
                <w:snapToGrid w:val="0"/>
                <w:sz w:val="18"/>
              </w:rPr>
            </w:pPr>
            <w:r>
              <w:rPr>
                <w:b/>
                <w:snapToGrid w:val="0"/>
                <w:sz w:val="18"/>
              </w:rPr>
              <w:t>414 341</w:t>
            </w:r>
          </w:p>
        </w:tc>
        <w:tc>
          <w:tcPr>
            <w:tcW w:w="889" w:type="dxa"/>
            <w:tcBorders>
              <w:bottom w:val="nil"/>
            </w:tcBorders>
            <w:vAlign w:val="center"/>
          </w:tcPr>
          <w:p w:rsidR="00000000" w:rsidRDefault="00000000">
            <w:pPr>
              <w:ind w:right="170"/>
              <w:jc w:val="right"/>
              <w:rPr>
                <w:b/>
                <w:snapToGrid w:val="0"/>
                <w:sz w:val="18"/>
              </w:rPr>
            </w:pPr>
            <w:r>
              <w:rPr>
                <w:b/>
                <w:snapToGrid w:val="0"/>
                <w:sz w:val="18"/>
              </w:rPr>
              <w:t>298 399</w:t>
            </w:r>
          </w:p>
        </w:tc>
        <w:tc>
          <w:tcPr>
            <w:tcW w:w="889" w:type="dxa"/>
            <w:tcBorders>
              <w:bottom w:val="nil"/>
            </w:tcBorders>
            <w:vAlign w:val="center"/>
          </w:tcPr>
          <w:p w:rsidR="00000000" w:rsidRDefault="00000000">
            <w:pPr>
              <w:ind w:right="170"/>
              <w:jc w:val="right"/>
              <w:rPr>
                <w:b/>
                <w:snapToGrid w:val="0"/>
                <w:sz w:val="18"/>
              </w:rPr>
            </w:pPr>
            <w:r>
              <w:rPr>
                <w:b/>
                <w:snapToGrid w:val="0"/>
                <w:sz w:val="18"/>
              </w:rPr>
              <w:t>72 142</w:t>
            </w:r>
          </w:p>
        </w:tc>
        <w:tc>
          <w:tcPr>
            <w:tcW w:w="889" w:type="dxa"/>
            <w:tcBorders>
              <w:bottom w:val="nil"/>
            </w:tcBorders>
            <w:vAlign w:val="center"/>
          </w:tcPr>
          <w:p w:rsidR="00000000" w:rsidRDefault="00000000">
            <w:pPr>
              <w:ind w:right="170"/>
              <w:jc w:val="right"/>
              <w:rPr>
                <w:b/>
                <w:snapToGrid w:val="0"/>
                <w:sz w:val="18"/>
              </w:rPr>
            </w:pPr>
            <w:r>
              <w:rPr>
                <w:b/>
                <w:snapToGrid w:val="0"/>
                <w:sz w:val="18"/>
              </w:rPr>
              <w:t>43 800</w:t>
            </w:r>
          </w:p>
        </w:tc>
        <w:tc>
          <w:tcPr>
            <w:tcW w:w="889" w:type="dxa"/>
            <w:tcBorders>
              <w:bottom w:val="nil"/>
            </w:tcBorders>
            <w:vAlign w:val="center"/>
          </w:tcPr>
          <w:p w:rsidR="00000000" w:rsidRDefault="00000000">
            <w:pPr>
              <w:ind w:right="170"/>
              <w:jc w:val="right"/>
              <w:rPr>
                <w:b/>
                <w:snapToGrid w:val="0"/>
                <w:sz w:val="18"/>
              </w:rPr>
            </w:pPr>
            <w:r>
              <w:rPr>
                <w:b/>
                <w:snapToGrid w:val="0"/>
                <w:sz w:val="18"/>
              </w:rPr>
              <w:t>347 738</w:t>
            </w:r>
          </w:p>
        </w:tc>
        <w:tc>
          <w:tcPr>
            <w:tcW w:w="888" w:type="dxa"/>
            <w:tcBorders>
              <w:bottom w:val="nil"/>
            </w:tcBorders>
            <w:vAlign w:val="center"/>
          </w:tcPr>
          <w:p w:rsidR="00000000" w:rsidRDefault="00000000">
            <w:pPr>
              <w:ind w:right="170"/>
              <w:jc w:val="right"/>
              <w:rPr>
                <w:b/>
                <w:snapToGrid w:val="0"/>
                <w:sz w:val="18"/>
              </w:rPr>
            </w:pPr>
            <w:r>
              <w:rPr>
                <w:b/>
                <w:snapToGrid w:val="0"/>
                <w:sz w:val="18"/>
              </w:rPr>
              <w:t>260 052</w:t>
            </w:r>
          </w:p>
        </w:tc>
        <w:tc>
          <w:tcPr>
            <w:tcW w:w="889" w:type="dxa"/>
            <w:tcBorders>
              <w:bottom w:val="nil"/>
            </w:tcBorders>
            <w:vAlign w:val="center"/>
          </w:tcPr>
          <w:p w:rsidR="00000000" w:rsidRDefault="00000000">
            <w:pPr>
              <w:ind w:right="170"/>
              <w:jc w:val="right"/>
              <w:rPr>
                <w:b/>
                <w:snapToGrid w:val="0"/>
                <w:sz w:val="18"/>
              </w:rPr>
            </w:pPr>
            <w:r>
              <w:rPr>
                <w:b/>
                <w:snapToGrid w:val="0"/>
                <w:sz w:val="18"/>
              </w:rPr>
              <w:t>48 613</w:t>
            </w:r>
          </w:p>
        </w:tc>
        <w:tc>
          <w:tcPr>
            <w:tcW w:w="889" w:type="dxa"/>
            <w:tcBorders>
              <w:bottom w:val="nil"/>
            </w:tcBorders>
            <w:vAlign w:val="center"/>
          </w:tcPr>
          <w:p w:rsidR="00000000" w:rsidRDefault="00000000">
            <w:pPr>
              <w:ind w:right="170"/>
              <w:jc w:val="right"/>
              <w:rPr>
                <w:b/>
                <w:snapToGrid w:val="0"/>
                <w:sz w:val="18"/>
              </w:rPr>
            </w:pPr>
            <w:r>
              <w:rPr>
                <w:b/>
                <w:snapToGrid w:val="0"/>
                <w:sz w:val="18"/>
              </w:rPr>
              <w:t>39 073</w:t>
            </w:r>
          </w:p>
        </w:tc>
      </w:tr>
      <w:tr w:rsidR="00000000">
        <w:tblPrEx>
          <w:tblCellMar>
            <w:top w:w="0" w:type="dxa"/>
            <w:bottom w:w="0" w:type="dxa"/>
          </w:tblCellMar>
        </w:tblPrEx>
        <w:trPr>
          <w:trHeight w:val="221"/>
        </w:trPr>
        <w:tc>
          <w:tcPr>
            <w:tcW w:w="1194" w:type="dxa"/>
            <w:tcBorders>
              <w:top w:val="nil"/>
              <w:bottom w:val="single" w:sz="4" w:space="0" w:color="auto"/>
            </w:tcBorders>
            <w:vAlign w:val="center"/>
          </w:tcPr>
          <w:p w:rsidR="00000000" w:rsidRDefault="00000000">
            <w:pPr>
              <w:jc w:val="center"/>
              <w:rPr>
                <w:b/>
                <w:snapToGrid w:val="0"/>
                <w:sz w:val="18"/>
              </w:rPr>
            </w:pPr>
          </w:p>
        </w:tc>
        <w:tc>
          <w:tcPr>
            <w:tcW w:w="888" w:type="dxa"/>
            <w:tcBorders>
              <w:top w:val="nil"/>
              <w:bottom w:val="single" w:sz="4" w:space="0" w:color="auto"/>
            </w:tcBorders>
            <w:vAlign w:val="center"/>
          </w:tcPr>
          <w:p w:rsidR="00000000" w:rsidRDefault="00000000">
            <w:pPr>
              <w:jc w:val="center"/>
              <w:rPr>
                <w:b/>
                <w:snapToGrid w:val="0"/>
                <w:sz w:val="18"/>
              </w:rPr>
            </w:pPr>
            <w:r>
              <w:rPr>
                <w:b/>
                <w:snapToGrid w:val="0"/>
                <w:sz w:val="18"/>
              </w:rPr>
              <w:t>1999</w:t>
            </w:r>
          </w:p>
        </w:tc>
        <w:tc>
          <w:tcPr>
            <w:tcW w:w="889" w:type="dxa"/>
            <w:tcBorders>
              <w:top w:val="nil"/>
              <w:bottom w:val="single" w:sz="4" w:space="0" w:color="auto"/>
            </w:tcBorders>
            <w:vAlign w:val="center"/>
          </w:tcPr>
          <w:p w:rsidR="00000000" w:rsidRDefault="00000000">
            <w:pPr>
              <w:ind w:right="170"/>
              <w:jc w:val="right"/>
              <w:rPr>
                <w:b/>
                <w:snapToGrid w:val="0"/>
                <w:sz w:val="18"/>
              </w:rPr>
            </w:pPr>
            <w:r>
              <w:rPr>
                <w:b/>
                <w:snapToGrid w:val="0"/>
                <w:sz w:val="18"/>
              </w:rPr>
              <w:t>378 365</w:t>
            </w:r>
          </w:p>
        </w:tc>
        <w:tc>
          <w:tcPr>
            <w:tcW w:w="889" w:type="dxa"/>
            <w:tcBorders>
              <w:top w:val="nil"/>
              <w:bottom w:val="single" w:sz="4" w:space="0" w:color="auto"/>
            </w:tcBorders>
            <w:vAlign w:val="center"/>
          </w:tcPr>
          <w:p w:rsidR="00000000" w:rsidRDefault="00000000">
            <w:pPr>
              <w:ind w:right="170"/>
              <w:jc w:val="right"/>
              <w:rPr>
                <w:b/>
                <w:snapToGrid w:val="0"/>
                <w:sz w:val="18"/>
              </w:rPr>
            </w:pPr>
            <w:r>
              <w:rPr>
                <w:b/>
                <w:snapToGrid w:val="0"/>
                <w:sz w:val="18"/>
              </w:rPr>
              <w:t>302 684</w:t>
            </w:r>
          </w:p>
        </w:tc>
        <w:tc>
          <w:tcPr>
            <w:tcW w:w="889" w:type="dxa"/>
            <w:tcBorders>
              <w:top w:val="nil"/>
              <w:bottom w:val="single" w:sz="4" w:space="0" w:color="auto"/>
            </w:tcBorders>
            <w:vAlign w:val="center"/>
          </w:tcPr>
          <w:p w:rsidR="00000000" w:rsidRDefault="00000000">
            <w:pPr>
              <w:ind w:right="170"/>
              <w:jc w:val="right"/>
              <w:rPr>
                <w:b/>
                <w:snapToGrid w:val="0"/>
                <w:sz w:val="18"/>
              </w:rPr>
            </w:pPr>
            <w:r>
              <w:rPr>
                <w:b/>
                <w:snapToGrid w:val="0"/>
                <w:sz w:val="18"/>
              </w:rPr>
              <w:t>75 026</w:t>
            </w:r>
          </w:p>
        </w:tc>
        <w:tc>
          <w:tcPr>
            <w:tcW w:w="889" w:type="dxa"/>
            <w:tcBorders>
              <w:top w:val="nil"/>
              <w:bottom w:val="single" w:sz="4" w:space="0" w:color="auto"/>
            </w:tcBorders>
            <w:vAlign w:val="center"/>
          </w:tcPr>
          <w:p w:rsidR="00000000" w:rsidRDefault="00000000">
            <w:pPr>
              <w:ind w:right="170"/>
              <w:jc w:val="right"/>
              <w:rPr>
                <w:b/>
                <w:snapToGrid w:val="0"/>
                <w:sz w:val="18"/>
              </w:rPr>
            </w:pPr>
            <w:r>
              <w:rPr>
                <w:b/>
                <w:snapToGrid w:val="0"/>
                <w:sz w:val="18"/>
              </w:rPr>
              <w:t>655</w:t>
            </w:r>
          </w:p>
        </w:tc>
        <w:tc>
          <w:tcPr>
            <w:tcW w:w="889" w:type="dxa"/>
            <w:tcBorders>
              <w:top w:val="nil"/>
              <w:bottom w:val="single" w:sz="4" w:space="0" w:color="auto"/>
            </w:tcBorders>
            <w:vAlign w:val="center"/>
          </w:tcPr>
          <w:p w:rsidR="00000000" w:rsidRDefault="00000000">
            <w:pPr>
              <w:ind w:right="170"/>
              <w:jc w:val="right"/>
              <w:rPr>
                <w:b/>
                <w:snapToGrid w:val="0"/>
                <w:sz w:val="18"/>
              </w:rPr>
            </w:pPr>
            <w:r>
              <w:rPr>
                <w:b/>
                <w:snapToGrid w:val="0"/>
                <w:sz w:val="18"/>
              </w:rPr>
              <w:t>319 617</w:t>
            </w:r>
          </w:p>
        </w:tc>
        <w:tc>
          <w:tcPr>
            <w:tcW w:w="888" w:type="dxa"/>
            <w:tcBorders>
              <w:top w:val="nil"/>
              <w:bottom w:val="single" w:sz="4" w:space="0" w:color="auto"/>
            </w:tcBorders>
            <w:vAlign w:val="center"/>
          </w:tcPr>
          <w:p w:rsidR="00000000" w:rsidRDefault="00000000">
            <w:pPr>
              <w:ind w:right="170"/>
              <w:jc w:val="right"/>
              <w:rPr>
                <w:b/>
                <w:snapToGrid w:val="0"/>
                <w:sz w:val="18"/>
              </w:rPr>
            </w:pPr>
            <w:r>
              <w:rPr>
                <w:b/>
                <w:snapToGrid w:val="0"/>
                <w:sz w:val="18"/>
              </w:rPr>
              <w:t>265 250</w:t>
            </w:r>
          </w:p>
        </w:tc>
        <w:tc>
          <w:tcPr>
            <w:tcW w:w="889" w:type="dxa"/>
            <w:tcBorders>
              <w:top w:val="nil"/>
              <w:bottom w:val="single" w:sz="4" w:space="0" w:color="auto"/>
            </w:tcBorders>
            <w:vAlign w:val="center"/>
          </w:tcPr>
          <w:p w:rsidR="00000000" w:rsidRDefault="00000000">
            <w:pPr>
              <w:ind w:right="170"/>
              <w:jc w:val="right"/>
              <w:rPr>
                <w:b/>
                <w:snapToGrid w:val="0"/>
                <w:sz w:val="18"/>
              </w:rPr>
            </w:pPr>
            <w:r>
              <w:rPr>
                <w:b/>
                <w:snapToGrid w:val="0"/>
                <w:sz w:val="18"/>
              </w:rPr>
              <w:t>53 751</w:t>
            </w:r>
          </w:p>
        </w:tc>
        <w:tc>
          <w:tcPr>
            <w:tcW w:w="889" w:type="dxa"/>
            <w:tcBorders>
              <w:top w:val="nil"/>
              <w:bottom w:val="single" w:sz="4" w:space="0" w:color="auto"/>
            </w:tcBorders>
            <w:vAlign w:val="center"/>
          </w:tcPr>
          <w:p w:rsidR="00000000" w:rsidRDefault="00000000">
            <w:pPr>
              <w:ind w:right="170"/>
              <w:jc w:val="right"/>
              <w:rPr>
                <w:b/>
                <w:snapToGrid w:val="0"/>
                <w:sz w:val="18"/>
              </w:rPr>
            </w:pPr>
            <w:r>
              <w:rPr>
                <w:b/>
                <w:snapToGrid w:val="0"/>
                <w:sz w:val="18"/>
              </w:rPr>
              <w:t>616</w:t>
            </w:r>
          </w:p>
        </w:tc>
      </w:tr>
      <w:tr w:rsidR="00000000">
        <w:tblPrEx>
          <w:tblCellMar>
            <w:top w:w="0" w:type="dxa"/>
            <w:bottom w:w="0" w:type="dxa"/>
          </w:tblCellMar>
        </w:tblPrEx>
        <w:trPr>
          <w:trHeight w:val="221"/>
        </w:trPr>
        <w:tc>
          <w:tcPr>
            <w:tcW w:w="1194" w:type="dxa"/>
            <w:tcBorders>
              <w:top w:val="single" w:sz="4" w:space="0" w:color="auto"/>
            </w:tcBorders>
            <w:vAlign w:val="center"/>
          </w:tcPr>
          <w:p w:rsidR="00000000" w:rsidRDefault="00000000">
            <w:pPr>
              <w:jc w:val="center"/>
              <w:rPr>
                <w:b/>
                <w:snapToGrid w:val="0"/>
                <w:sz w:val="18"/>
              </w:rPr>
            </w:pPr>
            <w:r>
              <w:rPr>
                <w:snapToGrid w:val="0"/>
                <w:sz w:val="18"/>
              </w:rPr>
              <w:t>Up until</w:t>
            </w:r>
          </w:p>
        </w:tc>
        <w:tc>
          <w:tcPr>
            <w:tcW w:w="888" w:type="dxa"/>
            <w:tcBorders>
              <w:top w:val="single" w:sz="4" w:space="0" w:color="auto"/>
            </w:tcBorders>
            <w:vAlign w:val="center"/>
          </w:tcPr>
          <w:p w:rsidR="00000000" w:rsidRDefault="00000000">
            <w:pPr>
              <w:jc w:val="center"/>
              <w:rPr>
                <w:snapToGrid w:val="0"/>
                <w:sz w:val="18"/>
              </w:rPr>
            </w:pPr>
            <w:r>
              <w:rPr>
                <w:snapToGrid w:val="0"/>
                <w:sz w:val="18"/>
              </w:rPr>
              <w:t>1997</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30 901</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8 754</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1 643</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20 504</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27 493</w:t>
            </w:r>
          </w:p>
        </w:tc>
        <w:tc>
          <w:tcPr>
            <w:tcW w:w="888" w:type="dxa"/>
            <w:tcBorders>
              <w:top w:val="single" w:sz="4" w:space="0" w:color="auto"/>
            </w:tcBorders>
            <w:vAlign w:val="center"/>
          </w:tcPr>
          <w:p w:rsidR="00000000" w:rsidRDefault="00000000">
            <w:pPr>
              <w:ind w:right="170"/>
              <w:jc w:val="right"/>
              <w:rPr>
                <w:snapToGrid w:val="0"/>
                <w:sz w:val="18"/>
              </w:rPr>
            </w:pPr>
            <w:r>
              <w:rPr>
                <w:snapToGrid w:val="0"/>
                <w:sz w:val="18"/>
              </w:rPr>
              <w:t>7 581</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1 061</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18 851</w:t>
            </w:r>
          </w:p>
        </w:tc>
      </w:tr>
      <w:tr w:rsidR="00000000">
        <w:tblPrEx>
          <w:tblCellMar>
            <w:top w:w="0" w:type="dxa"/>
            <w:bottom w:w="0" w:type="dxa"/>
          </w:tblCellMar>
        </w:tblPrEx>
        <w:trPr>
          <w:trHeight w:val="221"/>
        </w:trPr>
        <w:tc>
          <w:tcPr>
            <w:tcW w:w="1194" w:type="dxa"/>
            <w:tcBorders>
              <w:bottom w:val="nil"/>
            </w:tcBorders>
            <w:vAlign w:val="center"/>
          </w:tcPr>
          <w:p w:rsidR="00000000" w:rsidRDefault="00000000">
            <w:pPr>
              <w:jc w:val="center"/>
              <w:rPr>
                <w:snapToGrid w:val="0"/>
                <w:sz w:val="18"/>
              </w:rPr>
            </w:pPr>
            <w:r>
              <w:rPr>
                <w:snapToGrid w:val="0"/>
                <w:sz w:val="18"/>
              </w:rPr>
              <w:t>the age</w:t>
            </w:r>
          </w:p>
        </w:tc>
        <w:tc>
          <w:tcPr>
            <w:tcW w:w="888" w:type="dxa"/>
            <w:tcBorders>
              <w:bottom w:val="nil"/>
            </w:tcBorders>
            <w:vAlign w:val="center"/>
          </w:tcPr>
          <w:p w:rsidR="00000000" w:rsidRDefault="00000000">
            <w:pPr>
              <w:jc w:val="center"/>
              <w:rPr>
                <w:snapToGrid w:val="0"/>
                <w:sz w:val="18"/>
              </w:rPr>
            </w:pPr>
            <w:r>
              <w:rPr>
                <w:snapToGrid w:val="0"/>
                <w:sz w:val="18"/>
              </w:rPr>
              <w:t>1998</w:t>
            </w:r>
          </w:p>
        </w:tc>
        <w:tc>
          <w:tcPr>
            <w:tcW w:w="889" w:type="dxa"/>
            <w:tcBorders>
              <w:bottom w:val="nil"/>
            </w:tcBorders>
            <w:vAlign w:val="center"/>
          </w:tcPr>
          <w:p w:rsidR="00000000" w:rsidRDefault="00000000">
            <w:pPr>
              <w:ind w:right="170"/>
              <w:jc w:val="right"/>
              <w:rPr>
                <w:snapToGrid w:val="0"/>
                <w:sz w:val="18"/>
              </w:rPr>
            </w:pPr>
            <w:r>
              <w:rPr>
                <w:snapToGrid w:val="0"/>
                <w:sz w:val="18"/>
              </w:rPr>
              <w:t>29 015</w:t>
            </w:r>
          </w:p>
        </w:tc>
        <w:tc>
          <w:tcPr>
            <w:tcW w:w="889" w:type="dxa"/>
            <w:tcBorders>
              <w:bottom w:val="nil"/>
            </w:tcBorders>
            <w:vAlign w:val="center"/>
          </w:tcPr>
          <w:p w:rsidR="00000000" w:rsidRDefault="00000000">
            <w:pPr>
              <w:ind w:right="170"/>
              <w:jc w:val="right"/>
              <w:rPr>
                <w:snapToGrid w:val="0"/>
                <w:sz w:val="18"/>
              </w:rPr>
            </w:pPr>
            <w:r>
              <w:rPr>
                <w:snapToGrid w:val="0"/>
                <w:sz w:val="18"/>
              </w:rPr>
              <w:t>21 895</w:t>
            </w:r>
          </w:p>
        </w:tc>
        <w:tc>
          <w:tcPr>
            <w:tcW w:w="889" w:type="dxa"/>
            <w:tcBorders>
              <w:bottom w:val="nil"/>
            </w:tcBorders>
            <w:vAlign w:val="center"/>
          </w:tcPr>
          <w:p w:rsidR="00000000" w:rsidRDefault="00000000">
            <w:pPr>
              <w:ind w:right="170"/>
              <w:jc w:val="right"/>
              <w:rPr>
                <w:snapToGrid w:val="0"/>
                <w:sz w:val="18"/>
              </w:rPr>
            </w:pPr>
            <w:r>
              <w:rPr>
                <w:snapToGrid w:val="0"/>
                <w:sz w:val="18"/>
              </w:rPr>
              <w:t>3 813</w:t>
            </w:r>
          </w:p>
        </w:tc>
        <w:tc>
          <w:tcPr>
            <w:tcW w:w="889" w:type="dxa"/>
            <w:tcBorders>
              <w:bottom w:val="nil"/>
            </w:tcBorders>
            <w:vAlign w:val="center"/>
          </w:tcPr>
          <w:p w:rsidR="00000000" w:rsidRDefault="00000000">
            <w:pPr>
              <w:ind w:right="170"/>
              <w:jc w:val="right"/>
              <w:rPr>
                <w:snapToGrid w:val="0"/>
                <w:sz w:val="18"/>
              </w:rPr>
            </w:pPr>
            <w:r>
              <w:rPr>
                <w:snapToGrid w:val="0"/>
                <w:sz w:val="18"/>
              </w:rPr>
              <w:t>3 307</w:t>
            </w:r>
          </w:p>
        </w:tc>
        <w:tc>
          <w:tcPr>
            <w:tcW w:w="889" w:type="dxa"/>
            <w:tcBorders>
              <w:bottom w:val="nil"/>
            </w:tcBorders>
            <w:vAlign w:val="center"/>
          </w:tcPr>
          <w:p w:rsidR="00000000" w:rsidRDefault="00000000">
            <w:pPr>
              <w:ind w:right="170"/>
              <w:jc w:val="right"/>
              <w:rPr>
                <w:snapToGrid w:val="0"/>
                <w:sz w:val="18"/>
              </w:rPr>
            </w:pPr>
            <w:r>
              <w:rPr>
                <w:snapToGrid w:val="0"/>
                <w:sz w:val="18"/>
              </w:rPr>
              <w:t>25 839</w:t>
            </w:r>
          </w:p>
        </w:tc>
        <w:tc>
          <w:tcPr>
            <w:tcW w:w="888" w:type="dxa"/>
            <w:tcBorders>
              <w:bottom w:val="nil"/>
            </w:tcBorders>
            <w:vAlign w:val="center"/>
          </w:tcPr>
          <w:p w:rsidR="00000000" w:rsidRDefault="00000000">
            <w:pPr>
              <w:ind w:right="170"/>
              <w:jc w:val="right"/>
              <w:rPr>
                <w:snapToGrid w:val="0"/>
                <w:sz w:val="18"/>
              </w:rPr>
            </w:pPr>
            <w:r>
              <w:rPr>
                <w:snapToGrid w:val="0"/>
                <w:sz w:val="18"/>
              </w:rPr>
              <w:t>19 839</w:t>
            </w:r>
          </w:p>
        </w:tc>
        <w:tc>
          <w:tcPr>
            <w:tcW w:w="889" w:type="dxa"/>
            <w:tcBorders>
              <w:bottom w:val="nil"/>
            </w:tcBorders>
            <w:vAlign w:val="center"/>
          </w:tcPr>
          <w:p w:rsidR="00000000" w:rsidRDefault="00000000">
            <w:pPr>
              <w:ind w:right="170"/>
              <w:jc w:val="right"/>
              <w:rPr>
                <w:snapToGrid w:val="0"/>
                <w:sz w:val="18"/>
              </w:rPr>
            </w:pPr>
            <w:r>
              <w:rPr>
                <w:snapToGrid w:val="0"/>
                <w:sz w:val="18"/>
              </w:rPr>
              <w:t>2 927</w:t>
            </w:r>
          </w:p>
        </w:tc>
        <w:tc>
          <w:tcPr>
            <w:tcW w:w="889" w:type="dxa"/>
            <w:tcBorders>
              <w:bottom w:val="nil"/>
            </w:tcBorders>
            <w:vAlign w:val="center"/>
          </w:tcPr>
          <w:p w:rsidR="00000000" w:rsidRDefault="00000000">
            <w:pPr>
              <w:ind w:right="170"/>
              <w:jc w:val="right"/>
              <w:rPr>
                <w:snapToGrid w:val="0"/>
                <w:sz w:val="18"/>
              </w:rPr>
            </w:pPr>
            <w:r>
              <w:rPr>
                <w:snapToGrid w:val="0"/>
                <w:sz w:val="18"/>
              </w:rPr>
              <w:t>3 073</w:t>
            </w:r>
          </w:p>
        </w:tc>
      </w:tr>
      <w:tr w:rsidR="00000000">
        <w:tblPrEx>
          <w:tblCellMar>
            <w:top w:w="0" w:type="dxa"/>
            <w:bottom w:w="0" w:type="dxa"/>
          </w:tblCellMar>
        </w:tblPrEx>
        <w:trPr>
          <w:trHeight w:val="221"/>
        </w:trPr>
        <w:tc>
          <w:tcPr>
            <w:tcW w:w="1194" w:type="dxa"/>
            <w:tcBorders>
              <w:top w:val="nil"/>
              <w:bottom w:val="single" w:sz="4" w:space="0" w:color="auto"/>
            </w:tcBorders>
            <w:vAlign w:val="center"/>
          </w:tcPr>
          <w:p w:rsidR="00000000" w:rsidRDefault="00000000">
            <w:pPr>
              <w:jc w:val="center"/>
              <w:rPr>
                <w:snapToGrid w:val="0"/>
                <w:sz w:val="18"/>
              </w:rPr>
            </w:pPr>
            <w:r>
              <w:rPr>
                <w:snapToGrid w:val="0"/>
                <w:sz w:val="18"/>
              </w:rPr>
              <w:t>of 19</w:t>
            </w:r>
          </w:p>
        </w:tc>
        <w:tc>
          <w:tcPr>
            <w:tcW w:w="888" w:type="dxa"/>
            <w:tcBorders>
              <w:top w:val="nil"/>
              <w:bottom w:val="single" w:sz="4" w:space="0" w:color="auto"/>
            </w:tcBorders>
            <w:vAlign w:val="center"/>
          </w:tcPr>
          <w:p w:rsidR="00000000" w:rsidRDefault="00000000">
            <w:pPr>
              <w:jc w:val="center"/>
              <w:rPr>
                <w:snapToGrid w:val="0"/>
                <w:sz w:val="18"/>
              </w:rPr>
            </w:pPr>
            <w:r>
              <w:rPr>
                <w:snapToGrid w:val="0"/>
                <w:sz w:val="18"/>
              </w:rPr>
              <w:t>1999</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24 760</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20 802</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3 892</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66</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21 987</w:t>
            </w:r>
          </w:p>
        </w:tc>
        <w:tc>
          <w:tcPr>
            <w:tcW w:w="888" w:type="dxa"/>
            <w:tcBorders>
              <w:top w:val="nil"/>
              <w:bottom w:val="single" w:sz="4" w:space="0" w:color="auto"/>
            </w:tcBorders>
            <w:vAlign w:val="center"/>
          </w:tcPr>
          <w:p w:rsidR="00000000" w:rsidRDefault="00000000">
            <w:pPr>
              <w:ind w:right="170"/>
              <w:jc w:val="right"/>
              <w:rPr>
                <w:snapToGrid w:val="0"/>
                <w:sz w:val="18"/>
              </w:rPr>
            </w:pPr>
            <w:r>
              <w:rPr>
                <w:snapToGrid w:val="0"/>
                <w:sz w:val="18"/>
              </w:rPr>
              <w:t>18 840</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3 085</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62</w:t>
            </w:r>
          </w:p>
        </w:tc>
      </w:tr>
      <w:tr w:rsidR="00000000">
        <w:tblPrEx>
          <w:tblCellMar>
            <w:top w:w="0" w:type="dxa"/>
            <w:bottom w:w="0" w:type="dxa"/>
          </w:tblCellMar>
        </w:tblPrEx>
        <w:trPr>
          <w:trHeight w:val="221"/>
        </w:trPr>
        <w:tc>
          <w:tcPr>
            <w:tcW w:w="1194" w:type="dxa"/>
            <w:tcBorders>
              <w:top w:val="single" w:sz="4" w:space="0" w:color="auto"/>
            </w:tcBorders>
            <w:vAlign w:val="center"/>
          </w:tcPr>
          <w:p w:rsidR="00000000" w:rsidRDefault="00000000">
            <w:pPr>
              <w:jc w:val="center"/>
              <w:rPr>
                <w:b/>
                <w:snapToGrid w:val="0"/>
                <w:sz w:val="18"/>
              </w:rPr>
            </w:pPr>
            <w:r>
              <w:rPr>
                <w:snapToGrid w:val="0"/>
                <w:sz w:val="18"/>
              </w:rPr>
              <w:t>Ages 20</w:t>
            </w:r>
          </w:p>
        </w:tc>
        <w:tc>
          <w:tcPr>
            <w:tcW w:w="888" w:type="dxa"/>
            <w:tcBorders>
              <w:top w:val="single" w:sz="4" w:space="0" w:color="auto"/>
            </w:tcBorders>
            <w:vAlign w:val="center"/>
          </w:tcPr>
          <w:p w:rsidR="00000000" w:rsidRDefault="00000000">
            <w:pPr>
              <w:jc w:val="center"/>
              <w:rPr>
                <w:snapToGrid w:val="0"/>
                <w:sz w:val="18"/>
              </w:rPr>
            </w:pPr>
            <w:r>
              <w:rPr>
                <w:snapToGrid w:val="0"/>
                <w:sz w:val="18"/>
              </w:rPr>
              <w:t>1997</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73 691</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18 818</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4 054</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50 819</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63 969</w:t>
            </w:r>
          </w:p>
        </w:tc>
        <w:tc>
          <w:tcPr>
            <w:tcW w:w="888" w:type="dxa"/>
            <w:tcBorders>
              <w:top w:val="single" w:sz="4" w:space="0" w:color="auto"/>
            </w:tcBorders>
            <w:vAlign w:val="center"/>
          </w:tcPr>
          <w:p w:rsidR="00000000" w:rsidRDefault="00000000">
            <w:pPr>
              <w:ind w:right="170"/>
              <w:jc w:val="right"/>
              <w:rPr>
                <w:snapToGrid w:val="0"/>
                <w:sz w:val="18"/>
              </w:rPr>
            </w:pPr>
            <w:r>
              <w:rPr>
                <w:snapToGrid w:val="0"/>
                <w:sz w:val="18"/>
              </w:rPr>
              <w:t>15 847</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1 934</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46 188</w:t>
            </w:r>
          </w:p>
        </w:tc>
      </w:tr>
      <w:tr w:rsidR="00000000">
        <w:tblPrEx>
          <w:tblCellMar>
            <w:top w:w="0" w:type="dxa"/>
            <w:bottom w:w="0" w:type="dxa"/>
          </w:tblCellMar>
        </w:tblPrEx>
        <w:trPr>
          <w:trHeight w:val="221"/>
        </w:trPr>
        <w:tc>
          <w:tcPr>
            <w:tcW w:w="1194" w:type="dxa"/>
            <w:tcBorders>
              <w:bottom w:val="nil"/>
            </w:tcBorders>
            <w:vAlign w:val="center"/>
          </w:tcPr>
          <w:p w:rsidR="00000000" w:rsidRDefault="00000000">
            <w:pPr>
              <w:jc w:val="center"/>
              <w:rPr>
                <w:snapToGrid w:val="0"/>
                <w:sz w:val="18"/>
              </w:rPr>
            </w:pPr>
            <w:r>
              <w:rPr>
                <w:snapToGrid w:val="0"/>
                <w:sz w:val="18"/>
              </w:rPr>
              <w:t>to 24</w:t>
            </w:r>
          </w:p>
        </w:tc>
        <w:tc>
          <w:tcPr>
            <w:tcW w:w="888" w:type="dxa"/>
            <w:tcBorders>
              <w:bottom w:val="nil"/>
            </w:tcBorders>
            <w:vAlign w:val="center"/>
          </w:tcPr>
          <w:p w:rsidR="00000000" w:rsidRDefault="00000000">
            <w:pPr>
              <w:jc w:val="center"/>
              <w:rPr>
                <w:snapToGrid w:val="0"/>
                <w:sz w:val="18"/>
              </w:rPr>
            </w:pPr>
            <w:r>
              <w:rPr>
                <w:snapToGrid w:val="0"/>
                <w:sz w:val="18"/>
              </w:rPr>
              <w:t>1998</w:t>
            </w:r>
          </w:p>
        </w:tc>
        <w:tc>
          <w:tcPr>
            <w:tcW w:w="889" w:type="dxa"/>
            <w:tcBorders>
              <w:bottom w:val="nil"/>
            </w:tcBorders>
            <w:vAlign w:val="center"/>
          </w:tcPr>
          <w:p w:rsidR="00000000" w:rsidRDefault="00000000">
            <w:pPr>
              <w:ind w:right="170"/>
              <w:jc w:val="right"/>
              <w:rPr>
                <w:snapToGrid w:val="0"/>
                <w:sz w:val="18"/>
              </w:rPr>
            </w:pPr>
            <w:r>
              <w:rPr>
                <w:snapToGrid w:val="0"/>
                <w:sz w:val="18"/>
              </w:rPr>
              <w:t>74 343</w:t>
            </w:r>
          </w:p>
        </w:tc>
        <w:tc>
          <w:tcPr>
            <w:tcW w:w="889" w:type="dxa"/>
            <w:tcBorders>
              <w:bottom w:val="nil"/>
            </w:tcBorders>
            <w:vAlign w:val="center"/>
          </w:tcPr>
          <w:p w:rsidR="00000000" w:rsidRDefault="00000000">
            <w:pPr>
              <w:ind w:right="170"/>
              <w:jc w:val="right"/>
              <w:rPr>
                <w:snapToGrid w:val="0"/>
                <w:sz w:val="18"/>
              </w:rPr>
            </w:pPr>
            <w:r>
              <w:rPr>
                <w:snapToGrid w:val="0"/>
                <w:sz w:val="18"/>
              </w:rPr>
              <w:t>55 808</w:t>
            </w:r>
          </w:p>
        </w:tc>
        <w:tc>
          <w:tcPr>
            <w:tcW w:w="889" w:type="dxa"/>
            <w:tcBorders>
              <w:bottom w:val="nil"/>
            </w:tcBorders>
            <w:vAlign w:val="center"/>
          </w:tcPr>
          <w:p w:rsidR="00000000" w:rsidRDefault="00000000">
            <w:pPr>
              <w:ind w:right="170"/>
              <w:jc w:val="right"/>
              <w:rPr>
                <w:snapToGrid w:val="0"/>
                <w:sz w:val="18"/>
              </w:rPr>
            </w:pPr>
            <w:r>
              <w:rPr>
                <w:snapToGrid w:val="0"/>
                <w:sz w:val="18"/>
              </w:rPr>
              <w:t>10 186</w:t>
            </w:r>
          </w:p>
        </w:tc>
        <w:tc>
          <w:tcPr>
            <w:tcW w:w="889" w:type="dxa"/>
            <w:tcBorders>
              <w:bottom w:val="nil"/>
            </w:tcBorders>
            <w:vAlign w:val="center"/>
          </w:tcPr>
          <w:p w:rsidR="00000000" w:rsidRDefault="00000000">
            <w:pPr>
              <w:ind w:right="170"/>
              <w:jc w:val="right"/>
              <w:rPr>
                <w:snapToGrid w:val="0"/>
                <w:sz w:val="18"/>
              </w:rPr>
            </w:pPr>
            <w:r>
              <w:rPr>
                <w:snapToGrid w:val="0"/>
                <w:sz w:val="18"/>
              </w:rPr>
              <w:t>8 349</w:t>
            </w:r>
          </w:p>
        </w:tc>
        <w:tc>
          <w:tcPr>
            <w:tcW w:w="889" w:type="dxa"/>
            <w:tcBorders>
              <w:bottom w:val="nil"/>
            </w:tcBorders>
            <w:vAlign w:val="center"/>
          </w:tcPr>
          <w:p w:rsidR="00000000" w:rsidRDefault="00000000">
            <w:pPr>
              <w:ind w:right="170"/>
              <w:jc w:val="right"/>
              <w:rPr>
                <w:snapToGrid w:val="0"/>
                <w:sz w:val="18"/>
              </w:rPr>
            </w:pPr>
            <w:r>
              <w:rPr>
                <w:snapToGrid w:val="0"/>
                <w:sz w:val="18"/>
              </w:rPr>
              <w:t>64 881</w:t>
            </w:r>
          </w:p>
        </w:tc>
        <w:tc>
          <w:tcPr>
            <w:tcW w:w="888" w:type="dxa"/>
            <w:tcBorders>
              <w:bottom w:val="nil"/>
            </w:tcBorders>
            <w:vAlign w:val="center"/>
          </w:tcPr>
          <w:p w:rsidR="00000000" w:rsidRDefault="00000000">
            <w:pPr>
              <w:ind w:right="170"/>
              <w:jc w:val="right"/>
              <w:rPr>
                <w:snapToGrid w:val="0"/>
                <w:sz w:val="18"/>
              </w:rPr>
            </w:pPr>
            <w:r>
              <w:rPr>
                <w:snapToGrid w:val="0"/>
                <w:sz w:val="18"/>
              </w:rPr>
              <w:t>50 272</w:t>
            </w:r>
          </w:p>
        </w:tc>
        <w:tc>
          <w:tcPr>
            <w:tcW w:w="889" w:type="dxa"/>
            <w:tcBorders>
              <w:bottom w:val="nil"/>
            </w:tcBorders>
            <w:vAlign w:val="center"/>
          </w:tcPr>
          <w:p w:rsidR="00000000" w:rsidRDefault="00000000">
            <w:pPr>
              <w:ind w:right="170"/>
              <w:jc w:val="right"/>
              <w:rPr>
                <w:snapToGrid w:val="0"/>
                <w:sz w:val="18"/>
              </w:rPr>
            </w:pPr>
            <w:r>
              <w:rPr>
                <w:snapToGrid w:val="0"/>
                <w:sz w:val="18"/>
              </w:rPr>
              <w:t>6 943</w:t>
            </w:r>
          </w:p>
        </w:tc>
        <w:tc>
          <w:tcPr>
            <w:tcW w:w="889" w:type="dxa"/>
            <w:tcBorders>
              <w:bottom w:val="nil"/>
            </w:tcBorders>
            <w:vAlign w:val="center"/>
          </w:tcPr>
          <w:p w:rsidR="00000000" w:rsidRDefault="00000000">
            <w:pPr>
              <w:ind w:right="170"/>
              <w:jc w:val="right"/>
              <w:rPr>
                <w:snapToGrid w:val="0"/>
                <w:sz w:val="18"/>
              </w:rPr>
            </w:pPr>
            <w:r>
              <w:rPr>
                <w:snapToGrid w:val="0"/>
                <w:sz w:val="18"/>
              </w:rPr>
              <w:t>7 666</w:t>
            </w:r>
          </w:p>
        </w:tc>
      </w:tr>
      <w:tr w:rsidR="00000000">
        <w:tblPrEx>
          <w:tblCellMar>
            <w:top w:w="0" w:type="dxa"/>
            <w:bottom w:w="0" w:type="dxa"/>
          </w:tblCellMar>
        </w:tblPrEx>
        <w:trPr>
          <w:trHeight w:val="221"/>
        </w:trPr>
        <w:tc>
          <w:tcPr>
            <w:tcW w:w="1194" w:type="dxa"/>
            <w:tcBorders>
              <w:top w:val="nil"/>
              <w:bottom w:val="single" w:sz="4" w:space="0" w:color="auto"/>
            </w:tcBorders>
            <w:vAlign w:val="center"/>
          </w:tcPr>
          <w:p w:rsidR="00000000" w:rsidRDefault="00000000">
            <w:pPr>
              <w:jc w:val="center"/>
              <w:rPr>
                <w:snapToGrid w:val="0"/>
                <w:sz w:val="18"/>
              </w:rPr>
            </w:pPr>
          </w:p>
        </w:tc>
        <w:tc>
          <w:tcPr>
            <w:tcW w:w="888" w:type="dxa"/>
            <w:tcBorders>
              <w:top w:val="nil"/>
              <w:bottom w:val="single" w:sz="4" w:space="0" w:color="auto"/>
            </w:tcBorders>
            <w:vAlign w:val="center"/>
          </w:tcPr>
          <w:p w:rsidR="00000000" w:rsidRDefault="00000000">
            <w:pPr>
              <w:jc w:val="center"/>
              <w:rPr>
                <w:snapToGrid w:val="0"/>
                <w:sz w:val="18"/>
              </w:rPr>
            </w:pPr>
            <w:r>
              <w:rPr>
                <w:snapToGrid w:val="0"/>
                <w:sz w:val="18"/>
              </w:rPr>
              <w:t>1999</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69 889</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58 642</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11 094</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153</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60 728</w:t>
            </w:r>
          </w:p>
        </w:tc>
        <w:tc>
          <w:tcPr>
            <w:tcW w:w="888" w:type="dxa"/>
            <w:tcBorders>
              <w:top w:val="nil"/>
              <w:bottom w:val="single" w:sz="4" w:space="0" w:color="auto"/>
            </w:tcBorders>
            <w:vAlign w:val="center"/>
          </w:tcPr>
          <w:p w:rsidR="00000000" w:rsidRDefault="00000000">
            <w:pPr>
              <w:ind w:right="170"/>
              <w:jc w:val="right"/>
              <w:rPr>
                <w:snapToGrid w:val="0"/>
                <w:sz w:val="18"/>
              </w:rPr>
            </w:pPr>
            <w:r>
              <w:rPr>
                <w:snapToGrid w:val="0"/>
                <w:sz w:val="18"/>
              </w:rPr>
              <w:t>52 496</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8 088</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144</w:t>
            </w:r>
          </w:p>
        </w:tc>
      </w:tr>
      <w:tr w:rsidR="00000000">
        <w:tblPrEx>
          <w:tblCellMar>
            <w:top w:w="0" w:type="dxa"/>
            <w:bottom w:w="0" w:type="dxa"/>
          </w:tblCellMar>
        </w:tblPrEx>
        <w:trPr>
          <w:trHeight w:val="221"/>
        </w:trPr>
        <w:tc>
          <w:tcPr>
            <w:tcW w:w="1194" w:type="dxa"/>
            <w:tcBorders>
              <w:top w:val="single" w:sz="4" w:space="0" w:color="auto"/>
            </w:tcBorders>
            <w:vAlign w:val="center"/>
          </w:tcPr>
          <w:p w:rsidR="00000000" w:rsidRDefault="00000000">
            <w:pPr>
              <w:jc w:val="center"/>
              <w:rPr>
                <w:snapToGrid w:val="0"/>
                <w:sz w:val="18"/>
              </w:rPr>
            </w:pPr>
            <w:r>
              <w:rPr>
                <w:snapToGrid w:val="0"/>
                <w:sz w:val="18"/>
              </w:rPr>
              <w:t>Ages 25</w:t>
            </w:r>
          </w:p>
        </w:tc>
        <w:tc>
          <w:tcPr>
            <w:tcW w:w="888" w:type="dxa"/>
            <w:tcBorders>
              <w:top w:val="single" w:sz="4" w:space="0" w:color="auto"/>
            </w:tcBorders>
            <w:vAlign w:val="center"/>
          </w:tcPr>
          <w:p w:rsidR="00000000" w:rsidRDefault="00000000">
            <w:pPr>
              <w:jc w:val="center"/>
              <w:rPr>
                <w:snapToGrid w:val="0"/>
                <w:sz w:val="18"/>
              </w:rPr>
            </w:pPr>
            <w:r>
              <w:rPr>
                <w:snapToGrid w:val="0"/>
                <w:sz w:val="18"/>
              </w:rPr>
              <w:t>1997</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69 500</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18 726</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4 854</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45 920</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58 511</w:t>
            </w:r>
          </w:p>
        </w:tc>
        <w:tc>
          <w:tcPr>
            <w:tcW w:w="888" w:type="dxa"/>
            <w:tcBorders>
              <w:top w:val="single" w:sz="4" w:space="0" w:color="auto"/>
            </w:tcBorders>
            <w:vAlign w:val="center"/>
          </w:tcPr>
          <w:p w:rsidR="00000000" w:rsidRDefault="00000000">
            <w:pPr>
              <w:ind w:right="170"/>
              <w:jc w:val="right"/>
              <w:rPr>
                <w:snapToGrid w:val="0"/>
                <w:sz w:val="18"/>
              </w:rPr>
            </w:pPr>
            <w:r>
              <w:rPr>
                <w:snapToGrid w:val="0"/>
                <w:sz w:val="18"/>
              </w:rPr>
              <w:t>15 443</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2 158</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40 910</w:t>
            </w:r>
          </w:p>
        </w:tc>
      </w:tr>
      <w:tr w:rsidR="00000000">
        <w:tblPrEx>
          <w:tblCellMar>
            <w:top w:w="0" w:type="dxa"/>
            <w:bottom w:w="0" w:type="dxa"/>
          </w:tblCellMar>
        </w:tblPrEx>
        <w:trPr>
          <w:trHeight w:val="221"/>
        </w:trPr>
        <w:tc>
          <w:tcPr>
            <w:tcW w:w="1194" w:type="dxa"/>
            <w:tcBorders>
              <w:bottom w:val="nil"/>
            </w:tcBorders>
            <w:vAlign w:val="center"/>
          </w:tcPr>
          <w:p w:rsidR="00000000" w:rsidRDefault="00000000">
            <w:pPr>
              <w:jc w:val="center"/>
              <w:rPr>
                <w:snapToGrid w:val="0"/>
                <w:sz w:val="18"/>
              </w:rPr>
            </w:pPr>
            <w:r>
              <w:rPr>
                <w:snapToGrid w:val="0"/>
                <w:sz w:val="18"/>
              </w:rPr>
              <w:t>to 29</w:t>
            </w:r>
          </w:p>
        </w:tc>
        <w:tc>
          <w:tcPr>
            <w:tcW w:w="888" w:type="dxa"/>
            <w:tcBorders>
              <w:bottom w:val="nil"/>
            </w:tcBorders>
            <w:vAlign w:val="center"/>
          </w:tcPr>
          <w:p w:rsidR="00000000" w:rsidRDefault="00000000">
            <w:pPr>
              <w:jc w:val="center"/>
              <w:rPr>
                <w:snapToGrid w:val="0"/>
                <w:sz w:val="18"/>
              </w:rPr>
            </w:pPr>
            <w:r>
              <w:rPr>
                <w:snapToGrid w:val="0"/>
                <w:sz w:val="18"/>
              </w:rPr>
              <w:t>1998</w:t>
            </w:r>
          </w:p>
        </w:tc>
        <w:tc>
          <w:tcPr>
            <w:tcW w:w="889" w:type="dxa"/>
            <w:tcBorders>
              <w:bottom w:val="nil"/>
            </w:tcBorders>
            <w:vAlign w:val="center"/>
          </w:tcPr>
          <w:p w:rsidR="00000000" w:rsidRDefault="00000000">
            <w:pPr>
              <w:ind w:right="170"/>
              <w:jc w:val="right"/>
              <w:rPr>
                <w:snapToGrid w:val="0"/>
                <w:sz w:val="18"/>
              </w:rPr>
            </w:pPr>
            <w:r>
              <w:rPr>
                <w:snapToGrid w:val="0"/>
                <w:sz w:val="18"/>
              </w:rPr>
              <w:t>70 973</w:t>
            </w:r>
          </w:p>
        </w:tc>
        <w:tc>
          <w:tcPr>
            <w:tcW w:w="889" w:type="dxa"/>
            <w:tcBorders>
              <w:bottom w:val="nil"/>
            </w:tcBorders>
            <w:vAlign w:val="center"/>
          </w:tcPr>
          <w:p w:rsidR="00000000" w:rsidRDefault="00000000">
            <w:pPr>
              <w:ind w:right="170"/>
              <w:jc w:val="right"/>
              <w:rPr>
                <w:snapToGrid w:val="0"/>
                <w:sz w:val="18"/>
              </w:rPr>
            </w:pPr>
            <w:r>
              <w:rPr>
                <w:snapToGrid w:val="0"/>
                <w:sz w:val="18"/>
              </w:rPr>
              <w:t>51 935</w:t>
            </w:r>
          </w:p>
        </w:tc>
        <w:tc>
          <w:tcPr>
            <w:tcW w:w="889" w:type="dxa"/>
            <w:tcBorders>
              <w:bottom w:val="nil"/>
            </w:tcBorders>
            <w:vAlign w:val="center"/>
          </w:tcPr>
          <w:p w:rsidR="00000000" w:rsidRDefault="00000000">
            <w:pPr>
              <w:ind w:right="170"/>
              <w:jc w:val="right"/>
              <w:rPr>
                <w:snapToGrid w:val="0"/>
                <w:sz w:val="18"/>
              </w:rPr>
            </w:pPr>
            <w:r>
              <w:rPr>
                <w:snapToGrid w:val="0"/>
                <w:sz w:val="18"/>
              </w:rPr>
              <w:t>11 417</w:t>
            </w:r>
          </w:p>
        </w:tc>
        <w:tc>
          <w:tcPr>
            <w:tcW w:w="889" w:type="dxa"/>
            <w:tcBorders>
              <w:bottom w:val="nil"/>
            </w:tcBorders>
            <w:vAlign w:val="center"/>
          </w:tcPr>
          <w:p w:rsidR="00000000" w:rsidRDefault="00000000">
            <w:pPr>
              <w:ind w:right="170"/>
              <w:jc w:val="right"/>
              <w:rPr>
                <w:snapToGrid w:val="0"/>
                <w:sz w:val="18"/>
              </w:rPr>
            </w:pPr>
            <w:r>
              <w:rPr>
                <w:snapToGrid w:val="0"/>
                <w:sz w:val="18"/>
              </w:rPr>
              <w:t>7 621</w:t>
            </w:r>
          </w:p>
        </w:tc>
        <w:tc>
          <w:tcPr>
            <w:tcW w:w="889" w:type="dxa"/>
            <w:tcBorders>
              <w:bottom w:val="nil"/>
            </w:tcBorders>
            <w:vAlign w:val="center"/>
          </w:tcPr>
          <w:p w:rsidR="00000000" w:rsidRDefault="00000000">
            <w:pPr>
              <w:ind w:right="170"/>
              <w:jc w:val="right"/>
              <w:rPr>
                <w:snapToGrid w:val="0"/>
                <w:sz w:val="18"/>
              </w:rPr>
            </w:pPr>
            <w:r>
              <w:rPr>
                <w:snapToGrid w:val="0"/>
                <w:sz w:val="18"/>
              </w:rPr>
              <w:t>60 477</w:t>
            </w:r>
          </w:p>
        </w:tc>
        <w:tc>
          <w:tcPr>
            <w:tcW w:w="888" w:type="dxa"/>
            <w:tcBorders>
              <w:bottom w:val="nil"/>
            </w:tcBorders>
            <w:vAlign w:val="center"/>
          </w:tcPr>
          <w:p w:rsidR="00000000" w:rsidRDefault="00000000">
            <w:pPr>
              <w:ind w:right="170"/>
              <w:jc w:val="right"/>
              <w:rPr>
                <w:snapToGrid w:val="0"/>
                <w:sz w:val="18"/>
              </w:rPr>
            </w:pPr>
            <w:r>
              <w:rPr>
                <w:snapToGrid w:val="0"/>
                <w:sz w:val="18"/>
              </w:rPr>
              <w:t>45 972</w:t>
            </w:r>
          </w:p>
        </w:tc>
        <w:tc>
          <w:tcPr>
            <w:tcW w:w="889" w:type="dxa"/>
            <w:tcBorders>
              <w:bottom w:val="nil"/>
            </w:tcBorders>
            <w:vAlign w:val="center"/>
          </w:tcPr>
          <w:p w:rsidR="00000000" w:rsidRDefault="00000000">
            <w:pPr>
              <w:ind w:right="170"/>
              <w:jc w:val="right"/>
              <w:rPr>
                <w:snapToGrid w:val="0"/>
                <w:sz w:val="18"/>
              </w:rPr>
            </w:pPr>
            <w:r>
              <w:rPr>
                <w:snapToGrid w:val="0"/>
                <w:sz w:val="18"/>
              </w:rPr>
              <w:t>7 579</w:t>
            </w:r>
          </w:p>
        </w:tc>
        <w:tc>
          <w:tcPr>
            <w:tcW w:w="889" w:type="dxa"/>
            <w:tcBorders>
              <w:bottom w:val="nil"/>
            </w:tcBorders>
            <w:vAlign w:val="center"/>
          </w:tcPr>
          <w:p w:rsidR="00000000" w:rsidRDefault="00000000">
            <w:pPr>
              <w:ind w:right="170"/>
              <w:jc w:val="right"/>
              <w:rPr>
                <w:snapToGrid w:val="0"/>
                <w:sz w:val="18"/>
              </w:rPr>
            </w:pPr>
            <w:r>
              <w:rPr>
                <w:snapToGrid w:val="0"/>
                <w:sz w:val="18"/>
              </w:rPr>
              <w:t>6 926</w:t>
            </w:r>
          </w:p>
        </w:tc>
      </w:tr>
      <w:tr w:rsidR="00000000">
        <w:tblPrEx>
          <w:tblCellMar>
            <w:top w:w="0" w:type="dxa"/>
            <w:bottom w:w="0" w:type="dxa"/>
          </w:tblCellMar>
        </w:tblPrEx>
        <w:trPr>
          <w:trHeight w:val="221"/>
        </w:trPr>
        <w:tc>
          <w:tcPr>
            <w:tcW w:w="1194" w:type="dxa"/>
            <w:tcBorders>
              <w:top w:val="nil"/>
              <w:bottom w:val="single" w:sz="4" w:space="0" w:color="auto"/>
            </w:tcBorders>
            <w:vAlign w:val="center"/>
          </w:tcPr>
          <w:p w:rsidR="00000000" w:rsidRDefault="00000000">
            <w:pPr>
              <w:jc w:val="center"/>
              <w:rPr>
                <w:snapToGrid w:val="0"/>
                <w:sz w:val="18"/>
              </w:rPr>
            </w:pPr>
          </w:p>
        </w:tc>
        <w:tc>
          <w:tcPr>
            <w:tcW w:w="888" w:type="dxa"/>
            <w:tcBorders>
              <w:top w:val="nil"/>
              <w:bottom w:val="single" w:sz="4" w:space="0" w:color="auto"/>
            </w:tcBorders>
            <w:vAlign w:val="center"/>
          </w:tcPr>
          <w:p w:rsidR="00000000" w:rsidRDefault="00000000">
            <w:pPr>
              <w:jc w:val="center"/>
              <w:rPr>
                <w:snapToGrid w:val="0"/>
                <w:sz w:val="18"/>
              </w:rPr>
            </w:pPr>
            <w:r>
              <w:rPr>
                <w:snapToGrid w:val="0"/>
                <w:sz w:val="18"/>
              </w:rPr>
              <w:t>1999</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66 198</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54 137</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11 943</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118</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56 502</w:t>
            </w:r>
          </w:p>
        </w:tc>
        <w:tc>
          <w:tcPr>
            <w:tcW w:w="888" w:type="dxa"/>
            <w:tcBorders>
              <w:top w:val="nil"/>
              <w:bottom w:val="single" w:sz="4" w:space="0" w:color="auto"/>
            </w:tcBorders>
            <w:vAlign w:val="center"/>
          </w:tcPr>
          <w:p w:rsidR="00000000" w:rsidRDefault="00000000">
            <w:pPr>
              <w:ind w:right="170"/>
              <w:jc w:val="right"/>
              <w:rPr>
                <w:snapToGrid w:val="0"/>
                <w:sz w:val="18"/>
              </w:rPr>
            </w:pPr>
            <w:r>
              <w:rPr>
                <w:snapToGrid w:val="0"/>
                <w:sz w:val="18"/>
              </w:rPr>
              <w:t>47 945</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8 444</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113</w:t>
            </w:r>
          </w:p>
        </w:tc>
      </w:tr>
      <w:tr w:rsidR="00000000">
        <w:tblPrEx>
          <w:tblCellMar>
            <w:top w:w="0" w:type="dxa"/>
            <w:bottom w:w="0" w:type="dxa"/>
          </w:tblCellMar>
        </w:tblPrEx>
        <w:trPr>
          <w:trHeight w:val="221"/>
        </w:trPr>
        <w:tc>
          <w:tcPr>
            <w:tcW w:w="1194" w:type="dxa"/>
            <w:tcBorders>
              <w:top w:val="single" w:sz="4" w:space="0" w:color="auto"/>
            </w:tcBorders>
            <w:vAlign w:val="center"/>
          </w:tcPr>
          <w:p w:rsidR="00000000" w:rsidRDefault="00000000">
            <w:pPr>
              <w:jc w:val="center"/>
              <w:rPr>
                <w:snapToGrid w:val="0"/>
                <w:sz w:val="18"/>
              </w:rPr>
            </w:pPr>
            <w:r>
              <w:rPr>
                <w:snapToGrid w:val="0"/>
                <w:sz w:val="18"/>
              </w:rPr>
              <w:t>Ages 30</w:t>
            </w:r>
          </w:p>
        </w:tc>
        <w:tc>
          <w:tcPr>
            <w:tcW w:w="888" w:type="dxa"/>
            <w:tcBorders>
              <w:top w:val="single" w:sz="4" w:space="0" w:color="auto"/>
            </w:tcBorders>
            <w:vAlign w:val="center"/>
          </w:tcPr>
          <w:p w:rsidR="00000000" w:rsidRDefault="00000000">
            <w:pPr>
              <w:jc w:val="center"/>
              <w:rPr>
                <w:snapToGrid w:val="0"/>
                <w:sz w:val="18"/>
              </w:rPr>
            </w:pPr>
            <w:r>
              <w:rPr>
                <w:snapToGrid w:val="0"/>
                <w:sz w:val="18"/>
              </w:rPr>
              <w:t>1997</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63 664</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17 886</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5 070</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40 708</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52 236</w:t>
            </w:r>
          </w:p>
        </w:tc>
        <w:tc>
          <w:tcPr>
            <w:tcW w:w="888" w:type="dxa"/>
            <w:tcBorders>
              <w:top w:val="single" w:sz="4" w:space="0" w:color="auto"/>
            </w:tcBorders>
            <w:vAlign w:val="center"/>
          </w:tcPr>
          <w:p w:rsidR="00000000" w:rsidRDefault="00000000">
            <w:pPr>
              <w:ind w:right="170"/>
              <w:jc w:val="right"/>
              <w:rPr>
                <w:snapToGrid w:val="0"/>
                <w:sz w:val="18"/>
              </w:rPr>
            </w:pPr>
            <w:r>
              <w:rPr>
                <w:snapToGrid w:val="0"/>
                <w:sz w:val="18"/>
              </w:rPr>
              <w:t>14 670</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2 247</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35 319</w:t>
            </w:r>
          </w:p>
        </w:tc>
      </w:tr>
      <w:tr w:rsidR="00000000">
        <w:tblPrEx>
          <w:tblCellMar>
            <w:top w:w="0" w:type="dxa"/>
            <w:bottom w:w="0" w:type="dxa"/>
          </w:tblCellMar>
        </w:tblPrEx>
        <w:trPr>
          <w:trHeight w:val="221"/>
        </w:trPr>
        <w:tc>
          <w:tcPr>
            <w:tcW w:w="1194" w:type="dxa"/>
            <w:tcBorders>
              <w:bottom w:val="nil"/>
            </w:tcBorders>
            <w:vAlign w:val="center"/>
          </w:tcPr>
          <w:p w:rsidR="00000000" w:rsidRDefault="00000000">
            <w:pPr>
              <w:jc w:val="center"/>
              <w:rPr>
                <w:snapToGrid w:val="0"/>
                <w:sz w:val="18"/>
              </w:rPr>
            </w:pPr>
            <w:r>
              <w:rPr>
                <w:snapToGrid w:val="0"/>
                <w:sz w:val="18"/>
              </w:rPr>
              <w:t>to 34</w:t>
            </w:r>
          </w:p>
        </w:tc>
        <w:tc>
          <w:tcPr>
            <w:tcW w:w="888" w:type="dxa"/>
            <w:tcBorders>
              <w:bottom w:val="nil"/>
            </w:tcBorders>
            <w:vAlign w:val="center"/>
          </w:tcPr>
          <w:p w:rsidR="00000000" w:rsidRDefault="00000000">
            <w:pPr>
              <w:jc w:val="center"/>
              <w:rPr>
                <w:snapToGrid w:val="0"/>
                <w:sz w:val="18"/>
              </w:rPr>
            </w:pPr>
            <w:r>
              <w:rPr>
                <w:snapToGrid w:val="0"/>
                <w:sz w:val="18"/>
              </w:rPr>
              <w:t>1998</w:t>
            </w:r>
          </w:p>
        </w:tc>
        <w:tc>
          <w:tcPr>
            <w:tcW w:w="889" w:type="dxa"/>
            <w:tcBorders>
              <w:bottom w:val="nil"/>
            </w:tcBorders>
            <w:vAlign w:val="center"/>
          </w:tcPr>
          <w:p w:rsidR="00000000" w:rsidRDefault="00000000">
            <w:pPr>
              <w:ind w:right="170"/>
              <w:jc w:val="right"/>
              <w:rPr>
                <w:snapToGrid w:val="0"/>
                <w:sz w:val="18"/>
              </w:rPr>
            </w:pPr>
            <w:r>
              <w:rPr>
                <w:snapToGrid w:val="0"/>
                <w:sz w:val="18"/>
              </w:rPr>
              <w:t>64 379</w:t>
            </w:r>
          </w:p>
        </w:tc>
        <w:tc>
          <w:tcPr>
            <w:tcW w:w="889" w:type="dxa"/>
            <w:tcBorders>
              <w:bottom w:val="nil"/>
            </w:tcBorders>
            <w:vAlign w:val="center"/>
          </w:tcPr>
          <w:p w:rsidR="00000000" w:rsidRDefault="00000000">
            <w:pPr>
              <w:ind w:right="170"/>
              <w:jc w:val="right"/>
              <w:rPr>
                <w:snapToGrid w:val="0"/>
                <w:sz w:val="18"/>
              </w:rPr>
            </w:pPr>
            <w:r>
              <w:rPr>
                <w:snapToGrid w:val="0"/>
                <w:sz w:val="18"/>
              </w:rPr>
              <w:t>46 128</w:t>
            </w:r>
          </w:p>
        </w:tc>
        <w:tc>
          <w:tcPr>
            <w:tcW w:w="889" w:type="dxa"/>
            <w:tcBorders>
              <w:bottom w:val="nil"/>
            </w:tcBorders>
            <w:vAlign w:val="center"/>
          </w:tcPr>
          <w:p w:rsidR="00000000" w:rsidRDefault="00000000">
            <w:pPr>
              <w:ind w:right="170"/>
              <w:jc w:val="right"/>
              <w:rPr>
                <w:snapToGrid w:val="0"/>
                <w:sz w:val="18"/>
              </w:rPr>
            </w:pPr>
            <w:r>
              <w:rPr>
                <w:snapToGrid w:val="0"/>
                <w:sz w:val="18"/>
              </w:rPr>
              <w:t>11 696</w:t>
            </w:r>
          </w:p>
        </w:tc>
        <w:tc>
          <w:tcPr>
            <w:tcW w:w="889" w:type="dxa"/>
            <w:tcBorders>
              <w:bottom w:val="nil"/>
            </w:tcBorders>
            <w:vAlign w:val="center"/>
          </w:tcPr>
          <w:p w:rsidR="00000000" w:rsidRDefault="00000000">
            <w:pPr>
              <w:ind w:right="170"/>
              <w:jc w:val="right"/>
              <w:rPr>
                <w:snapToGrid w:val="0"/>
                <w:sz w:val="18"/>
              </w:rPr>
            </w:pPr>
            <w:r>
              <w:rPr>
                <w:snapToGrid w:val="0"/>
                <w:sz w:val="18"/>
              </w:rPr>
              <w:t>6 555</w:t>
            </w:r>
          </w:p>
        </w:tc>
        <w:tc>
          <w:tcPr>
            <w:tcW w:w="889" w:type="dxa"/>
            <w:tcBorders>
              <w:bottom w:val="nil"/>
            </w:tcBorders>
            <w:vAlign w:val="center"/>
          </w:tcPr>
          <w:p w:rsidR="00000000" w:rsidRDefault="00000000">
            <w:pPr>
              <w:ind w:right="170"/>
              <w:jc w:val="right"/>
              <w:rPr>
                <w:snapToGrid w:val="0"/>
                <w:sz w:val="18"/>
              </w:rPr>
            </w:pPr>
            <w:r>
              <w:rPr>
                <w:snapToGrid w:val="0"/>
                <w:sz w:val="18"/>
              </w:rPr>
              <w:t>53 756</w:t>
            </w:r>
          </w:p>
        </w:tc>
        <w:tc>
          <w:tcPr>
            <w:tcW w:w="888" w:type="dxa"/>
            <w:tcBorders>
              <w:bottom w:val="nil"/>
            </w:tcBorders>
            <w:vAlign w:val="center"/>
          </w:tcPr>
          <w:p w:rsidR="00000000" w:rsidRDefault="00000000">
            <w:pPr>
              <w:ind w:right="170"/>
              <w:jc w:val="right"/>
              <w:rPr>
                <w:snapToGrid w:val="0"/>
                <w:sz w:val="18"/>
              </w:rPr>
            </w:pPr>
            <w:r>
              <w:rPr>
                <w:snapToGrid w:val="0"/>
                <w:sz w:val="18"/>
              </w:rPr>
              <w:t>40 081</w:t>
            </w:r>
          </w:p>
        </w:tc>
        <w:tc>
          <w:tcPr>
            <w:tcW w:w="889" w:type="dxa"/>
            <w:tcBorders>
              <w:bottom w:val="nil"/>
            </w:tcBorders>
            <w:vAlign w:val="center"/>
          </w:tcPr>
          <w:p w:rsidR="00000000" w:rsidRDefault="00000000">
            <w:pPr>
              <w:ind w:right="170"/>
              <w:jc w:val="right"/>
              <w:rPr>
                <w:snapToGrid w:val="0"/>
                <w:sz w:val="18"/>
              </w:rPr>
            </w:pPr>
            <w:r>
              <w:rPr>
                <w:snapToGrid w:val="0"/>
                <w:sz w:val="18"/>
              </w:rPr>
              <w:t>7 774</w:t>
            </w:r>
          </w:p>
        </w:tc>
        <w:tc>
          <w:tcPr>
            <w:tcW w:w="889" w:type="dxa"/>
            <w:tcBorders>
              <w:bottom w:val="nil"/>
            </w:tcBorders>
            <w:vAlign w:val="center"/>
          </w:tcPr>
          <w:p w:rsidR="00000000" w:rsidRDefault="00000000">
            <w:pPr>
              <w:ind w:right="170"/>
              <w:jc w:val="right"/>
              <w:rPr>
                <w:snapToGrid w:val="0"/>
                <w:sz w:val="18"/>
              </w:rPr>
            </w:pPr>
            <w:r>
              <w:rPr>
                <w:snapToGrid w:val="0"/>
                <w:sz w:val="18"/>
              </w:rPr>
              <w:t>5 901</w:t>
            </w:r>
          </w:p>
        </w:tc>
      </w:tr>
      <w:tr w:rsidR="00000000">
        <w:tblPrEx>
          <w:tblCellMar>
            <w:top w:w="0" w:type="dxa"/>
            <w:bottom w:w="0" w:type="dxa"/>
          </w:tblCellMar>
        </w:tblPrEx>
        <w:trPr>
          <w:trHeight w:val="221"/>
        </w:trPr>
        <w:tc>
          <w:tcPr>
            <w:tcW w:w="1194" w:type="dxa"/>
            <w:tcBorders>
              <w:top w:val="nil"/>
              <w:bottom w:val="single" w:sz="4" w:space="0" w:color="auto"/>
            </w:tcBorders>
            <w:vAlign w:val="center"/>
          </w:tcPr>
          <w:p w:rsidR="00000000" w:rsidRDefault="00000000">
            <w:pPr>
              <w:jc w:val="center"/>
              <w:rPr>
                <w:snapToGrid w:val="0"/>
                <w:sz w:val="18"/>
              </w:rPr>
            </w:pPr>
          </w:p>
        </w:tc>
        <w:tc>
          <w:tcPr>
            <w:tcW w:w="888" w:type="dxa"/>
            <w:tcBorders>
              <w:top w:val="nil"/>
              <w:bottom w:val="single" w:sz="4" w:space="0" w:color="auto"/>
            </w:tcBorders>
            <w:vAlign w:val="center"/>
          </w:tcPr>
          <w:p w:rsidR="00000000" w:rsidRDefault="00000000">
            <w:pPr>
              <w:jc w:val="center"/>
              <w:rPr>
                <w:snapToGrid w:val="0"/>
                <w:sz w:val="18"/>
              </w:rPr>
            </w:pPr>
            <w:r>
              <w:rPr>
                <w:snapToGrid w:val="0"/>
                <w:sz w:val="18"/>
              </w:rPr>
              <w:t>1999</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59 881</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47 502</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12 270</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109</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50 508</w:t>
            </w:r>
          </w:p>
        </w:tc>
        <w:tc>
          <w:tcPr>
            <w:tcW w:w="888" w:type="dxa"/>
            <w:tcBorders>
              <w:top w:val="nil"/>
              <w:bottom w:val="single" w:sz="4" w:space="0" w:color="auto"/>
            </w:tcBorders>
            <w:vAlign w:val="center"/>
          </w:tcPr>
          <w:p w:rsidR="00000000" w:rsidRDefault="00000000">
            <w:pPr>
              <w:ind w:right="170"/>
              <w:jc w:val="right"/>
              <w:rPr>
                <w:snapToGrid w:val="0"/>
                <w:sz w:val="18"/>
              </w:rPr>
            </w:pPr>
            <w:r>
              <w:rPr>
                <w:snapToGrid w:val="0"/>
                <w:sz w:val="18"/>
              </w:rPr>
              <w:t>41 729</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8 678</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101</w:t>
            </w:r>
          </w:p>
        </w:tc>
      </w:tr>
      <w:tr w:rsidR="00000000">
        <w:tblPrEx>
          <w:tblCellMar>
            <w:top w:w="0" w:type="dxa"/>
            <w:bottom w:w="0" w:type="dxa"/>
          </w:tblCellMar>
        </w:tblPrEx>
        <w:trPr>
          <w:trHeight w:val="221"/>
        </w:trPr>
        <w:tc>
          <w:tcPr>
            <w:tcW w:w="1194" w:type="dxa"/>
            <w:tcBorders>
              <w:top w:val="single" w:sz="4" w:space="0" w:color="auto"/>
            </w:tcBorders>
            <w:vAlign w:val="center"/>
          </w:tcPr>
          <w:p w:rsidR="00000000" w:rsidRDefault="00000000">
            <w:pPr>
              <w:jc w:val="center"/>
              <w:rPr>
                <w:snapToGrid w:val="0"/>
                <w:sz w:val="18"/>
              </w:rPr>
            </w:pPr>
            <w:r>
              <w:rPr>
                <w:snapToGrid w:val="0"/>
                <w:sz w:val="18"/>
              </w:rPr>
              <w:t>Ages 35</w:t>
            </w:r>
          </w:p>
        </w:tc>
        <w:tc>
          <w:tcPr>
            <w:tcW w:w="888" w:type="dxa"/>
            <w:tcBorders>
              <w:top w:val="single" w:sz="4" w:space="0" w:color="auto"/>
            </w:tcBorders>
            <w:vAlign w:val="center"/>
          </w:tcPr>
          <w:p w:rsidR="00000000" w:rsidRDefault="00000000">
            <w:pPr>
              <w:jc w:val="center"/>
              <w:rPr>
                <w:snapToGrid w:val="0"/>
                <w:sz w:val="18"/>
              </w:rPr>
            </w:pPr>
            <w:r>
              <w:rPr>
                <w:snapToGrid w:val="0"/>
                <w:sz w:val="18"/>
              </w:rPr>
              <w:t>1997</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54 950</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15 866</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5 239</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33 845</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43 807</w:t>
            </w:r>
          </w:p>
        </w:tc>
        <w:tc>
          <w:tcPr>
            <w:tcW w:w="888" w:type="dxa"/>
            <w:tcBorders>
              <w:top w:val="single" w:sz="4" w:space="0" w:color="auto"/>
            </w:tcBorders>
            <w:vAlign w:val="center"/>
          </w:tcPr>
          <w:p w:rsidR="00000000" w:rsidRDefault="00000000">
            <w:pPr>
              <w:ind w:right="170"/>
              <w:jc w:val="right"/>
              <w:rPr>
                <w:snapToGrid w:val="0"/>
                <w:sz w:val="18"/>
              </w:rPr>
            </w:pPr>
            <w:r>
              <w:rPr>
                <w:snapToGrid w:val="0"/>
                <w:sz w:val="18"/>
              </w:rPr>
              <w:t>13 028</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2 373</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28 406</w:t>
            </w:r>
          </w:p>
        </w:tc>
      </w:tr>
      <w:tr w:rsidR="00000000">
        <w:tblPrEx>
          <w:tblCellMar>
            <w:top w:w="0" w:type="dxa"/>
            <w:bottom w:w="0" w:type="dxa"/>
          </w:tblCellMar>
        </w:tblPrEx>
        <w:trPr>
          <w:trHeight w:val="221"/>
        </w:trPr>
        <w:tc>
          <w:tcPr>
            <w:tcW w:w="1194" w:type="dxa"/>
            <w:tcBorders>
              <w:bottom w:val="nil"/>
            </w:tcBorders>
            <w:vAlign w:val="center"/>
          </w:tcPr>
          <w:p w:rsidR="00000000" w:rsidRDefault="00000000">
            <w:pPr>
              <w:jc w:val="center"/>
              <w:rPr>
                <w:snapToGrid w:val="0"/>
                <w:sz w:val="18"/>
              </w:rPr>
            </w:pPr>
            <w:r>
              <w:rPr>
                <w:snapToGrid w:val="0"/>
                <w:sz w:val="18"/>
              </w:rPr>
              <w:t>to 39</w:t>
            </w:r>
          </w:p>
        </w:tc>
        <w:tc>
          <w:tcPr>
            <w:tcW w:w="888" w:type="dxa"/>
            <w:tcBorders>
              <w:bottom w:val="nil"/>
            </w:tcBorders>
            <w:vAlign w:val="center"/>
          </w:tcPr>
          <w:p w:rsidR="00000000" w:rsidRDefault="00000000">
            <w:pPr>
              <w:jc w:val="center"/>
              <w:rPr>
                <w:snapToGrid w:val="0"/>
                <w:sz w:val="18"/>
              </w:rPr>
            </w:pPr>
            <w:r>
              <w:rPr>
                <w:snapToGrid w:val="0"/>
                <w:sz w:val="18"/>
              </w:rPr>
              <w:t>1998</w:t>
            </w:r>
          </w:p>
        </w:tc>
        <w:tc>
          <w:tcPr>
            <w:tcW w:w="889" w:type="dxa"/>
            <w:tcBorders>
              <w:bottom w:val="nil"/>
            </w:tcBorders>
            <w:vAlign w:val="center"/>
          </w:tcPr>
          <w:p w:rsidR="00000000" w:rsidRDefault="00000000">
            <w:pPr>
              <w:ind w:right="170"/>
              <w:jc w:val="right"/>
              <w:rPr>
                <w:snapToGrid w:val="0"/>
                <w:sz w:val="18"/>
              </w:rPr>
            </w:pPr>
            <w:r>
              <w:rPr>
                <w:snapToGrid w:val="0"/>
                <w:sz w:val="18"/>
              </w:rPr>
              <w:t>55 177</w:t>
            </w:r>
          </w:p>
        </w:tc>
        <w:tc>
          <w:tcPr>
            <w:tcW w:w="889" w:type="dxa"/>
            <w:tcBorders>
              <w:bottom w:val="nil"/>
            </w:tcBorders>
            <w:vAlign w:val="center"/>
          </w:tcPr>
          <w:p w:rsidR="00000000" w:rsidRDefault="00000000">
            <w:pPr>
              <w:ind w:right="170"/>
              <w:jc w:val="right"/>
              <w:rPr>
                <w:snapToGrid w:val="0"/>
                <w:sz w:val="18"/>
              </w:rPr>
            </w:pPr>
            <w:r>
              <w:rPr>
                <w:snapToGrid w:val="0"/>
                <w:sz w:val="18"/>
              </w:rPr>
              <w:t>38 459</w:t>
            </w:r>
          </w:p>
        </w:tc>
        <w:tc>
          <w:tcPr>
            <w:tcW w:w="889" w:type="dxa"/>
            <w:tcBorders>
              <w:bottom w:val="nil"/>
            </w:tcBorders>
            <w:vAlign w:val="center"/>
          </w:tcPr>
          <w:p w:rsidR="00000000" w:rsidRDefault="00000000">
            <w:pPr>
              <w:ind w:right="170"/>
              <w:jc w:val="right"/>
              <w:rPr>
                <w:snapToGrid w:val="0"/>
                <w:sz w:val="18"/>
              </w:rPr>
            </w:pPr>
            <w:r>
              <w:rPr>
                <w:snapToGrid w:val="0"/>
                <w:sz w:val="18"/>
              </w:rPr>
              <w:t>11 478</w:t>
            </w:r>
          </w:p>
        </w:tc>
        <w:tc>
          <w:tcPr>
            <w:tcW w:w="889" w:type="dxa"/>
            <w:tcBorders>
              <w:bottom w:val="nil"/>
            </w:tcBorders>
            <w:vAlign w:val="center"/>
          </w:tcPr>
          <w:p w:rsidR="00000000" w:rsidRDefault="00000000">
            <w:pPr>
              <w:ind w:right="170"/>
              <w:jc w:val="right"/>
              <w:rPr>
                <w:snapToGrid w:val="0"/>
                <w:sz w:val="18"/>
              </w:rPr>
            </w:pPr>
            <w:r>
              <w:rPr>
                <w:snapToGrid w:val="0"/>
                <w:sz w:val="18"/>
              </w:rPr>
              <w:t>5 240</w:t>
            </w:r>
          </w:p>
        </w:tc>
        <w:tc>
          <w:tcPr>
            <w:tcW w:w="889" w:type="dxa"/>
            <w:tcBorders>
              <w:bottom w:val="nil"/>
            </w:tcBorders>
            <w:vAlign w:val="center"/>
          </w:tcPr>
          <w:p w:rsidR="00000000" w:rsidRDefault="00000000">
            <w:pPr>
              <w:ind w:right="170"/>
              <w:jc w:val="right"/>
              <w:rPr>
                <w:snapToGrid w:val="0"/>
                <w:sz w:val="18"/>
              </w:rPr>
            </w:pPr>
            <w:r>
              <w:rPr>
                <w:snapToGrid w:val="0"/>
                <w:sz w:val="18"/>
              </w:rPr>
              <w:t>45 007</w:t>
            </w:r>
          </w:p>
        </w:tc>
        <w:tc>
          <w:tcPr>
            <w:tcW w:w="888" w:type="dxa"/>
            <w:tcBorders>
              <w:bottom w:val="nil"/>
            </w:tcBorders>
            <w:vAlign w:val="center"/>
          </w:tcPr>
          <w:p w:rsidR="00000000" w:rsidRDefault="00000000">
            <w:pPr>
              <w:ind w:right="170"/>
              <w:jc w:val="right"/>
              <w:rPr>
                <w:snapToGrid w:val="0"/>
                <w:sz w:val="18"/>
              </w:rPr>
            </w:pPr>
            <w:r>
              <w:rPr>
                <w:snapToGrid w:val="0"/>
                <w:sz w:val="18"/>
              </w:rPr>
              <w:t>32 904</w:t>
            </w:r>
          </w:p>
        </w:tc>
        <w:tc>
          <w:tcPr>
            <w:tcW w:w="889" w:type="dxa"/>
            <w:tcBorders>
              <w:bottom w:val="nil"/>
            </w:tcBorders>
            <w:vAlign w:val="center"/>
          </w:tcPr>
          <w:p w:rsidR="00000000" w:rsidRDefault="00000000">
            <w:pPr>
              <w:ind w:right="170"/>
              <w:jc w:val="right"/>
              <w:rPr>
                <w:snapToGrid w:val="0"/>
                <w:sz w:val="18"/>
              </w:rPr>
            </w:pPr>
            <w:r>
              <w:rPr>
                <w:snapToGrid w:val="0"/>
                <w:sz w:val="18"/>
              </w:rPr>
              <w:t>7 510</w:t>
            </w:r>
          </w:p>
        </w:tc>
        <w:tc>
          <w:tcPr>
            <w:tcW w:w="889" w:type="dxa"/>
            <w:tcBorders>
              <w:bottom w:val="nil"/>
            </w:tcBorders>
            <w:vAlign w:val="center"/>
          </w:tcPr>
          <w:p w:rsidR="00000000" w:rsidRDefault="00000000">
            <w:pPr>
              <w:ind w:right="170"/>
              <w:jc w:val="right"/>
              <w:rPr>
                <w:snapToGrid w:val="0"/>
                <w:sz w:val="18"/>
              </w:rPr>
            </w:pPr>
            <w:r>
              <w:rPr>
                <w:snapToGrid w:val="0"/>
                <w:sz w:val="18"/>
              </w:rPr>
              <w:t>4 593</w:t>
            </w:r>
          </w:p>
        </w:tc>
      </w:tr>
      <w:tr w:rsidR="00000000">
        <w:tblPrEx>
          <w:tblCellMar>
            <w:top w:w="0" w:type="dxa"/>
            <w:bottom w:w="0" w:type="dxa"/>
          </w:tblCellMar>
        </w:tblPrEx>
        <w:trPr>
          <w:trHeight w:val="221"/>
        </w:trPr>
        <w:tc>
          <w:tcPr>
            <w:tcW w:w="1194" w:type="dxa"/>
            <w:tcBorders>
              <w:top w:val="nil"/>
              <w:bottom w:val="single" w:sz="4" w:space="0" w:color="auto"/>
            </w:tcBorders>
            <w:vAlign w:val="center"/>
          </w:tcPr>
          <w:p w:rsidR="00000000" w:rsidRDefault="00000000">
            <w:pPr>
              <w:jc w:val="center"/>
              <w:rPr>
                <w:snapToGrid w:val="0"/>
                <w:sz w:val="18"/>
              </w:rPr>
            </w:pPr>
          </w:p>
        </w:tc>
        <w:tc>
          <w:tcPr>
            <w:tcW w:w="888" w:type="dxa"/>
            <w:tcBorders>
              <w:top w:val="nil"/>
              <w:bottom w:val="single" w:sz="4" w:space="0" w:color="auto"/>
            </w:tcBorders>
            <w:vAlign w:val="center"/>
          </w:tcPr>
          <w:p w:rsidR="00000000" w:rsidRDefault="00000000">
            <w:pPr>
              <w:jc w:val="center"/>
              <w:rPr>
                <w:snapToGrid w:val="0"/>
                <w:sz w:val="18"/>
              </w:rPr>
            </w:pPr>
            <w:r>
              <w:rPr>
                <w:snapToGrid w:val="0"/>
                <w:sz w:val="18"/>
              </w:rPr>
              <w:t>1999</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51 690</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39 933</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11 686</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71</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43 027</w:t>
            </w:r>
          </w:p>
        </w:tc>
        <w:tc>
          <w:tcPr>
            <w:tcW w:w="888" w:type="dxa"/>
            <w:tcBorders>
              <w:top w:val="nil"/>
              <w:bottom w:val="single" w:sz="4" w:space="0" w:color="auto"/>
            </w:tcBorders>
            <w:vAlign w:val="center"/>
          </w:tcPr>
          <w:p w:rsidR="00000000" w:rsidRDefault="00000000">
            <w:pPr>
              <w:ind w:right="170"/>
              <w:jc w:val="right"/>
              <w:rPr>
                <w:snapToGrid w:val="0"/>
                <w:sz w:val="18"/>
              </w:rPr>
            </w:pPr>
            <w:r>
              <w:rPr>
                <w:snapToGrid w:val="0"/>
                <w:sz w:val="18"/>
              </w:rPr>
              <w:t>34 658</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8 304</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65</w:t>
            </w:r>
          </w:p>
        </w:tc>
      </w:tr>
      <w:tr w:rsidR="00000000">
        <w:tblPrEx>
          <w:tblCellMar>
            <w:top w:w="0" w:type="dxa"/>
            <w:bottom w:w="0" w:type="dxa"/>
          </w:tblCellMar>
        </w:tblPrEx>
        <w:trPr>
          <w:trHeight w:val="221"/>
        </w:trPr>
        <w:tc>
          <w:tcPr>
            <w:tcW w:w="1194" w:type="dxa"/>
            <w:tcBorders>
              <w:top w:val="single" w:sz="4" w:space="0" w:color="auto"/>
            </w:tcBorders>
            <w:vAlign w:val="center"/>
          </w:tcPr>
          <w:p w:rsidR="00000000" w:rsidRDefault="00000000">
            <w:pPr>
              <w:jc w:val="center"/>
              <w:rPr>
                <w:snapToGrid w:val="0"/>
                <w:sz w:val="18"/>
              </w:rPr>
            </w:pPr>
            <w:r>
              <w:rPr>
                <w:snapToGrid w:val="0"/>
                <w:sz w:val="18"/>
              </w:rPr>
              <w:t>Ages 40</w:t>
            </w:r>
          </w:p>
        </w:tc>
        <w:tc>
          <w:tcPr>
            <w:tcW w:w="888" w:type="dxa"/>
            <w:tcBorders>
              <w:top w:val="single" w:sz="4" w:space="0" w:color="auto"/>
            </w:tcBorders>
            <w:vAlign w:val="center"/>
          </w:tcPr>
          <w:p w:rsidR="00000000" w:rsidRDefault="00000000">
            <w:pPr>
              <w:jc w:val="center"/>
              <w:rPr>
                <w:snapToGrid w:val="0"/>
                <w:sz w:val="18"/>
              </w:rPr>
            </w:pPr>
            <w:r>
              <w:rPr>
                <w:snapToGrid w:val="0"/>
                <w:sz w:val="18"/>
              </w:rPr>
              <w:t>1997</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45 172</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13 469</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4 315</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27 388</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35 195</w:t>
            </w:r>
          </w:p>
        </w:tc>
        <w:tc>
          <w:tcPr>
            <w:tcW w:w="888" w:type="dxa"/>
            <w:tcBorders>
              <w:top w:val="single" w:sz="4" w:space="0" w:color="auto"/>
            </w:tcBorders>
            <w:vAlign w:val="center"/>
          </w:tcPr>
          <w:p w:rsidR="00000000" w:rsidRDefault="00000000">
            <w:pPr>
              <w:ind w:right="170"/>
              <w:jc w:val="right"/>
              <w:rPr>
                <w:snapToGrid w:val="0"/>
                <w:sz w:val="18"/>
              </w:rPr>
            </w:pPr>
            <w:r>
              <w:rPr>
                <w:snapToGrid w:val="0"/>
                <w:sz w:val="18"/>
              </w:rPr>
              <w:t>11 108</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2 065</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22 022</w:t>
            </w:r>
          </w:p>
        </w:tc>
      </w:tr>
      <w:tr w:rsidR="00000000">
        <w:tblPrEx>
          <w:tblCellMar>
            <w:top w:w="0" w:type="dxa"/>
            <w:bottom w:w="0" w:type="dxa"/>
          </w:tblCellMar>
        </w:tblPrEx>
        <w:trPr>
          <w:trHeight w:val="221"/>
        </w:trPr>
        <w:tc>
          <w:tcPr>
            <w:tcW w:w="1194" w:type="dxa"/>
            <w:tcBorders>
              <w:bottom w:val="nil"/>
            </w:tcBorders>
            <w:vAlign w:val="center"/>
          </w:tcPr>
          <w:p w:rsidR="00000000" w:rsidRDefault="00000000">
            <w:pPr>
              <w:jc w:val="center"/>
              <w:rPr>
                <w:snapToGrid w:val="0"/>
                <w:sz w:val="18"/>
              </w:rPr>
            </w:pPr>
            <w:r>
              <w:rPr>
                <w:snapToGrid w:val="0"/>
                <w:sz w:val="18"/>
              </w:rPr>
              <w:t>to 44</w:t>
            </w:r>
          </w:p>
        </w:tc>
        <w:tc>
          <w:tcPr>
            <w:tcW w:w="888" w:type="dxa"/>
            <w:tcBorders>
              <w:bottom w:val="nil"/>
            </w:tcBorders>
            <w:vAlign w:val="center"/>
          </w:tcPr>
          <w:p w:rsidR="00000000" w:rsidRDefault="00000000">
            <w:pPr>
              <w:jc w:val="center"/>
              <w:rPr>
                <w:snapToGrid w:val="0"/>
                <w:sz w:val="18"/>
              </w:rPr>
            </w:pPr>
            <w:r>
              <w:rPr>
                <w:snapToGrid w:val="0"/>
                <w:sz w:val="18"/>
              </w:rPr>
              <w:t>1998</w:t>
            </w:r>
          </w:p>
        </w:tc>
        <w:tc>
          <w:tcPr>
            <w:tcW w:w="889" w:type="dxa"/>
            <w:tcBorders>
              <w:bottom w:val="nil"/>
            </w:tcBorders>
            <w:vAlign w:val="center"/>
          </w:tcPr>
          <w:p w:rsidR="00000000" w:rsidRDefault="00000000">
            <w:pPr>
              <w:ind w:right="170"/>
              <w:jc w:val="right"/>
              <w:rPr>
                <w:snapToGrid w:val="0"/>
                <w:sz w:val="18"/>
              </w:rPr>
            </w:pPr>
            <w:r>
              <w:rPr>
                <w:snapToGrid w:val="0"/>
                <w:sz w:val="18"/>
              </w:rPr>
              <w:t>44 571</w:t>
            </w:r>
          </w:p>
        </w:tc>
        <w:tc>
          <w:tcPr>
            <w:tcW w:w="889" w:type="dxa"/>
            <w:tcBorders>
              <w:bottom w:val="nil"/>
            </w:tcBorders>
            <w:vAlign w:val="center"/>
          </w:tcPr>
          <w:p w:rsidR="00000000" w:rsidRDefault="00000000">
            <w:pPr>
              <w:ind w:right="170"/>
              <w:jc w:val="right"/>
              <w:rPr>
                <w:snapToGrid w:val="0"/>
                <w:sz w:val="18"/>
              </w:rPr>
            </w:pPr>
            <w:r>
              <w:rPr>
                <w:snapToGrid w:val="0"/>
                <w:sz w:val="18"/>
              </w:rPr>
              <w:t>30 971</w:t>
            </w:r>
          </w:p>
        </w:tc>
        <w:tc>
          <w:tcPr>
            <w:tcW w:w="889" w:type="dxa"/>
            <w:tcBorders>
              <w:bottom w:val="nil"/>
            </w:tcBorders>
            <w:vAlign w:val="center"/>
          </w:tcPr>
          <w:p w:rsidR="00000000" w:rsidRDefault="00000000">
            <w:pPr>
              <w:ind w:right="170"/>
              <w:jc w:val="right"/>
              <w:rPr>
                <w:snapToGrid w:val="0"/>
                <w:sz w:val="18"/>
              </w:rPr>
            </w:pPr>
            <w:r>
              <w:rPr>
                <w:snapToGrid w:val="0"/>
                <w:sz w:val="18"/>
              </w:rPr>
              <w:t>9 462</w:t>
            </w:r>
          </w:p>
        </w:tc>
        <w:tc>
          <w:tcPr>
            <w:tcW w:w="889" w:type="dxa"/>
            <w:tcBorders>
              <w:bottom w:val="nil"/>
            </w:tcBorders>
            <w:vAlign w:val="center"/>
          </w:tcPr>
          <w:p w:rsidR="00000000" w:rsidRDefault="00000000">
            <w:pPr>
              <w:ind w:right="170"/>
              <w:jc w:val="right"/>
              <w:rPr>
                <w:snapToGrid w:val="0"/>
                <w:sz w:val="18"/>
              </w:rPr>
            </w:pPr>
            <w:r>
              <w:rPr>
                <w:snapToGrid w:val="0"/>
                <w:sz w:val="18"/>
              </w:rPr>
              <w:t>4 138</w:t>
            </w:r>
          </w:p>
        </w:tc>
        <w:tc>
          <w:tcPr>
            <w:tcW w:w="889" w:type="dxa"/>
            <w:tcBorders>
              <w:bottom w:val="nil"/>
            </w:tcBorders>
            <w:vAlign w:val="center"/>
          </w:tcPr>
          <w:p w:rsidR="00000000" w:rsidRDefault="00000000">
            <w:pPr>
              <w:ind w:right="170"/>
              <w:jc w:val="right"/>
              <w:rPr>
                <w:snapToGrid w:val="0"/>
                <w:sz w:val="18"/>
              </w:rPr>
            </w:pPr>
            <w:r>
              <w:rPr>
                <w:snapToGrid w:val="0"/>
                <w:sz w:val="18"/>
              </w:rPr>
              <w:t>35 644</w:t>
            </w:r>
          </w:p>
        </w:tc>
        <w:tc>
          <w:tcPr>
            <w:tcW w:w="888" w:type="dxa"/>
            <w:tcBorders>
              <w:bottom w:val="nil"/>
            </w:tcBorders>
            <w:vAlign w:val="center"/>
          </w:tcPr>
          <w:p w:rsidR="00000000" w:rsidRDefault="00000000">
            <w:pPr>
              <w:ind w:right="170"/>
              <w:jc w:val="right"/>
              <w:rPr>
                <w:snapToGrid w:val="0"/>
                <w:sz w:val="18"/>
              </w:rPr>
            </w:pPr>
            <w:r>
              <w:rPr>
                <w:snapToGrid w:val="0"/>
                <w:sz w:val="18"/>
              </w:rPr>
              <w:t>25 941</w:t>
            </w:r>
          </w:p>
        </w:tc>
        <w:tc>
          <w:tcPr>
            <w:tcW w:w="889" w:type="dxa"/>
            <w:tcBorders>
              <w:bottom w:val="nil"/>
            </w:tcBorders>
            <w:vAlign w:val="center"/>
          </w:tcPr>
          <w:p w:rsidR="00000000" w:rsidRDefault="00000000">
            <w:pPr>
              <w:ind w:right="170"/>
              <w:jc w:val="right"/>
              <w:rPr>
                <w:snapToGrid w:val="0"/>
                <w:sz w:val="18"/>
              </w:rPr>
            </w:pPr>
            <w:r>
              <w:rPr>
                <w:snapToGrid w:val="0"/>
                <w:sz w:val="18"/>
              </w:rPr>
              <w:t>6 165</w:t>
            </w:r>
          </w:p>
        </w:tc>
        <w:tc>
          <w:tcPr>
            <w:tcW w:w="889" w:type="dxa"/>
            <w:tcBorders>
              <w:bottom w:val="nil"/>
            </w:tcBorders>
            <w:vAlign w:val="center"/>
          </w:tcPr>
          <w:p w:rsidR="00000000" w:rsidRDefault="00000000">
            <w:pPr>
              <w:ind w:right="170"/>
              <w:jc w:val="right"/>
              <w:rPr>
                <w:snapToGrid w:val="0"/>
                <w:sz w:val="18"/>
              </w:rPr>
            </w:pPr>
            <w:r>
              <w:rPr>
                <w:snapToGrid w:val="0"/>
                <w:sz w:val="18"/>
              </w:rPr>
              <w:t>3 538</w:t>
            </w:r>
          </w:p>
        </w:tc>
      </w:tr>
      <w:tr w:rsidR="00000000">
        <w:tblPrEx>
          <w:tblCellMar>
            <w:top w:w="0" w:type="dxa"/>
            <w:bottom w:w="0" w:type="dxa"/>
          </w:tblCellMar>
        </w:tblPrEx>
        <w:trPr>
          <w:trHeight w:val="221"/>
        </w:trPr>
        <w:tc>
          <w:tcPr>
            <w:tcW w:w="1194" w:type="dxa"/>
            <w:tcBorders>
              <w:top w:val="nil"/>
              <w:bottom w:val="single" w:sz="4" w:space="0" w:color="auto"/>
            </w:tcBorders>
            <w:vAlign w:val="center"/>
          </w:tcPr>
          <w:p w:rsidR="00000000" w:rsidRDefault="00000000">
            <w:pPr>
              <w:jc w:val="center"/>
              <w:rPr>
                <w:snapToGrid w:val="0"/>
                <w:sz w:val="18"/>
              </w:rPr>
            </w:pPr>
          </w:p>
        </w:tc>
        <w:tc>
          <w:tcPr>
            <w:tcW w:w="888" w:type="dxa"/>
            <w:tcBorders>
              <w:top w:val="nil"/>
              <w:bottom w:val="single" w:sz="4" w:space="0" w:color="auto"/>
            </w:tcBorders>
            <w:vAlign w:val="center"/>
          </w:tcPr>
          <w:p w:rsidR="00000000" w:rsidRDefault="00000000">
            <w:pPr>
              <w:jc w:val="center"/>
              <w:rPr>
                <w:snapToGrid w:val="0"/>
                <w:sz w:val="18"/>
              </w:rPr>
            </w:pPr>
            <w:r>
              <w:rPr>
                <w:snapToGrid w:val="0"/>
                <w:sz w:val="18"/>
              </w:rPr>
              <w:t>1999</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41 976</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31 939</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9 978</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59</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34 193</w:t>
            </w:r>
          </w:p>
        </w:tc>
        <w:tc>
          <w:tcPr>
            <w:tcW w:w="888" w:type="dxa"/>
            <w:tcBorders>
              <w:top w:val="nil"/>
              <w:bottom w:val="single" w:sz="4" w:space="0" w:color="auto"/>
            </w:tcBorders>
            <w:vAlign w:val="center"/>
          </w:tcPr>
          <w:p w:rsidR="00000000" w:rsidRDefault="00000000">
            <w:pPr>
              <w:ind w:right="170"/>
              <w:jc w:val="right"/>
              <w:rPr>
                <w:snapToGrid w:val="0"/>
                <w:sz w:val="18"/>
              </w:rPr>
            </w:pPr>
            <w:r>
              <w:rPr>
                <w:snapToGrid w:val="0"/>
                <w:sz w:val="18"/>
              </w:rPr>
              <w:t>27 148</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6 988</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57</w:t>
            </w:r>
          </w:p>
        </w:tc>
      </w:tr>
      <w:tr w:rsidR="00000000">
        <w:tblPrEx>
          <w:tblCellMar>
            <w:top w:w="0" w:type="dxa"/>
            <w:bottom w:w="0" w:type="dxa"/>
          </w:tblCellMar>
        </w:tblPrEx>
        <w:trPr>
          <w:trHeight w:val="221"/>
        </w:trPr>
        <w:tc>
          <w:tcPr>
            <w:tcW w:w="1194" w:type="dxa"/>
            <w:tcBorders>
              <w:top w:val="single" w:sz="4" w:space="0" w:color="auto"/>
            </w:tcBorders>
            <w:vAlign w:val="center"/>
          </w:tcPr>
          <w:p w:rsidR="00000000" w:rsidRDefault="00000000">
            <w:pPr>
              <w:jc w:val="center"/>
              <w:rPr>
                <w:snapToGrid w:val="0"/>
                <w:sz w:val="18"/>
              </w:rPr>
            </w:pPr>
            <w:r>
              <w:rPr>
                <w:snapToGrid w:val="0"/>
                <w:sz w:val="18"/>
              </w:rPr>
              <w:t>Ages 45</w:t>
            </w:r>
          </w:p>
        </w:tc>
        <w:tc>
          <w:tcPr>
            <w:tcW w:w="888" w:type="dxa"/>
            <w:tcBorders>
              <w:top w:val="single" w:sz="4" w:space="0" w:color="auto"/>
            </w:tcBorders>
            <w:vAlign w:val="center"/>
          </w:tcPr>
          <w:p w:rsidR="00000000" w:rsidRDefault="00000000">
            <w:pPr>
              <w:jc w:val="center"/>
              <w:rPr>
                <w:snapToGrid w:val="0"/>
                <w:sz w:val="18"/>
              </w:rPr>
            </w:pPr>
            <w:r>
              <w:rPr>
                <w:snapToGrid w:val="0"/>
                <w:sz w:val="18"/>
              </w:rPr>
              <w:t>1997</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30 513</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9 220</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2 903</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18 390</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23 762</w:t>
            </w:r>
          </w:p>
        </w:tc>
        <w:tc>
          <w:tcPr>
            <w:tcW w:w="888" w:type="dxa"/>
            <w:tcBorders>
              <w:top w:val="single" w:sz="4" w:space="0" w:color="auto"/>
            </w:tcBorders>
            <w:vAlign w:val="center"/>
          </w:tcPr>
          <w:p w:rsidR="00000000" w:rsidRDefault="00000000">
            <w:pPr>
              <w:ind w:right="170"/>
              <w:jc w:val="right"/>
              <w:rPr>
                <w:snapToGrid w:val="0"/>
                <w:sz w:val="18"/>
              </w:rPr>
            </w:pPr>
            <w:r>
              <w:rPr>
                <w:snapToGrid w:val="0"/>
                <w:sz w:val="18"/>
              </w:rPr>
              <w:t>7 762</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1 552</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14 448</w:t>
            </w:r>
          </w:p>
        </w:tc>
      </w:tr>
      <w:tr w:rsidR="00000000">
        <w:tblPrEx>
          <w:tblCellMar>
            <w:top w:w="0" w:type="dxa"/>
            <w:bottom w:w="0" w:type="dxa"/>
          </w:tblCellMar>
        </w:tblPrEx>
        <w:trPr>
          <w:trHeight w:val="221"/>
        </w:trPr>
        <w:tc>
          <w:tcPr>
            <w:tcW w:w="1194" w:type="dxa"/>
            <w:tcBorders>
              <w:bottom w:val="nil"/>
            </w:tcBorders>
            <w:vAlign w:val="center"/>
          </w:tcPr>
          <w:p w:rsidR="00000000" w:rsidRDefault="00000000">
            <w:pPr>
              <w:jc w:val="center"/>
              <w:rPr>
                <w:snapToGrid w:val="0"/>
                <w:sz w:val="18"/>
              </w:rPr>
            </w:pPr>
            <w:r>
              <w:rPr>
                <w:snapToGrid w:val="0"/>
                <w:sz w:val="18"/>
              </w:rPr>
              <w:t>to 49</w:t>
            </w:r>
          </w:p>
        </w:tc>
        <w:tc>
          <w:tcPr>
            <w:tcW w:w="888" w:type="dxa"/>
            <w:tcBorders>
              <w:bottom w:val="nil"/>
            </w:tcBorders>
            <w:vAlign w:val="center"/>
          </w:tcPr>
          <w:p w:rsidR="00000000" w:rsidRDefault="00000000">
            <w:pPr>
              <w:jc w:val="center"/>
              <w:rPr>
                <w:snapToGrid w:val="0"/>
                <w:sz w:val="18"/>
              </w:rPr>
            </w:pPr>
            <w:r>
              <w:rPr>
                <w:snapToGrid w:val="0"/>
                <w:sz w:val="18"/>
              </w:rPr>
              <w:t>1998</w:t>
            </w:r>
          </w:p>
        </w:tc>
        <w:tc>
          <w:tcPr>
            <w:tcW w:w="889" w:type="dxa"/>
            <w:tcBorders>
              <w:bottom w:val="nil"/>
            </w:tcBorders>
            <w:vAlign w:val="center"/>
          </w:tcPr>
          <w:p w:rsidR="00000000" w:rsidRDefault="00000000">
            <w:pPr>
              <w:ind w:right="170"/>
              <w:jc w:val="right"/>
              <w:rPr>
                <w:snapToGrid w:val="0"/>
                <w:sz w:val="18"/>
              </w:rPr>
            </w:pPr>
            <w:r>
              <w:rPr>
                <w:snapToGrid w:val="0"/>
                <w:sz w:val="18"/>
              </w:rPr>
              <w:t>29 966</w:t>
            </w:r>
          </w:p>
        </w:tc>
        <w:tc>
          <w:tcPr>
            <w:tcW w:w="889" w:type="dxa"/>
            <w:tcBorders>
              <w:bottom w:val="nil"/>
            </w:tcBorders>
            <w:vAlign w:val="center"/>
          </w:tcPr>
          <w:p w:rsidR="00000000" w:rsidRDefault="00000000">
            <w:pPr>
              <w:ind w:right="170"/>
              <w:jc w:val="right"/>
              <w:rPr>
                <w:snapToGrid w:val="0"/>
                <w:sz w:val="18"/>
              </w:rPr>
            </w:pPr>
            <w:r>
              <w:rPr>
                <w:snapToGrid w:val="0"/>
                <w:sz w:val="18"/>
              </w:rPr>
              <w:t>20 957</w:t>
            </w:r>
          </w:p>
        </w:tc>
        <w:tc>
          <w:tcPr>
            <w:tcW w:w="889" w:type="dxa"/>
            <w:tcBorders>
              <w:bottom w:val="nil"/>
            </w:tcBorders>
            <w:vAlign w:val="center"/>
          </w:tcPr>
          <w:p w:rsidR="00000000" w:rsidRDefault="00000000">
            <w:pPr>
              <w:ind w:right="170"/>
              <w:jc w:val="right"/>
              <w:rPr>
                <w:snapToGrid w:val="0"/>
                <w:sz w:val="18"/>
              </w:rPr>
            </w:pPr>
            <w:r>
              <w:rPr>
                <w:snapToGrid w:val="0"/>
                <w:sz w:val="18"/>
              </w:rPr>
              <w:t>6 185</w:t>
            </w:r>
          </w:p>
        </w:tc>
        <w:tc>
          <w:tcPr>
            <w:tcW w:w="889" w:type="dxa"/>
            <w:tcBorders>
              <w:bottom w:val="nil"/>
            </w:tcBorders>
            <w:vAlign w:val="center"/>
          </w:tcPr>
          <w:p w:rsidR="00000000" w:rsidRDefault="00000000">
            <w:pPr>
              <w:ind w:right="170"/>
              <w:jc w:val="right"/>
              <w:rPr>
                <w:snapToGrid w:val="0"/>
                <w:sz w:val="18"/>
              </w:rPr>
            </w:pPr>
            <w:r>
              <w:rPr>
                <w:snapToGrid w:val="0"/>
                <w:sz w:val="18"/>
              </w:rPr>
              <w:t>2 824</w:t>
            </w:r>
          </w:p>
        </w:tc>
        <w:tc>
          <w:tcPr>
            <w:tcW w:w="889" w:type="dxa"/>
            <w:tcBorders>
              <w:bottom w:val="nil"/>
            </w:tcBorders>
            <w:vAlign w:val="center"/>
          </w:tcPr>
          <w:p w:rsidR="00000000" w:rsidRDefault="00000000">
            <w:pPr>
              <w:ind w:right="170"/>
              <w:jc w:val="right"/>
              <w:rPr>
                <w:snapToGrid w:val="0"/>
                <w:sz w:val="18"/>
              </w:rPr>
            </w:pPr>
            <w:r>
              <w:rPr>
                <w:snapToGrid w:val="0"/>
                <w:sz w:val="18"/>
              </w:rPr>
              <w:t>24 051</w:t>
            </w:r>
          </w:p>
        </w:tc>
        <w:tc>
          <w:tcPr>
            <w:tcW w:w="888" w:type="dxa"/>
            <w:tcBorders>
              <w:bottom w:val="nil"/>
            </w:tcBorders>
            <w:vAlign w:val="center"/>
          </w:tcPr>
          <w:p w:rsidR="00000000" w:rsidRDefault="00000000">
            <w:pPr>
              <w:ind w:right="170"/>
              <w:jc w:val="right"/>
              <w:rPr>
                <w:snapToGrid w:val="0"/>
                <w:sz w:val="18"/>
              </w:rPr>
            </w:pPr>
            <w:r>
              <w:rPr>
                <w:snapToGrid w:val="0"/>
                <w:sz w:val="18"/>
              </w:rPr>
              <w:t>17 428</w:t>
            </w:r>
          </w:p>
        </w:tc>
        <w:tc>
          <w:tcPr>
            <w:tcW w:w="889" w:type="dxa"/>
            <w:tcBorders>
              <w:bottom w:val="nil"/>
            </w:tcBorders>
            <w:vAlign w:val="center"/>
          </w:tcPr>
          <w:p w:rsidR="00000000" w:rsidRDefault="00000000">
            <w:pPr>
              <w:ind w:right="170"/>
              <w:jc w:val="right"/>
              <w:rPr>
                <w:snapToGrid w:val="0"/>
                <w:sz w:val="18"/>
              </w:rPr>
            </w:pPr>
            <w:r>
              <w:rPr>
                <w:snapToGrid w:val="0"/>
                <w:sz w:val="18"/>
              </w:rPr>
              <w:t>4 207</w:t>
            </w:r>
          </w:p>
        </w:tc>
        <w:tc>
          <w:tcPr>
            <w:tcW w:w="889" w:type="dxa"/>
            <w:tcBorders>
              <w:bottom w:val="nil"/>
            </w:tcBorders>
            <w:vAlign w:val="center"/>
          </w:tcPr>
          <w:p w:rsidR="00000000" w:rsidRDefault="00000000">
            <w:pPr>
              <w:ind w:right="170"/>
              <w:jc w:val="right"/>
              <w:rPr>
                <w:snapToGrid w:val="0"/>
                <w:sz w:val="18"/>
              </w:rPr>
            </w:pPr>
            <w:r>
              <w:rPr>
                <w:snapToGrid w:val="0"/>
                <w:sz w:val="18"/>
              </w:rPr>
              <w:t>2 416</w:t>
            </w:r>
          </w:p>
        </w:tc>
      </w:tr>
      <w:tr w:rsidR="00000000">
        <w:tblPrEx>
          <w:tblCellMar>
            <w:top w:w="0" w:type="dxa"/>
            <w:bottom w:w="0" w:type="dxa"/>
          </w:tblCellMar>
        </w:tblPrEx>
        <w:trPr>
          <w:trHeight w:val="221"/>
        </w:trPr>
        <w:tc>
          <w:tcPr>
            <w:tcW w:w="1194" w:type="dxa"/>
            <w:tcBorders>
              <w:top w:val="nil"/>
              <w:bottom w:val="single" w:sz="4" w:space="0" w:color="auto"/>
            </w:tcBorders>
            <w:vAlign w:val="center"/>
          </w:tcPr>
          <w:p w:rsidR="00000000" w:rsidRDefault="00000000">
            <w:pPr>
              <w:jc w:val="center"/>
              <w:rPr>
                <w:snapToGrid w:val="0"/>
                <w:sz w:val="18"/>
              </w:rPr>
            </w:pPr>
          </w:p>
        </w:tc>
        <w:tc>
          <w:tcPr>
            <w:tcW w:w="888" w:type="dxa"/>
            <w:tcBorders>
              <w:top w:val="nil"/>
              <w:bottom w:val="single" w:sz="4" w:space="0" w:color="auto"/>
            </w:tcBorders>
            <w:vAlign w:val="center"/>
          </w:tcPr>
          <w:p w:rsidR="00000000" w:rsidRDefault="00000000">
            <w:pPr>
              <w:jc w:val="center"/>
              <w:rPr>
                <w:snapToGrid w:val="0"/>
                <w:sz w:val="18"/>
              </w:rPr>
            </w:pPr>
            <w:r>
              <w:rPr>
                <w:snapToGrid w:val="0"/>
                <w:sz w:val="18"/>
              </w:rPr>
              <w:t>1999</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28 107</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21 494</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6 582</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31</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22 894</w:t>
            </w:r>
          </w:p>
        </w:tc>
        <w:tc>
          <w:tcPr>
            <w:tcW w:w="888" w:type="dxa"/>
            <w:tcBorders>
              <w:top w:val="nil"/>
              <w:bottom w:val="single" w:sz="4" w:space="0" w:color="auto"/>
            </w:tcBorders>
            <w:vAlign w:val="center"/>
          </w:tcPr>
          <w:p w:rsidR="00000000" w:rsidRDefault="00000000">
            <w:pPr>
              <w:ind w:right="170"/>
              <w:jc w:val="right"/>
              <w:rPr>
                <w:snapToGrid w:val="0"/>
                <w:sz w:val="18"/>
              </w:rPr>
            </w:pPr>
            <w:r>
              <w:rPr>
                <w:snapToGrid w:val="0"/>
                <w:sz w:val="18"/>
              </w:rPr>
              <w:t>18 215</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4 650</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29</w:t>
            </w:r>
          </w:p>
        </w:tc>
      </w:tr>
      <w:tr w:rsidR="00000000">
        <w:tblPrEx>
          <w:tblCellMar>
            <w:top w:w="0" w:type="dxa"/>
            <w:bottom w:w="0" w:type="dxa"/>
          </w:tblCellMar>
        </w:tblPrEx>
        <w:trPr>
          <w:trHeight w:val="221"/>
        </w:trPr>
        <w:tc>
          <w:tcPr>
            <w:tcW w:w="1194" w:type="dxa"/>
            <w:tcBorders>
              <w:top w:val="single" w:sz="4" w:space="0" w:color="auto"/>
            </w:tcBorders>
            <w:vAlign w:val="center"/>
          </w:tcPr>
          <w:p w:rsidR="00000000" w:rsidRDefault="00000000">
            <w:pPr>
              <w:jc w:val="center"/>
              <w:rPr>
                <w:snapToGrid w:val="0"/>
                <w:sz w:val="18"/>
              </w:rPr>
            </w:pPr>
            <w:r>
              <w:rPr>
                <w:snapToGrid w:val="0"/>
                <w:sz w:val="18"/>
              </w:rPr>
              <w:t>Ages 50</w:t>
            </w:r>
          </w:p>
        </w:tc>
        <w:tc>
          <w:tcPr>
            <w:tcW w:w="888" w:type="dxa"/>
            <w:tcBorders>
              <w:top w:val="single" w:sz="4" w:space="0" w:color="auto"/>
            </w:tcBorders>
            <w:vAlign w:val="center"/>
          </w:tcPr>
          <w:p w:rsidR="00000000" w:rsidRDefault="00000000">
            <w:pPr>
              <w:jc w:val="center"/>
              <w:rPr>
                <w:snapToGrid w:val="0"/>
                <w:sz w:val="18"/>
              </w:rPr>
            </w:pPr>
            <w:r>
              <w:rPr>
                <w:snapToGrid w:val="0"/>
                <w:sz w:val="18"/>
              </w:rPr>
              <w:t>1997</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17 500</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5 616</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1 652</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10 232</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14 010</w:t>
            </w:r>
          </w:p>
        </w:tc>
        <w:tc>
          <w:tcPr>
            <w:tcW w:w="888" w:type="dxa"/>
            <w:tcBorders>
              <w:top w:val="single" w:sz="4" w:space="0" w:color="auto"/>
            </w:tcBorders>
            <w:vAlign w:val="center"/>
          </w:tcPr>
          <w:p w:rsidR="00000000" w:rsidRDefault="00000000">
            <w:pPr>
              <w:ind w:right="170"/>
              <w:jc w:val="right"/>
              <w:rPr>
                <w:snapToGrid w:val="0"/>
                <w:sz w:val="18"/>
              </w:rPr>
            </w:pPr>
            <w:r>
              <w:rPr>
                <w:snapToGrid w:val="0"/>
                <w:sz w:val="18"/>
              </w:rPr>
              <w:t>4 831</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1 035</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8 144</w:t>
            </w:r>
          </w:p>
        </w:tc>
      </w:tr>
      <w:tr w:rsidR="00000000">
        <w:tblPrEx>
          <w:tblCellMar>
            <w:top w:w="0" w:type="dxa"/>
            <w:bottom w:w="0" w:type="dxa"/>
          </w:tblCellMar>
        </w:tblPrEx>
        <w:trPr>
          <w:trHeight w:val="221"/>
        </w:trPr>
        <w:tc>
          <w:tcPr>
            <w:tcW w:w="1194" w:type="dxa"/>
            <w:tcBorders>
              <w:bottom w:val="nil"/>
            </w:tcBorders>
            <w:vAlign w:val="center"/>
          </w:tcPr>
          <w:p w:rsidR="00000000" w:rsidRDefault="00000000">
            <w:pPr>
              <w:jc w:val="center"/>
              <w:rPr>
                <w:snapToGrid w:val="0"/>
                <w:sz w:val="18"/>
              </w:rPr>
            </w:pPr>
            <w:r>
              <w:rPr>
                <w:snapToGrid w:val="0"/>
                <w:sz w:val="18"/>
              </w:rPr>
              <w:t>to 54</w:t>
            </w:r>
          </w:p>
        </w:tc>
        <w:tc>
          <w:tcPr>
            <w:tcW w:w="888" w:type="dxa"/>
            <w:tcBorders>
              <w:bottom w:val="nil"/>
            </w:tcBorders>
            <w:vAlign w:val="center"/>
          </w:tcPr>
          <w:p w:rsidR="00000000" w:rsidRDefault="00000000">
            <w:pPr>
              <w:jc w:val="center"/>
              <w:rPr>
                <w:snapToGrid w:val="0"/>
                <w:sz w:val="18"/>
              </w:rPr>
            </w:pPr>
            <w:r>
              <w:rPr>
                <w:snapToGrid w:val="0"/>
                <w:sz w:val="18"/>
              </w:rPr>
              <w:t>1998</w:t>
            </w:r>
          </w:p>
        </w:tc>
        <w:tc>
          <w:tcPr>
            <w:tcW w:w="889" w:type="dxa"/>
            <w:tcBorders>
              <w:bottom w:val="nil"/>
            </w:tcBorders>
            <w:vAlign w:val="center"/>
          </w:tcPr>
          <w:p w:rsidR="00000000" w:rsidRDefault="00000000">
            <w:pPr>
              <w:ind w:right="170"/>
              <w:jc w:val="right"/>
              <w:rPr>
                <w:snapToGrid w:val="0"/>
                <w:sz w:val="18"/>
              </w:rPr>
            </w:pPr>
            <w:r>
              <w:rPr>
                <w:snapToGrid w:val="0"/>
                <w:sz w:val="18"/>
              </w:rPr>
              <w:t>17 276</w:t>
            </w:r>
          </w:p>
        </w:tc>
        <w:tc>
          <w:tcPr>
            <w:tcW w:w="889" w:type="dxa"/>
            <w:tcBorders>
              <w:bottom w:val="nil"/>
            </w:tcBorders>
            <w:vAlign w:val="center"/>
          </w:tcPr>
          <w:p w:rsidR="00000000" w:rsidRDefault="00000000">
            <w:pPr>
              <w:ind w:right="170"/>
              <w:jc w:val="right"/>
              <w:rPr>
                <w:snapToGrid w:val="0"/>
                <w:sz w:val="18"/>
              </w:rPr>
            </w:pPr>
            <w:r>
              <w:rPr>
                <w:snapToGrid w:val="0"/>
                <w:sz w:val="18"/>
              </w:rPr>
              <w:t>12 189</w:t>
            </w:r>
          </w:p>
        </w:tc>
        <w:tc>
          <w:tcPr>
            <w:tcW w:w="889" w:type="dxa"/>
            <w:tcBorders>
              <w:bottom w:val="nil"/>
            </w:tcBorders>
            <w:vAlign w:val="center"/>
          </w:tcPr>
          <w:p w:rsidR="00000000" w:rsidRDefault="00000000">
            <w:pPr>
              <w:ind w:right="170"/>
              <w:jc w:val="right"/>
              <w:rPr>
                <w:snapToGrid w:val="0"/>
                <w:sz w:val="18"/>
              </w:rPr>
            </w:pPr>
            <w:r>
              <w:rPr>
                <w:snapToGrid w:val="0"/>
                <w:sz w:val="18"/>
              </w:rPr>
              <w:t>3 518</w:t>
            </w:r>
          </w:p>
        </w:tc>
        <w:tc>
          <w:tcPr>
            <w:tcW w:w="889" w:type="dxa"/>
            <w:tcBorders>
              <w:bottom w:val="nil"/>
            </w:tcBorders>
            <w:vAlign w:val="center"/>
          </w:tcPr>
          <w:p w:rsidR="00000000" w:rsidRDefault="00000000">
            <w:pPr>
              <w:ind w:right="170"/>
              <w:jc w:val="right"/>
              <w:rPr>
                <w:snapToGrid w:val="0"/>
                <w:sz w:val="18"/>
              </w:rPr>
            </w:pPr>
            <w:r>
              <w:rPr>
                <w:snapToGrid w:val="0"/>
                <w:sz w:val="18"/>
              </w:rPr>
              <w:t>1 569</w:t>
            </w:r>
          </w:p>
        </w:tc>
        <w:tc>
          <w:tcPr>
            <w:tcW w:w="889" w:type="dxa"/>
            <w:tcBorders>
              <w:bottom w:val="nil"/>
            </w:tcBorders>
            <w:vAlign w:val="center"/>
          </w:tcPr>
          <w:p w:rsidR="00000000" w:rsidRDefault="00000000">
            <w:pPr>
              <w:ind w:right="170"/>
              <w:jc w:val="right"/>
              <w:rPr>
                <w:snapToGrid w:val="0"/>
                <w:sz w:val="18"/>
              </w:rPr>
            </w:pPr>
            <w:r>
              <w:rPr>
                <w:snapToGrid w:val="0"/>
                <w:sz w:val="18"/>
              </w:rPr>
              <w:t>14 103</w:t>
            </w:r>
          </w:p>
        </w:tc>
        <w:tc>
          <w:tcPr>
            <w:tcW w:w="888" w:type="dxa"/>
            <w:tcBorders>
              <w:bottom w:val="nil"/>
            </w:tcBorders>
            <w:vAlign w:val="center"/>
          </w:tcPr>
          <w:p w:rsidR="00000000" w:rsidRDefault="00000000">
            <w:pPr>
              <w:ind w:right="170"/>
              <w:jc w:val="right"/>
              <w:rPr>
                <w:snapToGrid w:val="0"/>
                <w:sz w:val="18"/>
              </w:rPr>
            </w:pPr>
            <w:r>
              <w:rPr>
                <w:snapToGrid w:val="0"/>
                <w:sz w:val="18"/>
              </w:rPr>
              <w:t>10 286</w:t>
            </w:r>
          </w:p>
        </w:tc>
        <w:tc>
          <w:tcPr>
            <w:tcW w:w="889" w:type="dxa"/>
            <w:tcBorders>
              <w:bottom w:val="nil"/>
            </w:tcBorders>
            <w:vAlign w:val="center"/>
          </w:tcPr>
          <w:p w:rsidR="00000000" w:rsidRDefault="00000000">
            <w:pPr>
              <w:ind w:right="170"/>
              <w:jc w:val="right"/>
              <w:rPr>
                <w:snapToGrid w:val="0"/>
                <w:sz w:val="18"/>
              </w:rPr>
            </w:pPr>
            <w:r>
              <w:rPr>
                <w:snapToGrid w:val="0"/>
                <w:sz w:val="18"/>
              </w:rPr>
              <w:t>2 491</w:t>
            </w:r>
          </w:p>
        </w:tc>
        <w:tc>
          <w:tcPr>
            <w:tcW w:w="889" w:type="dxa"/>
            <w:tcBorders>
              <w:bottom w:val="nil"/>
            </w:tcBorders>
            <w:vAlign w:val="center"/>
          </w:tcPr>
          <w:p w:rsidR="00000000" w:rsidRDefault="00000000">
            <w:pPr>
              <w:ind w:right="170"/>
              <w:jc w:val="right"/>
              <w:rPr>
                <w:snapToGrid w:val="0"/>
                <w:sz w:val="18"/>
              </w:rPr>
            </w:pPr>
            <w:r>
              <w:rPr>
                <w:snapToGrid w:val="0"/>
                <w:sz w:val="18"/>
              </w:rPr>
              <w:t>1 326</w:t>
            </w:r>
          </w:p>
        </w:tc>
      </w:tr>
      <w:tr w:rsidR="00000000">
        <w:tblPrEx>
          <w:tblCellMar>
            <w:top w:w="0" w:type="dxa"/>
            <w:bottom w:w="0" w:type="dxa"/>
          </w:tblCellMar>
        </w:tblPrEx>
        <w:trPr>
          <w:trHeight w:val="221"/>
        </w:trPr>
        <w:tc>
          <w:tcPr>
            <w:tcW w:w="1194" w:type="dxa"/>
            <w:tcBorders>
              <w:top w:val="nil"/>
              <w:bottom w:val="single" w:sz="4" w:space="0" w:color="auto"/>
            </w:tcBorders>
            <w:vAlign w:val="center"/>
          </w:tcPr>
          <w:p w:rsidR="00000000" w:rsidRDefault="00000000">
            <w:pPr>
              <w:jc w:val="center"/>
              <w:rPr>
                <w:snapToGrid w:val="0"/>
                <w:sz w:val="18"/>
              </w:rPr>
            </w:pPr>
          </w:p>
        </w:tc>
        <w:tc>
          <w:tcPr>
            <w:tcW w:w="888" w:type="dxa"/>
            <w:tcBorders>
              <w:top w:val="nil"/>
              <w:bottom w:val="single" w:sz="4" w:space="0" w:color="auto"/>
            </w:tcBorders>
            <w:vAlign w:val="center"/>
          </w:tcPr>
          <w:p w:rsidR="00000000" w:rsidRDefault="00000000">
            <w:pPr>
              <w:jc w:val="center"/>
              <w:rPr>
                <w:snapToGrid w:val="0"/>
                <w:sz w:val="18"/>
              </w:rPr>
            </w:pPr>
            <w:r>
              <w:rPr>
                <w:snapToGrid w:val="0"/>
                <w:sz w:val="18"/>
              </w:rPr>
              <w:t>1999</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15 973</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12 090</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3 861</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22</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13 215</w:t>
            </w:r>
          </w:p>
        </w:tc>
        <w:tc>
          <w:tcPr>
            <w:tcW w:w="888" w:type="dxa"/>
            <w:tcBorders>
              <w:top w:val="nil"/>
              <w:bottom w:val="single" w:sz="4" w:space="0" w:color="auto"/>
            </w:tcBorders>
            <w:vAlign w:val="center"/>
          </w:tcPr>
          <w:p w:rsidR="00000000" w:rsidRDefault="00000000">
            <w:pPr>
              <w:ind w:right="170"/>
              <w:jc w:val="right"/>
              <w:rPr>
                <w:snapToGrid w:val="0"/>
                <w:sz w:val="18"/>
              </w:rPr>
            </w:pPr>
            <w:r>
              <w:rPr>
                <w:snapToGrid w:val="0"/>
                <w:sz w:val="18"/>
              </w:rPr>
              <w:t>10 298</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2 895</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22</w:t>
            </w:r>
          </w:p>
        </w:tc>
      </w:tr>
      <w:tr w:rsidR="00000000">
        <w:tblPrEx>
          <w:tblCellMar>
            <w:top w:w="0" w:type="dxa"/>
            <w:bottom w:w="0" w:type="dxa"/>
          </w:tblCellMar>
        </w:tblPrEx>
        <w:trPr>
          <w:trHeight w:val="221"/>
        </w:trPr>
        <w:tc>
          <w:tcPr>
            <w:tcW w:w="1194" w:type="dxa"/>
            <w:tcBorders>
              <w:top w:val="single" w:sz="4" w:space="0" w:color="auto"/>
            </w:tcBorders>
            <w:vAlign w:val="center"/>
          </w:tcPr>
          <w:p w:rsidR="00000000" w:rsidRDefault="00000000">
            <w:pPr>
              <w:jc w:val="center"/>
              <w:rPr>
                <w:snapToGrid w:val="0"/>
                <w:sz w:val="18"/>
              </w:rPr>
            </w:pPr>
            <w:r>
              <w:rPr>
                <w:snapToGrid w:val="0"/>
                <w:sz w:val="18"/>
              </w:rPr>
              <w:t>Ages 55</w:t>
            </w:r>
          </w:p>
        </w:tc>
        <w:tc>
          <w:tcPr>
            <w:tcW w:w="888" w:type="dxa"/>
            <w:tcBorders>
              <w:top w:val="single" w:sz="4" w:space="0" w:color="auto"/>
            </w:tcBorders>
            <w:vAlign w:val="center"/>
          </w:tcPr>
          <w:p w:rsidR="00000000" w:rsidRDefault="00000000">
            <w:pPr>
              <w:jc w:val="center"/>
              <w:rPr>
                <w:snapToGrid w:val="0"/>
                <w:sz w:val="18"/>
              </w:rPr>
            </w:pPr>
            <w:r>
              <w:rPr>
                <w:snapToGrid w:val="0"/>
                <w:sz w:val="18"/>
              </w:rPr>
              <w:t>1997</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9 298</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3 260</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732</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5 306</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7 489</w:t>
            </w:r>
          </w:p>
        </w:tc>
        <w:tc>
          <w:tcPr>
            <w:tcW w:w="888" w:type="dxa"/>
            <w:tcBorders>
              <w:top w:val="single" w:sz="4" w:space="0" w:color="auto"/>
            </w:tcBorders>
            <w:vAlign w:val="center"/>
          </w:tcPr>
          <w:p w:rsidR="00000000" w:rsidRDefault="00000000">
            <w:pPr>
              <w:ind w:right="170"/>
              <w:jc w:val="right"/>
              <w:rPr>
                <w:snapToGrid w:val="0"/>
                <w:sz w:val="18"/>
              </w:rPr>
            </w:pPr>
            <w:r>
              <w:rPr>
                <w:snapToGrid w:val="0"/>
                <w:sz w:val="18"/>
              </w:rPr>
              <w:t>2 827</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437</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4 225</w:t>
            </w:r>
          </w:p>
        </w:tc>
      </w:tr>
      <w:tr w:rsidR="00000000">
        <w:tblPrEx>
          <w:tblCellMar>
            <w:top w:w="0" w:type="dxa"/>
            <w:bottom w:w="0" w:type="dxa"/>
          </w:tblCellMar>
        </w:tblPrEx>
        <w:trPr>
          <w:trHeight w:val="221"/>
        </w:trPr>
        <w:tc>
          <w:tcPr>
            <w:tcW w:w="1194" w:type="dxa"/>
            <w:tcBorders>
              <w:bottom w:val="nil"/>
            </w:tcBorders>
            <w:vAlign w:val="center"/>
          </w:tcPr>
          <w:p w:rsidR="00000000" w:rsidRDefault="00000000">
            <w:pPr>
              <w:jc w:val="center"/>
              <w:rPr>
                <w:snapToGrid w:val="0"/>
                <w:sz w:val="18"/>
              </w:rPr>
            </w:pPr>
            <w:r>
              <w:rPr>
                <w:snapToGrid w:val="0"/>
                <w:sz w:val="18"/>
              </w:rPr>
              <w:t>to 59</w:t>
            </w:r>
          </w:p>
        </w:tc>
        <w:tc>
          <w:tcPr>
            <w:tcW w:w="888" w:type="dxa"/>
            <w:tcBorders>
              <w:bottom w:val="nil"/>
            </w:tcBorders>
            <w:vAlign w:val="center"/>
          </w:tcPr>
          <w:p w:rsidR="00000000" w:rsidRDefault="00000000">
            <w:pPr>
              <w:jc w:val="center"/>
              <w:rPr>
                <w:snapToGrid w:val="0"/>
                <w:sz w:val="18"/>
              </w:rPr>
            </w:pPr>
            <w:r>
              <w:rPr>
                <w:snapToGrid w:val="0"/>
                <w:sz w:val="18"/>
              </w:rPr>
              <w:t>1998</w:t>
            </w:r>
          </w:p>
        </w:tc>
        <w:tc>
          <w:tcPr>
            <w:tcW w:w="889" w:type="dxa"/>
            <w:tcBorders>
              <w:bottom w:val="nil"/>
            </w:tcBorders>
            <w:vAlign w:val="center"/>
          </w:tcPr>
          <w:p w:rsidR="00000000" w:rsidRDefault="00000000">
            <w:pPr>
              <w:ind w:right="170"/>
              <w:jc w:val="right"/>
              <w:rPr>
                <w:snapToGrid w:val="0"/>
                <w:sz w:val="18"/>
              </w:rPr>
            </w:pPr>
            <w:r>
              <w:rPr>
                <w:snapToGrid w:val="0"/>
                <w:sz w:val="18"/>
              </w:rPr>
              <w:t>9 266</w:t>
            </w:r>
          </w:p>
        </w:tc>
        <w:tc>
          <w:tcPr>
            <w:tcW w:w="889" w:type="dxa"/>
            <w:tcBorders>
              <w:bottom w:val="nil"/>
            </w:tcBorders>
            <w:vAlign w:val="center"/>
          </w:tcPr>
          <w:p w:rsidR="00000000" w:rsidRDefault="00000000">
            <w:pPr>
              <w:ind w:right="170"/>
              <w:jc w:val="right"/>
              <w:rPr>
                <w:snapToGrid w:val="0"/>
                <w:sz w:val="18"/>
              </w:rPr>
            </w:pPr>
            <w:r>
              <w:rPr>
                <w:snapToGrid w:val="0"/>
                <w:sz w:val="18"/>
              </w:rPr>
              <w:t>6 817</w:t>
            </w:r>
          </w:p>
        </w:tc>
        <w:tc>
          <w:tcPr>
            <w:tcW w:w="889" w:type="dxa"/>
            <w:tcBorders>
              <w:bottom w:val="nil"/>
            </w:tcBorders>
            <w:vAlign w:val="center"/>
          </w:tcPr>
          <w:p w:rsidR="00000000" w:rsidRDefault="00000000">
            <w:pPr>
              <w:ind w:right="170"/>
              <w:jc w:val="right"/>
              <w:rPr>
                <w:snapToGrid w:val="0"/>
                <w:sz w:val="18"/>
              </w:rPr>
            </w:pPr>
            <w:r>
              <w:rPr>
                <w:snapToGrid w:val="0"/>
                <w:sz w:val="18"/>
              </w:rPr>
              <w:t>1 622</w:t>
            </w:r>
          </w:p>
        </w:tc>
        <w:tc>
          <w:tcPr>
            <w:tcW w:w="889" w:type="dxa"/>
            <w:tcBorders>
              <w:bottom w:val="nil"/>
            </w:tcBorders>
            <w:vAlign w:val="center"/>
          </w:tcPr>
          <w:p w:rsidR="00000000" w:rsidRDefault="00000000">
            <w:pPr>
              <w:ind w:right="170"/>
              <w:jc w:val="right"/>
              <w:rPr>
                <w:snapToGrid w:val="0"/>
                <w:sz w:val="18"/>
              </w:rPr>
            </w:pPr>
            <w:r>
              <w:rPr>
                <w:snapToGrid w:val="0"/>
                <w:sz w:val="18"/>
              </w:rPr>
              <w:t>827</w:t>
            </w:r>
          </w:p>
        </w:tc>
        <w:tc>
          <w:tcPr>
            <w:tcW w:w="889" w:type="dxa"/>
            <w:tcBorders>
              <w:bottom w:val="nil"/>
            </w:tcBorders>
            <w:vAlign w:val="center"/>
          </w:tcPr>
          <w:p w:rsidR="00000000" w:rsidRDefault="00000000">
            <w:pPr>
              <w:ind w:right="170"/>
              <w:jc w:val="right"/>
              <w:rPr>
                <w:snapToGrid w:val="0"/>
                <w:sz w:val="18"/>
              </w:rPr>
            </w:pPr>
            <w:r>
              <w:rPr>
                <w:snapToGrid w:val="0"/>
                <w:sz w:val="18"/>
              </w:rPr>
              <w:t>7 636</w:t>
            </w:r>
          </w:p>
        </w:tc>
        <w:tc>
          <w:tcPr>
            <w:tcW w:w="888" w:type="dxa"/>
            <w:tcBorders>
              <w:bottom w:val="nil"/>
            </w:tcBorders>
            <w:vAlign w:val="center"/>
          </w:tcPr>
          <w:p w:rsidR="00000000" w:rsidRDefault="00000000">
            <w:pPr>
              <w:ind w:right="170"/>
              <w:jc w:val="right"/>
              <w:rPr>
                <w:snapToGrid w:val="0"/>
                <w:sz w:val="18"/>
              </w:rPr>
            </w:pPr>
            <w:r>
              <w:rPr>
                <w:snapToGrid w:val="0"/>
                <w:sz w:val="18"/>
              </w:rPr>
              <w:t>5 783</w:t>
            </w:r>
          </w:p>
        </w:tc>
        <w:tc>
          <w:tcPr>
            <w:tcW w:w="889" w:type="dxa"/>
            <w:tcBorders>
              <w:bottom w:val="nil"/>
            </w:tcBorders>
            <w:vAlign w:val="center"/>
          </w:tcPr>
          <w:p w:rsidR="00000000" w:rsidRDefault="00000000">
            <w:pPr>
              <w:ind w:right="170"/>
              <w:jc w:val="right"/>
              <w:rPr>
                <w:snapToGrid w:val="0"/>
                <w:sz w:val="18"/>
              </w:rPr>
            </w:pPr>
            <w:r>
              <w:rPr>
                <w:snapToGrid w:val="0"/>
                <w:sz w:val="18"/>
              </w:rPr>
              <w:t>1 153</w:t>
            </w:r>
          </w:p>
        </w:tc>
        <w:tc>
          <w:tcPr>
            <w:tcW w:w="889" w:type="dxa"/>
            <w:tcBorders>
              <w:bottom w:val="nil"/>
            </w:tcBorders>
            <w:vAlign w:val="center"/>
          </w:tcPr>
          <w:p w:rsidR="00000000" w:rsidRDefault="00000000">
            <w:pPr>
              <w:ind w:right="170"/>
              <w:jc w:val="right"/>
              <w:rPr>
                <w:snapToGrid w:val="0"/>
                <w:sz w:val="18"/>
              </w:rPr>
            </w:pPr>
            <w:r>
              <w:rPr>
                <w:snapToGrid w:val="0"/>
                <w:sz w:val="18"/>
              </w:rPr>
              <w:t>700</w:t>
            </w:r>
          </w:p>
        </w:tc>
      </w:tr>
      <w:tr w:rsidR="00000000">
        <w:tblPrEx>
          <w:tblCellMar>
            <w:top w:w="0" w:type="dxa"/>
            <w:bottom w:w="0" w:type="dxa"/>
          </w:tblCellMar>
        </w:tblPrEx>
        <w:trPr>
          <w:trHeight w:val="221"/>
        </w:trPr>
        <w:tc>
          <w:tcPr>
            <w:tcW w:w="1194" w:type="dxa"/>
            <w:tcBorders>
              <w:top w:val="nil"/>
              <w:bottom w:val="single" w:sz="4" w:space="0" w:color="auto"/>
            </w:tcBorders>
            <w:vAlign w:val="center"/>
          </w:tcPr>
          <w:p w:rsidR="00000000" w:rsidRDefault="00000000">
            <w:pPr>
              <w:jc w:val="center"/>
              <w:rPr>
                <w:snapToGrid w:val="0"/>
                <w:sz w:val="18"/>
              </w:rPr>
            </w:pPr>
          </w:p>
        </w:tc>
        <w:tc>
          <w:tcPr>
            <w:tcW w:w="888" w:type="dxa"/>
            <w:tcBorders>
              <w:top w:val="nil"/>
              <w:bottom w:val="single" w:sz="4" w:space="0" w:color="auto"/>
            </w:tcBorders>
            <w:vAlign w:val="center"/>
          </w:tcPr>
          <w:p w:rsidR="00000000" w:rsidRDefault="00000000">
            <w:pPr>
              <w:jc w:val="center"/>
              <w:rPr>
                <w:snapToGrid w:val="0"/>
                <w:sz w:val="18"/>
              </w:rPr>
            </w:pPr>
            <w:r>
              <w:rPr>
                <w:snapToGrid w:val="0"/>
                <w:sz w:val="18"/>
              </w:rPr>
              <w:t>1999</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8 483</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6 678</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1 794</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11</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7 098</w:t>
            </w:r>
          </w:p>
        </w:tc>
        <w:tc>
          <w:tcPr>
            <w:tcW w:w="888" w:type="dxa"/>
            <w:tcBorders>
              <w:top w:val="nil"/>
              <w:bottom w:val="single" w:sz="4" w:space="0" w:color="auto"/>
            </w:tcBorders>
            <w:vAlign w:val="center"/>
          </w:tcPr>
          <w:p w:rsidR="00000000" w:rsidRDefault="00000000">
            <w:pPr>
              <w:ind w:right="170"/>
              <w:jc w:val="right"/>
              <w:rPr>
                <w:snapToGrid w:val="0"/>
                <w:sz w:val="18"/>
              </w:rPr>
            </w:pPr>
            <w:r>
              <w:rPr>
                <w:snapToGrid w:val="0"/>
                <w:sz w:val="18"/>
              </w:rPr>
              <w:t>5 769</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1 319</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10</w:t>
            </w:r>
          </w:p>
        </w:tc>
      </w:tr>
      <w:tr w:rsidR="00000000">
        <w:tblPrEx>
          <w:tblCellMar>
            <w:top w:w="0" w:type="dxa"/>
            <w:bottom w:w="0" w:type="dxa"/>
          </w:tblCellMar>
        </w:tblPrEx>
        <w:trPr>
          <w:trHeight w:val="221"/>
        </w:trPr>
        <w:tc>
          <w:tcPr>
            <w:tcW w:w="1194" w:type="dxa"/>
            <w:tcBorders>
              <w:top w:val="single" w:sz="4" w:space="0" w:color="auto"/>
            </w:tcBorders>
            <w:vAlign w:val="center"/>
          </w:tcPr>
          <w:p w:rsidR="00000000" w:rsidRDefault="00000000">
            <w:pPr>
              <w:jc w:val="center"/>
              <w:rPr>
                <w:snapToGrid w:val="0"/>
                <w:sz w:val="18"/>
              </w:rPr>
            </w:pPr>
            <w:r>
              <w:rPr>
                <w:snapToGrid w:val="0"/>
                <w:sz w:val="18"/>
              </w:rPr>
              <w:t>Ages 60</w:t>
            </w:r>
          </w:p>
        </w:tc>
        <w:tc>
          <w:tcPr>
            <w:tcW w:w="888" w:type="dxa"/>
            <w:tcBorders>
              <w:top w:val="single" w:sz="4" w:space="0" w:color="auto"/>
            </w:tcBorders>
            <w:vAlign w:val="center"/>
          </w:tcPr>
          <w:p w:rsidR="00000000" w:rsidRDefault="00000000">
            <w:pPr>
              <w:jc w:val="center"/>
              <w:rPr>
                <w:snapToGrid w:val="0"/>
                <w:sz w:val="18"/>
              </w:rPr>
            </w:pPr>
            <w:r>
              <w:rPr>
                <w:snapToGrid w:val="0"/>
                <w:sz w:val="18"/>
              </w:rPr>
              <w:t>1997</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3 850</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1 288</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125</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2 437</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3 107</w:t>
            </w:r>
          </w:p>
        </w:tc>
        <w:tc>
          <w:tcPr>
            <w:tcW w:w="888" w:type="dxa"/>
            <w:tcBorders>
              <w:top w:val="single" w:sz="4" w:space="0" w:color="auto"/>
            </w:tcBorders>
            <w:vAlign w:val="center"/>
          </w:tcPr>
          <w:p w:rsidR="00000000" w:rsidRDefault="00000000">
            <w:pPr>
              <w:ind w:right="170"/>
              <w:jc w:val="right"/>
              <w:rPr>
                <w:snapToGrid w:val="0"/>
                <w:sz w:val="18"/>
              </w:rPr>
            </w:pPr>
            <w:r>
              <w:rPr>
                <w:snapToGrid w:val="0"/>
                <w:sz w:val="18"/>
              </w:rPr>
              <w:t>1 076</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77</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1 954</w:t>
            </w:r>
          </w:p>
        </w:tc>
      </w:tr>
      <w:tr w:rsidR="00000000">
        <w:tblPrEx>
          <w:tblCellMar>
            <w:top w:w="0" w:type="dxa"/>
            <w:bottom w:w="0" w:type="dxa"/>
          </w:tblCellMar>
        </w:tblPrEx>
        <w:trPr>
          <w:trHeight w:val="221"/>
        </w:trPr>
        <w:tc>
          <w:tcPr>
            <w:tcW w:w="1194" w:type="dxa"/>
            <w:tcBorders>
              <w:bottom w:val="nil"/>
            </w:tcBorders>
            <w:vAlign w:val="center"/>
          </w:tcPr>
          <w:p w:rsidR="00000000" w:rsidRDefault="00000000">
            <w:pPr>
              <w:jc w:val="center"/>
              <w:rPr>
                <w:snapToGrid w:val="0"/>
                <w:sz w:val="18"/>
              </w:rPr>
            </w:pPr>
            <w:r>
              <w:rPr>
                <w:snapToGrid w:val="0"/>
                <w:sz w:val="18"/>
              </w:rPr>
              <w:t>to 64</w:t>
            </w:r>
          </w:p>
        </w:tc>
        <w:tc>
          <w:tcPr>
            <w:tcW w:w="888" w:type="dxa"/>
            <w:tcBorders>
              <w:bottom w:val="nil"/>
            </w:tcBorders>
            <w:vAlign w:val="center"/>
          </w:tcPr>
          <w:p w:rsidR="00000000" w:rsidRDefault="00000000">
            <w:pPr>
              <w:jc w:val="center"/>
              <w:rPr>
                <w:snapToGrid w:val="0"/>
                <w:sz w:val="18"/>
              </w:rPr>
            </w:pPr>
            <w:r>
              <w:rPr>
                <w:snapToGrid w:val="0"/>
                <w:sz w:val="18"/>
              </w:rPr>
              <w:t>1998</w:t>
            </w:r>
          </w:p>
        </w:tc>
        <w:tc>
          <w:tcPr>
            <w:tcW w:w="889" w:type="dxa"/>
            <w:tcBorders>
              <w:bottom w:val="nil"/>
            </w:tcBorders>
            <w:vAlign w:val="center"/>
          </w:tcPr>
          <w:p w:rsidR="00000000" w:rsidRDefault="00000000">
            <w:pPr>
              <w:ind w:right="170"/>
              <w:jc w:val="right"/>
              <w:rPr>
                <w:snapToGrid w:val="0"/>
                <w:sz w:val="18"/>
              </w:rPr>
            </w:pPr>
            <w:r>
              <w:rPr>
                <w:snapToGrid w:val="0"/>
                <w:sz w:val="18"/>
              </w:rPr>
              <w:t>3 528</w:t>
            </w:r>
          </w:p>
        </w:tc>
        <w:tc>
          <w:tcPr>
            <w:tcW w:w="889" w:type="dxa"/>
            <w:tcBorders>
              <w:bottom w:val="nil"/>
            </w:tcBorders>
            <w:vAlign w:val="center"/>
          </w:tcPr>
          <w:p w:rsidR="00000000" w:rsidRDefault="00000000">
            <w:pPr>
              <w:ind w:right="170"/>
              <w:jc w:val="right"/>
              <w:rPr>
                <w:snapToGrid w:val="0"/>
                <w:sz w:val="18"/>
              </w:rPr>
            </w:pPr>
            <w:r>
              <w:rPr>
                <w:snapToGrid w:val="0"/>
                <w:sz w:val="18"/>
              </w:rPr>
              <w:t>2 781</w:t>
            </w:r>
          </w:p>
        </w:tc>
        <w:tc>
          <w:tcPr>
            <w:tcW w:w="889" w:type="dxa"/>
            <w:tcBorders>
              <w:bottom w:val="nil"/>
            </w:tcBorders>
            <w:vAlign w:val="center"/>
          </w:tcPr>
          <w:p w:rsidR="00000000" w:rsidRDefault="00000000">
            <w:pPr>
              <w:ind w:right="170"/>
              <w:jc w:val="right"/>
              <w:rPr>
                <w:snapToGrid w:val="0"/>
                <w:sz w:val="18"/>
              </w:rPr>
            </w:pPr>
            <w:r>
              <w:rPr>
                <w:snapToGrid w:val="0"/>
                <w:sz w:val="18"/>
              </w:rPr>
              <w:t>401</w:t>
            </w:r>
          </w:p>
        </w:tc>
        <w:tc>
          <w:tcPr>
            <w:tcW w:w="889" w:type="dxa"/>
            <w:tcBorders>
              <w:bottom w:val="nil"/>
            </w:tcBorders>
            <w:vAlign w:val="center"/>
          </w:tcPr>
          <w:p w:rsidR="00000000" w:rsidRDefault="00000000">
            <w:pPr>
              <w:ind w:right="170"/>
              <w:jc w:val="right"/>
              <w:rPr>
                <w:snapToGrid w:val="0"/>
                <w:sz w:val="18"/>
              </w:rPr>
            </w:pPr>
            <w:r>
              <w:rPr>
                <w:snapToGrid w:val="0"/>
                <w:sz w:val="18"/>
              </w:rPr>
              <w:t>346</w:t>
            </w:r>
          </w:p>
        </w:tc>
        <w:tc>
          <w:tcPr>
            <w:tcW w:w="889" w:type="dxa"/>
            <w:tcBorders>
              <w:bottom w:val="nil"/>
            </w:tcBorders>
            <w:vAlign w:val="center"/>
          </w:tcPr>
          <w:p w:rsidR="00000000" w:rsidRDefault="00000000">
            <w:pPr>
              <w:ind w:right="170"/>
              <w:jc w:val="right"/>
              <w:rPr>
                <w:snapToGrid w:val="0"/>
                <w:sz w:val="18"/>
              </w:rPr>
            </w:pPr>
            <w:r>
              <w:rPr>
                <w:snapToGrid w:val="0"/>
                <w:sz w:val="18"/>
              </w:rPr>
              <w:t>2 901</w:t>
            </w:r>
          </w:p>
        </w:tc>
        <w:tc>
          <w:tcPr>
            <w:tcW w:w="888" w:type="dxa"/>
            <w:tcBorders>
              <w:bottom w:val="nil"/>
            </w:tcBorders>
            <w:vAlign w:val="center"/>
          </w:tcPr>
          <w:p w:rsidR="00000000" w:rsidRDefault="00000000">
            <w:pPr>
              <w:ind w:right="170"/>
              <w:jc w:val="right"/>
              <w:rPr>
                <w:snapToGrid w:val="0"/>
                <w:sz w:val="18"/>
              </w:rPr>
            </w:pPr>
            <w:r>
              <w:rPr>
                <w:snapToGrid w:val="0"/>
                <w:sz w:val="18"/>
              </w:rPr>
              <w:t>2 326</w:t>
            </w:r>
          </w:p>
        </w:tc>
        <w:tc>
          <w:tcPr>
            <w:tcW w:w="889" w:type="dxa"/>
            <w:tcBorders>
              <w:bottom w:val="nil"/>
            </w:tcBorders>
            <w:vAlign w:val="center"/>
          </w:tcPr>
          <w:p w:rsidR="00000000" w:rsidRDefault="00000000">
            <w:pPr>
              <w:ind w:right="170"/>
              <w:jc w:val="right"/>
              <w:rPr>
                <w:snapToGrid w:val="0"/>
                <w:sz w:val="18"/>
              </w:rPr>
            </w:pPr>
            <w:r>
              <w:rPr>
                <w:snapToGrid w:val="0"/>
                <w:sz w:val="18"/>
              </w:rPr>
              <w:t>293</w:t>
            </w:r>
          </w:p>
        </w:tc>
        <w:tc>
          <w:tcPr>
            <w:tcW w:w="889" w:type="dxa"/>
            <w:tcBorders>
              <w:bottom w:val="nil"/>
            </w:tcBorders>
            <w:vAlign w:val="center"/>
          </w:tcPr>
          <w:p w:rsidR="00000000" w:rsidRDefault="00000000">
            <w:pPr>
              <w:ind w:right="170"/>
              <w:jc w:val="right"/>
              <w:rPr>
                <w:snapToGrid w:val="0"/>
                <w:sz w:val="18"/>
              </w:rPr>
            </w:pPr>
            <w:r>
              <w:rPr>
                <w:snapToGrid w:val="0"/>
                <w:sz w:val="18"/>
              </w:rPr>
              <w:t>282</w:t>
            </w:r>
          </w:p>
        </w:tc>
      </w:tr>
      <w:tr w:rsidR="00000000">
        <w:tblPrEx>
          <w:tblCellMar>
            <w:top w:w="0" w:type="dxa"/>
            <w:bottom w:w="0" w:type="dxa"/>
          </w:tblCellMar>
        </w:tblPrEx>
        <w:trPr>
          <w:trHeight w:val="221"/>
        </w:trPr>
        <w:tc>
          <w:tcPr>
            <w:tcW w:w="1194" w:type="dxa"/>
            <w:tcBorders>
              <w:top w:val="nil"/>
              <w:bottom w:val="single" w:sz="4" w:space="0" w:color="auto"/>
            </w:tcBorders>
            <w:vAlign w:val="center"/>
          </w:tcPr>
          <w:p w:rsidR="00000000" w:rsidRDefault="00000000">
            <w:pPr>
              <w:jc w:val="center"/>
              <w:rPr>
                <w:snapToGrid w:val="0"/>
                <w:sz w:val="18"/>
              </w:rPr>
            </w:pPr>
          </w:p>
        </w:tc>
        <w:tc>
          <w:tcPr>
            <w:tcW w:w="888" w:type="dxa"/>
            <w:tcBorders>
              <w:top w:val="nil"/>
              <w:bottom w:val="single" w:sz="4" w:space="0" w:color="auto"/>
            </w:tcBorders>
            <w:vAlign w:val="center"/>
          </w:tcPr>
          <w:p w:rsidR="00000000" w:rsidRDefault="00000000">
            <w:pPr>
              <w:jc w:val="center"/>
              <w:rPr>
                <w:snapToGrid w:val="0"/>
                <w:sz w:val="18"/>
              </w:rPr>
            </w:pPr>
            <w:r>
              <w:rPr>
                <w:snapToGrid w:val="0"/>
                <w:sz w:val="18"/>
              </w:rPr>
              <w:t>1999</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3 392</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2 906</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479</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7</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2 825</w:t>
            </w:r>
          </w:p>
        </w:tc>
        <w:tc>
          <w:tcPr>
            <w:tcW w:w="888" w:type="dxa"/>
            <w:tcBorders>
              <w:top w:val="nil"/>
              <w:bottom w:val="single" w:sz="4" w:space="0" w:color="auto"/>
            </w:tcBorders>
            <w:vAlign w:val="center"/>
          </w:tcPr>
          <w:p w:rsidR="00000000" w:rsidRDefault="00000000">
            <w:pPr>
              <w:ind w:right="170"/>
              <w:jc w:val="right"/>
              <w:rPr>
                <w:snapToGrid w:val="0"/>
                <w:sz w:val="18"/>
              </w:rPr>
            </w:pPr>
            <w:r>
              <w:rPr>
                <w:snapToGrid w:val="0"/>
                <w:sz w:val="18"/>
              </w:rPr>
              <w:t>2 462</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358</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5</w:t>
            </w:r>
          </w:p>
        </w:tc>
      </w:tr>
      <w:tr w:rsidR="00000000">
        <w:tblPrEx>
          <w:tblCellMar>
            <w:top w:w="0" w:type="dxa"/>
            <w:bottom w:w="0" w:type="dxa"/>
          </w:tblCellMar>
        </w:tblPrEx>
        <w:trPr>
          <w:trHeight w:val="221"/>
        </w:trPr>
        <w:tc>
          <w:tcPr>
            <w:tcW w:w="1194" w:type="dxa"/>
            <w:tcBorders>
              <w:top w:val="single" w:sz="4" w:space="0" w:color="auto"/>
            </w:tcBorders>
            <w:vAlign w:val="center"/>
          </w:tcPr>
          <w:p w:rsidR="00000000" w:rsidRDefault="00000000">
            <w:pPr>
              <w:jc w:val="center"/>
              <w:rPr>
                <w:snapToGrid w:val="0"/>
                <w:sz w:val="18"/>
              </w:rPr>
            </w:pPr>
            <w:r>
              <w:rPr>
                <w:snapToGrid w:val="0"/>
                <w:sz w:val="18"/>
              </w:rPr>
              <w:t>Ages 65</w:t>
            </w:r>
          </w:p>
        </w:tc>
        <w:tc>
          <w:tcPr>
            <w:tcW w:w="888" w:type="dxa"/>
            <w:tcBorders>
              <w:top w:val="single" w:sz="4" w:space="0" w:color="auto"/>
            </w:tcBorders>
            <w:vAlign w:val="center"/>
          </w:tcPr>
          <w:p w:rsidR="00000000" w:rsidRDefault="00000000">
            <w:pPr>
              <w:jc w:val="center"/>
              <w:rPr>
                <w:snapToGrid w:val="0"/>
                <w:sz w:val="18"/>
              </w:rPr>
            </w:pPr>
            <w:r>
              <w:rPr>
                <w:snapToGrid w:val="0"/>
                <w:sz w:val="18"/>
              </w:rPr>
              <w:t>1997</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1 079</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187</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21</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871</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852</w:t>
            </w:r>
          </w:p>
        </w:tc>
        <w:tc>
          <w:tcPr>
            <w:tcW w:w="888" w:type="dxa"/>
            <w:tcBorders>
              <w:top w:val="single" w:sz="4" w:space="0" w:color="auto"/>
            </w:tcBorders>
            <w:vAlign w:val="center"/>
          </w:tcPr>
          <w:p w:rsidR="00000000" w:rsidRDefault="00000000">
            <w:pPr>
              <w:ind w:right="170"/>
              <w:jc w:val="right"/>
              <w:rPr>
                <w:snapToGrid w:val="0"/>
                <w:sz w:val="18"/>
              </w:rPr>
            </w:pPr>
            <w:r>
              <w:rPr>
                <w:snapToGrid w:val="0"/>
                <w:sz w:val="18"/>
              </w:rPr>
              <w:t>155</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13</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684</w:t>
            </w:r>
          </w:p>
        </w:tc>
      </w:tr>
      <w:tr w:rsidR="00000000">
        <w:tblPrEx>
          <w:tblCellMar>
            <w:top w:w="0" w:type="dxa"/>
            <w:bottom w:w="0" w:type="dxa"/>
          </w:tblCellMar>
        </w:tblPrEx>
        <w:trPr>
          <w:trHeight w:val="221"/>
        </w:trPr>
        <w:tc>
          <w:tcPr>
            <w:tcW w:w="1194" w:type="dxa"/>
            <w:tcBorders>
              <w:bottom w:val="nil"/>
            </w:tcBorders>
            <w:vAlign w:val="center"/>
          </w:tcPr>
          <w:p w:rsidR="00000000" w:rsidRDefault="00000000">
            <w:pPr>
              <w:jc w:val="center"/>
              <w:rPr>
                <w:snapToGrid w:val="0"/>
                <w:sz w:val="18"/>
              </w:rPr>
            </w:pPr>
            <w:r>
              <w:rPr>
                <w:snapToGrid w:val="0"/>
                <w:sz w:val="18"/>
              </w:rPr>
              <w:t>to 69</w:t>
            </w:r>
          </w:p>
        </w:tc>
        <w:tc>
          <w:tcPr>
            <w:tcW w:w="888" w:type="dxa"/>
            <w:tcBorders>
              <w:bottom w:val="nil"/>
            </w:tcBorders>
            <w:vAlign w:val="center"/>
          </w:tcPr>
          <w:p w:rsidR="00000000" w:rsidRDefault="00000000">
            <w:pPr>
              <w:jc w:val="center"/>
              <w:rPr>
                <w:snapToGrid w:val="0"/>
                <w:sz w:val="18"/>
              </w:rPr>
            </w:pPr>
            <w:r>
              <w:rPr>
                <w:snapToGrid w:val="0"/>
                <w:sz w:val="18"/>
              </w:rPr>
              <w:t>1998</w:t>
            </w:r>
          </w:p>
        </w:tc>
        <w:tc>
          <w:tcPr>
            <w:tcW w:w="889" w:type="dxa"/>
            <w:tcBorders>
              <w:bottom w:val="nil"/>
            </w:tcBorders>
            <w:vAlign w:val="center"/>
          </w:tcPr>
          <w:p w:rsidR="00000000" w:rsidRDefault="00000000">
            <w:pPr>
              <w:ind w:right="170"/>
              <w:jc w:val="right"/>
              <w:rPr>
                <w:snapToGrid w:val="0"/>
                <w:sz w:val="18"/>
              </w:rPr>
            </w:pPr>
            <w:r>
              <w:rPr>
                <w:snapToGrid w:val="0"/>
                <w:sz w:val="18"/>
              </w:rPr>
              <w:t>943</w:t>
            </w:r>
          </w:p>
        </w:tc>
        <w:tc>
          <w:tcPr>
            <w:tcW w:w="889" w:type="dxa"/>
            <w:tcBorders>
              <w:bottom w:val="nil"/>
            </w:tcBorders>
            <w:vAlign w:val="center"/>
          </w:tcPr>
          <w:p w:rsidR="00000000" w:rsidRDefault="00000000">
            <w:pPr>
              <w:ind w:right="170"/>
              <w:jc w:val="right"/>
              <w:rPr>
                <w:snapToGrid w:val="0"/>
                <w:sz w:val="18"/>
              </w:rPr>
            </w:pPr>
            <w:r>
              <w:rPr>
                <w:snapToGrid w:val="0"/>
                <w:sz w:val="18"/>
              </w:rPr>
              <w:t>738</w:t>
            </w:r>
          </w:p>
        </w:tc>
        <w:tc>
          <w:tcPr>
            <w:tcW w:w="889" w:type="dxa"/>
            <w:tcBorders>
              <w:bottom w:val="nil"/>
            </w:tcBorders>
            <w:vAlign w:val="center"/>
          </w:tcPr>
          <w:p w:rsidR="00000000" w:rsidRDefault="00000000">
            <w:pPr>
              <w:ind w:right="170"/>
              <w:jc w:val="right"/>
              <w:rPr>
                <w:snapToGrid w:val="0"/>
                <w:sz w:val="18"/>
              </w:rPr>
            </w:pPr>
            <w:r>
              <w:rPr>
                <w:snapToGrid w:val="0"/>
                <w:sz w:val="18"/>
              </w:rPr>
              <w:t>96</w:t>
            </w:r>
          </w:p>
        </w:tc>
        <w:tc>
          <w:tcPr>
            <w:tcW w:w="889" w:type="dxa"/>
            <w:tcBorders>
              <w:bottom w:val="nil"/>
            </w:tcBorders>
            <w:vAlign w:val="center"/>
          </w:tcPr>
          <w:p w:rsidR="00000000" w:rsidRDefault="00000000">
            <w:pPr>
              <w:ind w:right="170"/>
              <w:jc w:val="right"/>
              <w:rPr>
                <w:snapToGrid w:val="0"/>
                <w:sz w:val="18"/>
              </w:rPr>
            </w:pPr>
            <w:r>
              <w:rPr>
                <w:snapToGrid w:val="0"/>
                <w:sz w:val="18"/>
              </w:rPr>
              <w:t>109</w:t>
            </w:r>
          </w:p>
        </w:tc>
        <w:tc>
          <w:tcPr>
            <w:tcW w:w="889" w:type="dxa"/>
            <w:tcBorders>
              <w:bottom w:val="nil"/>
            </w:tcBorders>
            <w:vAlign w:val="center"/>
          </w:tcPr>
          <w:p w:rsidR="00000000" w:rsidRDefault="00000000">
            <w:pPr>
              <w:ind w:right="170"/>
              <w:jc w:val="right"/>
              <w:rPr>
                <w:snapToGrid w:val="0"/>
                <w:sz w:val="18"/>
              </w:rPr>
            </w:pPr>
            <w:r>
              <w:rPr>
                <w:snapToGrid w:val="0"/>
                <w:sz w:val="18"/>
              </w:rPr>
              <w:t>784</w:t>
            </w:r>
          </w:p>
        </w:tc>
        <w:tc>
          <w:tcPr>
            <w:tcW w:w="888" w:type="dxa"/>
            <w:tcBorders>
              <w:bottom w:val="nil"/>
            </w:tcBorders>
            <w:vAlign w:val="center"/>
          </w:tcPr>
          <w:p w:rsidR="00000000" w:rsidRDefault="00000000">
            <w:pPr>
              <w:ind w:right="170"/>
              <w:jc w:val="right"/>
              <w:rPr>
                <w:snapToGrid w:val="0"/>
                <w:sz w:val="18"/>
              </w:rPr>
            </w:pPr>
            <w:r>
              <w:rPr>
                <w:snapToGrid w:val="0"/>
                <w:sz w:val="18"/>
              </w:rPr>
              <w:t>631</w:t>
            </w:r>
          </w:p>
        </w:tc>
        <w:tc>
          <w:tcPr>
            <w:tcW w:w="889" w:type="dxa"/>
            <w:tcBorders>
              <w:bottom w:val="nil"/>
            </w:tcBorders>
            <w:vAlign w:val="center"/>
          </w:tcPr>
          <w:p w:rsidR="00000000" w:rsidRDefault="00000000">
            <w:pPr>
              <w:ind w:right="170"/>
              <w:jc w:val="right"/>
              <w:rPr>
                <w:snapToGrid w:val="0"/>
                <w:sz w:val="18"/>
              </w:rPr>
            </w:pPr>
            <w:r>
              <w:rPr>
                <w:snapToGrid w:val="0"/>
                <w:sz w:val="18"/>
              </w:rPr>
              <w:t>60</w:t>
            </w:r>
          </w:p>
        </w:tc>
        <w:tc>
          <w:tcPr>
            <w:tcW w:w="889" w:type="dxa"/>
            <w:tcBorders>
              <w:bottom w:val="nil"/>
            </w:tcBorders>
            <w:vAlign w:val="center"/>
          </w:tcPr>
          <w:p w:rsidR="00000000" w:rsidRDefault="00000000">
            <w:pPr>
              <w:ind w:right="170"/>
              <w:jc w:val="right"/>
              <w:rPr>
                <w:snapToGrid w:val="0"/>
                <w:sz w:val="18"/>
              </w:rPr>
            </w:pPr>
            <w:r>
              <w:rPr>
                <w:snapToGrid w:val="0"/>
                <w:sz w:val="18"/>
              </w:rPr>
              <w:t>93</w:t>
            </w:r>
          </w:p>
        </w:tc>
      </w:tr>
      <w:tr w:rsidR="00000000">
        <w:tblPrEx>
          <w:tblCellMar>
            <w:top w:w="0" w:type="dxa"/>
            <w:bottom w:w="0" w:type="dxa"/>
          </w:tblCellMar>
        </w:tblPrEx>
        <w:trPr>
          <w:trHeight w:val="221"/>
        </w:trPr>
        <w:tc>
          <w:tcPr>
            <w:tcW w:w="1194" w:type="dxa"/>
            <w:tcBorders>
              <w:top w:val="nil"/>
              <w:bottom w:val="single" w:sz="4" w:space="0" w:color="auto"/>
            </w:tcBorders>
            <w:vAlign w:val="center"/>
          </w:tcPr>
          <w:p w:rsidR="00000000" w:rsidRDefault="00000000">
            <w:pPr>
              <w:jc w:val="center"/>
              <w:rPr>
                <w:snapToGrid w:val="0"/>
                <w:sz w:val="18"/>
              </w:rPr>
            </w:pPr>
          </w:p>
        </w:tc>
        <w:tc>
          <w:tcPr>
            <w:tcW w:w="888" w:type="dxa"/>
            <w:tcBorders>
              <w:top w:val="nil"/>
              <w:bottom w:val="single" w:sz="4" w:space="0" w:color="auto"/>
            </w:tcBorders>
            <w:vAlign w:val="center"/>
          </w:tcPr>
          <w:p w:rsidR="00000000" w:rsidRDefault="00000000">
            <w:pPr>
              <w:jc w:val="center"/>
              <w:rPr>
                <w:snapToGrid w:val="0"/>
                <w:sz w:val="18"/>
              </w:rPr>
            </w:pPr>
            <w:r>
              <w:rPr>
                <w:snapToGrid w:val="0"/>
                <w:sz w:val="18"/>
              </w:rPr>
              <w:t>1999</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833</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718</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115</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noBreakHyphen/>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705</w:t>
            </w:r>
          </w:p>
        </w:tc>
        <w:tc>
          <w:tcPr>
            <w:tcW w:w="888" w:type="dxa"/>
            <w:tcBorders>
              <w:top w:val="nil"/>
              <w:bottom w:val="single" w:sz="4" w:space="0" w:color="auto"/>
            </w:tcBorders>
            <w:vAlign w:val="center"/>
          </w:tcPr>
          <w:p w:rsidR="00000000" w:rsidRDefault="00000000">
            <w:pPr>
              <w:ind w:right="170"/>
              <w:jc w:val="right"/>
              <w:rPr>
                <w:snapToGrid w:val="0"/>
                <w:sz w:val="18"/>
              </w:rPr>
            </w:pPr>
            <w:r>
              <w:rPr>
                <w:snapToGrid w:val="0"/>
                <w:sz w:val="18"/>
              </w:rPr>
              <w:t>612</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93</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noBreakHyphen/>
            </w:r>
          </w:p>
        </w:tc>
      </w:tr>
      <w:tr w:rsidR="00000000">
        <w:tblPrEx>
          <w:tblCellMar>
            <w:top w:w="0" w:type="dxa"/>
            <w:bottom w:w="0" w:type="dxa"/>
          </w:tblCellMar>
        </w:tblPrEx>
        <w:trPr>
          <w:trHeight w:val="221"/>
        </w:trPr>
        <w:tc>
          <w:tcPr>
            <w:tcW w:w="1194" w:type="dxa"/>
            <w:tcBorders>
              <w:top w:val="single" w:sz="4" w:space="0" w:color="auto"/>
            </w:tcBorders>
            <w:vAlign w:val="center"/>
          </w:tcPr>
          <w:p w:rsidR="00000000" w:rsidRDefault="00000000">
            <w:pPr>
              <w:jc w:val="center"/>
              <w:rPr>
                <w:snapToGrid w:val="0"/>
                <w:sz w:val="18"/>
              </w:rPr>
            </w:pPr>
            <w:r>
              <w:rPr>
                <w:snapToGrid w:val="0"/>
                <w:sz w:val="18"/>
              </w:rPr>
              <w:t>70 years</w:t>
            </w:r>
          </w:p>
        </w:tc>
        <w:tc>
          <w:tcPr>
            <w:tcW w:w="888" w:type="dxa"/>
            <w:tcBorders>
              <w:top w:val="single" w:sz="4" w:space="0" w:color="auto"/>
            </w:tcBorders>
            <w:vAlign w:val="center"/>
          </w:tcPr>
          <w:p w:rsidR="00000000" w:rsidRDefault="00000000">
            <w:pPr>
              <w:jc w:val="center"/>
              <w:rPr>
                <w:snapToGrid w:val="0"/>
                <w:sz w:val="18"/>
              </w:rPr>
            </w:pPr>
            <w:r>
              <w:rPr>
                <w:snapToGrid w:val="0"/>
                <w:sz w:val="18"/>
              </w:rPr>
              <w:t>1997</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346</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29</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4</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313</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277</w:t>
            </w:r>
          </w:p>
        </w:tc>
        <w:tc>
          <w:tcPr>
            <w:tcW w:w="888" w:type="dxa"/>
            <w:tcBorders>
              <w:top w:val="single" w:sz="4" w:space="0" w:color="auto"/>
            </w:tcBorders>
            <w:vAlign w:val="center"/>
          </w:tcPr>
          <w:p w:rsidR="00000000" w:rsidRDefault="00000000">
            <w:pPr>
              <w:ind w:right="170"/>
              <w:jc w:val="right"/>
              <w:rPr>
                <w:snapToGrid w:val="0"/>
                <w:sz w:val="18"/>
              </w:rPr>
            </w:pPr>
            <w:r>
              <w:rPr>
                <w:snapToGrid w:val="0"/>
                <w:sz w:val="18"/>
              </w:rPr>
              <w:t>25</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1</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251</w:t>
            </w:r>
          </w:p>
        </w:tc>
      </w:tr>
      <w:tr w:rsidR="00000000">
        <w:tblPrEx>
          <w:tblCellMar>
            <w:top w:w="0" w:type="dxa"/>
            <w:bottom w:w="0" w:type="dxa"/>
          </w:tblCellMar>
        </w:tblPrEx>
        <w:trPr>
          <w:trHeight w:val="221"/>
        </w:trPr>
        <w:tc>
          <w:tcPr>
            <w:tcW w:w="1194" w:type="dxa"/>
            <w:tcBorders>
              <w:bottom w:val="nil"/>
            </w:tcBorders>
            <w:vAlign w:val="center"/>
          </w:tcPr>
          <w:p w:rsidR="00000000" w:rsidRDefault="00000000">
            <w:pPr>
              <w:jc w:val="center"/>
              <w:rPr>
                <w:snapToGrid w:val="0"/>
                <w:sz w:val="18"/>
              </w:rPr>
            </w:pPr>
            <w:r>
              <w:rPr>
                <w:snapToGrid w:val="0"/>
                <w:sz w:val="18"/>
              </w:rPr>
              <w:t>of age</w:t>
            </w:r>
          </w:p>
        </w:tc>
        <w:tc>
          <w:tcPr>
            <w:tcW w:w="888" w:type="dxa"/>
            <w:tcBorders>
              <w:bottom w:val="nil"/>
            </w:tcBorders>
            <w:vAlign w:val="center"/>
          </w:tcPr>
          <w:p w:rsidR="00000000" w:rsidRDefault="00000000">
            <w:pPr>
              <w:jc w:val="center"/>
              <w:rPr>
                <w:snapToGrid w:val="0"/>
                <w:sz w:val="18"/>
              </w:rPr>
            </w:pPr>
            <w:r>
              <w:rPr>
                <w:snapToGrid w:val="0"/>
                <w:sz w:val="18"/>
              </w:rPr>
              <w:t>1998</w:t>
            </w:r>
          </w:p>
        </w:tc>
        <w:tc>
          <w:tcPr>
            <w:tcW w:w="889" w:type="dxa"/>
            <w:tcBorders>
              <w:bottom w:val="nil"/>
            </w:tcBorders>
            <w:vAlign w:val="center"/>
          </w:tcPr>
          <w:p w:rsidR="00000000" w:rsidRDefault="00000000">
            <w:pPr>
              <w:ind w:right="170"/>
              <w:jc w:val="right"/>
              <w:rPr>
                <w:snapToGrid w:val="0"/>
                <w:sz w:val="18"/>
              </w:rPr>
            </w:pPr>
            <w:r>
              <w:rPr>
                <w:snapToGrid w:val="0"/>
                <w:sz w:val="18"/>
              </w:rPr>
              <w:t>310</w:t>
            </w:r>
          </w:p>
        </w:tc>
        <w:tc>
          <w:tcPr>
            <w:tcW w:w="889" w:type="dxa"/>
            <w:tcBorders>
              <w:bottom w:val="nil"/>
            </w:tcBorders>
            <w:vAlign w:val="center"/>
          </w:tcPr>
          <w:p w:rsidR="00000000" w:rsidRDefault="00000000">
            <w:pPr>
              <w:ind w:right="170"/>
              <w:jc w:val="right"/>
              <w:rPr>
                <w:snapToGrid w:val="0"/>
                <w:sz w:val="18"/>
              </w:rPr>
            </w:pPr>
            <w:r>
              <w:rPr>
                <w:snapToGrid w:val="0"/>
                <w:sz w:val="18"/>
              </w:rPr>
              <w:t>224</w:t>
            </w:r>
          </w:p>
        </w:tc>
        <w:tc>
          <w:tcPr>
            <w:tcW w:w="889" w:type="dxa"/>
            <w:tcBorders>
              <w:bottom w:val="nil"/>
            </w:tcBorders>
            <w:vAlign w:val="center"/>
          </w:tcPr>
          <w:p w:rsidR="00000000" w:rsidRDefault="00000000">
            <w:pPr>
              <w:ind w:right="170"/>
              <w:jc w:val="right"/>
              <w:rPr>
                <w:snapToGrid w:val="0"/>
                <w:sz w:val="18"/>
              </w:rPr>
            </w:pPr>
            <w:r>
              <w:rPr>
                <w:snapToGrid w:val="0"/>
                <w:sz w:val="18"/>
              </w:rPr>
              <w:t>32</w:t>
            </w:r>
          </w:p>
        </w:tc>
        <w:tc>
          <w:tcPr>
            <w:tcW w:w="889" w:type="dxa"/>
            <w:tcBorders>
              <w:bottom w:val="nil"/>
            </w:tcBorders>
            <w:vAlign w:val="center"/>
          </w:tcPr>
          <w:p w:rsidR="00000000" w:rsidRDefault="00000000">
            <w:pPr>
              <w:ind w:right="170"/>
              <w:jc w:val="right"/>
              <w:rPr>
                <w:snapToGrid w:val="0"/>
                <w:sz w:val="18"/>
              </w:rPr>
            </w:pPr>
            <w:r>
              <w:rPr>
                <w:snapToGrid w:val="0"/>
                <w:sz w:val="18"/>
              </w:rPr>
              <w:t>54</w:t>
            </w:r>
          </w:p>
        </w:tc>
        <w:tc>
          <w:tcPr>
            <w:tcW w:w="889" w:type="dxa"/>
            <w:tcBorders>
              <w:bottom w:val="nil"/>
            </w:tcBorders>
            <w:vAlign w:val="center"/>
          </w:tcPr>
          <w:p w:rsidR="00000000" w:rsidRDefault="00000000">
            <w:pPr>
              <w:ind w:right="170"/>
              <w:jc w:val="right"/>
              <w:rPr>
                <w:snapToGrid w:val="0"/>
                <w:sz w:val="18"/>
              </w:rPr>
            </w:pPr>
            <w:r>
              <w:rPr>
                <w:snapToGrid w:val="0"/>
                <w:sz w:val="18"/>
              </w:rPr>
              <w:t>272</w:t>
            </w:r>
          </w:p>
        </w:tc>
        <w:tc>
          <w:tcPr>
            <w:tcW w:w="888" w:type="dxa"/>
            <w:tcBorders>
              <w:bottom w:val="nil"/>
            </w:tcBorders>
            <w:vAlign w:val="center"/>
          </w:tcPr>
          <w:p w:rsidR="00000000" w:rsidRDefault="00000000">
            <w:pPr>
              <w:ind w:right="170"/>
              <w:jc w:val="right"/>
              <w:rPr>
                <w:snapToGrid w:val="0"/>
                <w:sz w:val="18"/>
              </w:rPr>
            </w:pPr>
            <w:r>
              <w:rPr>
                <w:snapToGrid w:val="0"/>
                <w:sz w:val="18"/>
              </w:rPr>
              <w:t>203</w:t>
            </w:r>
          </w:p>
        </w:tc>
        <w:tc>
          <w:tcPr>
            <w:tcW w:w="889" w:type="dxa"/>
            <w:tcBorders>
              <w:bottom w:val="nil"/>
            </w:tcBorders>
            <w:vAlign w:val="center"/>
          </w:tcPr>
          <w:p w:rsidR="00000000" w:rsidRDefault="00000000">
            <w:pPr>
              <w:ind w:right="170"/>
              <w:jc w:val="right"/>
              <w:rPr>
                <w:snapToGrid w:val="0"/>
                <w:sz w:val="18"/>
              </w:rPr>
            </w:pPr>
            <w:r>
              <w:rPr>
                <w:snapToGrid w:val="0"/>
                <w:sz w:val="18"/>
              </w:rPr>
              <w:t>23</w:t>
            </w:r>
          </w:p>
        </w:tc>
        <w:tc>
          <w:tcPr>
            <w:tcW w:w="889" w:type="dxa"/>
            <w:tcBorders>
              <w:bottom w:val="nil"/>
            </w:tcBorders>
            <w:vAlign w:val="center"/>
          </w:tcPr>
          <w:p w:rsidR="00000000" w:rsidRDefault="00000000">
            <w:pPr>
              <w:ind w:right="170"/>
              <w:jc w:val="right"/>
              <w:rPr>
                <w:snapToGrid w:val="0"/>
                <w:sz w:val="18"/>
              </w:rPr>
            </w:pPr>
            <w:r>
              <w:rPr>
                <w:snapToGrid w:val="0"/>
                <w:sz w:val="18"/>
              </w:rPr>
              <w:t>46</w:t>
            </w:r>
          </w:p>
        </w:tc>
      </w:tr>
      <w:tr w:rsidR="00000000">
        <w:tblPrEx>
          <w:tblCellMar>
            <w:top w:w="0" w:type="dxa"/>
            <w:bottom w:w="0" w:type="dxa"/>
          </w:tblCellMar>
        </w:tblPrEx>
        <w:trPr>
          <w:trHeight w:val="221"/>
        </w:trPr>
        <w:tc>
          <w:tcPr>
            <w:tcW w:w="1194" w:type="dxa"/>
            <w:tcBorders>
              <w:top w:val="nil"/>
              <w:bottom w:val="single" w:sz="4" w:space="0" w:color="auto"/>
            </w:tcBorders>
            <w:vAlign w:val="center"/>
          </w:tcPr>
          <w:p w:rsidR="00000000" w:rsidRDefault="00000000">
            <w:pPr>
              <w:jc w:val="center"/>
              <w:rPr>
                <w:snapToGrid w:val="0"/>
                <w:sz w:val="18"/>
              </w:rPr>
            </w:pPr>
            <w:r>
              <w:rPr>
                <w:snapToGrid w:val="0"/>
                <w:sz w:val="18"/>
              </w:rPr>
              <w:t>and older</w:t>
            </w:r>
          </w:p>
        </w:tc>
        <w:tc>
          <w:tcPr>
            <w:tcW w:w="888" w:type="dxa"/>
            <w:tcBorders>
              <w:top w:val="nil"/>
              <w:bottom w:val="single" w:sz="4" w:space="0" w:color="auto"/>
            </w:tcBorders>
            <w:vAlign w:val="center"/>
          </w:tcPr>
          <w:p w:rsidR="00000000" w:rsidRDefault="00000000">
            <w:pPr>
              <w:jc w:val="center"/>
              <w:rPr>
                <w:snapToGrid w:val="0"/>
                <w:sz w:val="18"/>
              </w:rPr>
            </w:pPr>
            <w:r>
              <w:rPr>
                <w:snapToGrid w:val="0"/>
                <w:sz w:val="18"/>
              </w:rPr>
              <w:t>1999</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289</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243</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45</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1</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238</w:t>
            </w:r>
          </w:p>
        </w:tc>
        <w:tc>
          <w:tcPr>
            <w:tcW w:w="888" w:type="dxa"/>
            <w:tcBorders>
              <w:top w:val="nil"/>
              <w:bottom w:val="single" w:sz="4" w:space="0" w:color="auto"/>
            </w:tcBorders>
            <w:vAlign w:val="center"/>
          </w:tcPr>
          <w:p w:rsidR="00000000" w:rsidRDefault="00000000">
            <w:pPr>
              <w:ind w:right="170"/>
              <w:jc w:val="right"/>
              <w:rPr>
                <w:snapToGrid w:val="0"/>
                <w:sz w:val="18"/>
              </w:rPr>
            </w:pPr>
            <w:r>
              <w:rPr>
                <w:snapToGrid w:val="0"/>
                <w:sz w:val="18"/>
              </w:rPr>
              <w:t>205</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32</w:t>
            </w:r>
          </w:p>
        </w:tc>
        <w:tc>
          <w:tcPr>
            <w:tcW w:w="889" w:type="dxa"/>
            <w:tcBorders>
              <w:top w:val="nil"/>
              <w:bottom w:val="single" w:sz="4" w:space="0" w:color="auto"/>
            </w:tcBorders>
            <w:vAlign w:val="center"/>
          </w:tcPr>
          <w:p w:rsidR="00000000" w:rsidRDefault="00000000">
            <w:pPr>
              <w:ind w:right="170"/>
              <w:jc w:val="right"/>
              <w:rPr>
                <w:snapToGrid w:val="0"/>
                <w:sz w:val="18"/>
              </w:rPr>
            </w:pPr>
            <w:r>
              <w:rPr>
                <w:snapToGrid w:val="0"/>
                <w:sz w:val="18"/>
              </w:rPr>
              <w:t>1</w:t>
            </w:r>
          </w:p>
        </w:tc>
      </w:tr>
      <w:tr w:rsidR="00000000">
        <w:tblPrEx>
          <w:tblCellMar>
            <w:top w:w="0" w:type="dxa"/>
            <w:bottom w:w="0" w:type="dxa"/>
          </w:tblCellMar>
        </w:tblPrEx>
        <w:trPr>
          <w:trHeight w:val="221"/>
        </w:trPr>
        <w:tc>
          <w:tcPr>
            <w:tcW w:w="1194" w:type="dxa"/>
            <w:tcBorders>
              <w:top w:val="single" w:sz="4" w:space="0" w:color="auto"/>
            </w:tcBorders>
            <w:vAlign w:val="center"/>
          </w:tcPr>
          <w:p w:rsidR="00000000" w:rsidRDefault="00000000">
            <w:pPr>
              <w:jc w:val="center"/>
              <w:rPr>
                <w:snapToGrid w:val="0"/>
                <w:sz w:val="18"/>
              </w:rPr>
            </w:pPr>
          </w:p>
        </w:tc>
        <w:tc>
          <w:tcPr>
            <w:tcW w:w="888" w:type="dxa"/>
            <w:tcBorders>
              <w:top w:val="single" w:sz="4" w:space="0" w:color="auto"/>
            </w:tcBorders>
            <w:vAlign w:val="center"/>
          </w:tcPr>
          <w:p w:rsidR="00000000" w:rsidRDefault="00000000">
            <w:pPr>
              <w:jc w:val="center"/>
              <w:rPr>
                <w:snapToGrid w:val="0"/>
                <w:sz w:val="18"/>
              </w:rPr>
            </w:pPr>
            <w:r>
              <w:rPr>
                <w:snapToGrid w:val="0"/>
                <w:sz w:val="18"/>
              </w:rPr>
              <w:t>1997</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20 879</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5 230</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1 788</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13 861</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16 774</w:t>
            </w:r>
          </w:p>
        </w:tc>
        <w:tc>
          <w:tcPr>
            <w:tcW w:w="888" w:type="dxa"/>
            <w:tcBorders>
              <w:top w:val="single" w:sz="4" w:space="0" w:color="auto"/>
            </w:tcBorders>
            <w:vAlign w:val="center"/>
          </w:tcPr>
          <w:p w:rsidR="00000000" w:rsidRDefault="00000000">
            <w:pPr>
              <w:ind w:right="170"/>
              <w:jc w:val="right"/>
              <w:rPr>
                <w:snapToGrid w:val="0"/>
                <w:sz w:val="18"/>
              </w:rPr>
            </w:pPr>
            <w:r>
              <w:rPr>
                <w:snapToGrid w:val="0"/>
                <w:sz w:val="18"/>
              </w:rPr>
              <w:t>4 252</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761</w:t>
            </w:r>
          </w:p>
        </w:tc>
        <w:tc>
          <w:tcPr>
            <w:tcW w:w="889" w:type="dxa"/>
            <w:tcBorders>
              <w:top w:val="single" w:sz="4" w:space="0" w:color="auto"/>
            </w:tcBorders>
            <w:vAlign w:val="center"/>
          </w:tcPr>
          <w:p w:rsidR="00000000" w:rsidRDefault="00000000">
            <w:pPr>
              <w:ind w:right="170"/>
              <w:jc w:val="right"/>
              <w:rPr>
                <w:snapToGrid w:val="0"/>
                <w:sz w:val="18"/>
              </w:rPr>
            </w:pPr>
            <w:r>
              <w:rPr>
                <w:snapToGrid w:val="0"/>
                <w:sz w:val="18"/>
              </w:rPr>
              <w:t>11 761</w:t>
            </w:r>
          </w:p>
        </w:tc>
      </w:tr>
      <w:tr w:rsidR="00000000">
        <w:tblPrEx>
          <w:tblCellMar>
            <w:top w:w="0" w:type="dxa"/>
            <w:bottom w:w="0" w:type="dxa"/>
          </w:tblCellMar>
        </w:tblPrEx>
        <w:trPr>
          <w:trHeight w:val="221"/>
        </w:trPr>
        <w:tc>
          <w:tcPr>
            <w:tcW w:w="1194" w:type="dxa"/>
            <w:vAlign w:val="center"/>
          </w:tcPr>
          <w:p w:rsidR="00000000" w:rsidRDefault="00000000">
            <w:pPr>
              <w:jc w:val="center"/>
              <w:rPr>
                <w:snapToGrid w:val="0"/>
                <w:sz w:val="18"/>
              </w:rPr>
            </w:pPr>
            <w:r>
              <w:rPr>
                <w:snapToGrid w:val="0"/>
                <w:sz w:val="18"/>
              </w:rPr>
              <w:t>Unknown</w:t>
            </w:r>
          </w:p>
        </w:tc>
        <w:tc>
          <w:tcPr>
            <w:tcW w:w="888" w:type="dxa"/>
            <w:vAlign w:val="center"/>
          </w:tcPr>
          <w:p w:rsidR="00000000" w:rsidRDefault="00000000">
            <w:pPr>
              <w:jc w:val="center"/>
              <w:rPr>
                <w:snapToGrid w:val="0"/>
                <w:sz w:val="18"/>
              </w:rPr>
            </w:pPr>
            <w:r>
              <w:rPr>
                <w:snapToGrid w:val="0"/>
                <w:sz w:val="18"/>
              </w:rPr>
              <w:t>1998</w:t>
            </w:r>
          </w:p>
        </w:tc>
        <w:tc>
          <w:tcPr>
            <w:tcW w:w="889" w:type="dxa"/>
            <w:vAlign w:val="center"/>
          </w:tcPr>
          <w:p w:rsidR="00000000" w:rsidRDefault="00000000">
            <w:pPr>
              <w:ind w:right="170"/>
              <w:jc w:val="right"/>
              <w:rPr>
                <w:snapToGrid w:val="0"/>
                <w:sz w:val="18"/>
              </w:rPr>
            </w:pPr>
            <w:r>
              <w:rPr>
                <w:snapToGrid w:val="0"/>
                <w:sz w:val="18"/>
              </w:rPr>
              <w:t>14 594</w:t>
            </w:r>
          </w:p>
        </w:tc>
        <w:tc>
          <w:tcPr>
            <w:tcW w:w="889" w:type="dxa"/>
            <w:vAlign w:val="center"/>
          </w:tcPr>
          <w:p w:rsidR="00000000" w:rsidRDefault="00000000">
            <w:pPr>
              <w:ind w:right="170"/>
              <w:jc w:val="right"/>
              <w:rPr>
                <w:snapToGrid w:val="0"/>
                <w:sz w:val="18"/>
              </w:rPr>
            </w:pPr>
            <w:r>
              <w:rPr>
                <w:snapToGrid w:val="0"/>
                <w:sz w:val="18"/>
              </w:rPr>
              <w:t>9 497</w:t>
            </w:r>
          </w:p>
        </w:tc>
        <w:tc>
          <w:tcPr>
            <w:tcW w:w="889" w:type="dxa"/>
            <w:vAlign w:val="center"/>
          </w:tcPr>
          <w:p w:rsidR="00000000" w:rsidRDefault="00000000">
            <w:pPr>
              <w:ind w:right="170"/>
              <w:jc w:val="right"/>
              <w:rPr>
                <w:snapToGrid w:val="0"/>
                <w:sz w:val="18"/>
              </w:rPr>
            </w:pPr>
            <w:r>
              <w:rPr>
                <w:snapToGrid w:val="0"/>
                <w:sz w:val="18"/>
              </w:rPr>
              <w:t>2 236</w:t>
            </w:r>
          </w:p>
        </w:tc>
        <w:tc>
          <w:tcPr>
            <w:tcW w:w="889" w:type="dxa"/>
            <w:vAlign w:val="center"/>
          </w:tcPr>
          <w:p w:rsidR="00000000" w:rsidRDefault="00000000">
            <w:pPr>
              <w:ind w:right="170"/>
              <w:jc w:val="right"/>
              <w:rPr>
                <w:snapToGrid w:val="0"/>
                <w:sz w:val="18"/>
              </w:rPr>
            </w:pPr>
            <w:r>
              <w:rPr>
                <w:snapToGrid w:val="0"/>
                <w:sz w:val="18"/>
              </w:rPr>
              <w:t>2 861</w:t>
            </w:r>
          </w:p>
        </w:tc>
        <w:tc>
          <w:tcPr>
            <w:tcW w:w="889" w:type="dxa"/>
            <w:vAlign w:val="center"/>
          </w:tcPr>
          <w:p w:rsidR="00000000" w:rsidRDefault="00000000">
            <w:pPr>
              <w:ind w:right="170"/>
              <w:jc w:val="right"/>
              <w:rPr>
                <w:snapToGrid w:val="0"/>
                <w:sz w:val="18"/>
              </w:rPr>
            </w:pPr>
            <w:r>
              <w:rPr>
                <w:snapToGrid w:val="0"/>
                <w:sz w:val="18"/>
              </w:rPr>
              <w:t>12 387</w:t>
            </w:r>
          </w:p>
        </w:tc>
        <w:tc>
          <w:tcPr>
            <w:tcW w:w="888" w:type="dxa"/>
            <w:vAlign w:val="center"/>
          </w:tcPr>
          <w:p w:rsidR="00000000" w:rsidRDefault="00000000">
            <w:pPr>
              <w:ind w:right="170"/>
              <w:jc w:val="right"/>
              <w:rPr>
                <w:snapToGrid w:val="0"/>
                <w:sz w:val="18"/>
              </w:rPr>
            </w:pPr>
            <w:r>
              <w:rPr>
                <w:snapToGrid w:val="0"/>
                <w:sz w:val="18"/>
              </w:rPr>
              <w:t>8 386</w:t>
            </w:r>
          </w:p>
        </w:tc>
        <w:tc>
          <w:tcPr>
            <w:tcW w:w="889" w:type="dxa"/>
            <w:vAlign w:val="center"/>
          </w:tcPr>
          <w:p w:rsidR="00000000" w:rsidRDefault="00000000">
            <w:pPr>
              <w:ind w:right="170"/>
              <w:jc w:val="right"/>
              <w:rPr>
                <w:snapToGrid w:val="0"/>
                <w:sz w:val="18"/>
              </w:rPr>
            </w:pPr>
            <w:r>
              <w:rPr>
                <w:snapToGrid w:val="0"/>
                <w:sz w:val="18"/>
              </w:rPr>
              <w:t>1 488</w:t>
            </w:r>
          </w:p>
        </w:tc>
        <w:tc>
          <w:tcPr>
            <w:tcW w:w="889" w:type="dxa"/>
            <w:vAlign w:val="center"/>
          </w:tcPr>
          <w:p w:rsidR="00000000" w:rsidRDefault="00000000">
            <w:pPr>
              <w:ind w:right="170"/>
              <w:jc w:val="right"/>
              <w:rPr>
                <w:snapToGrid w:val="0"/>
                <w:sz w:val="18"/>
              </w:rPr>
            </w:pPr>
            <w:r>
              <w:rPr>
                <w:snapToGrid w:val="0"/>
                <w:sz w:val="18"/>
              </w:rPr>
              <w:t>2 513</w:t>
            </w:r>
          </w:p>
        </w:tc>
      </w:tr>
      <w:tr w:rsidR="00000000">
        <w:tblPrEx>
          <w:tblCellMar>
            <w:top w:w="0" w:type="dxa"/>
            <w:bottom w:w="0" w:type="dxa"/>
          </w:tblCellMar>
        </w:tblPrEx>
        <w:trPr>
          <w:trHeight w:val="221"/>
        </w:trPr>
        <w:tc>
          <w:tcPr>
            <w:tcW w:w="1194" w:type="dxa"/>
            <w:vAlign w:val="center"/>
          </w:tcPr>
          <w:p w:rsidR="00000000" w:rsidRDefault="00000000">
            <w:pPr>
              <w:jc w:val="center"/>
              <w:rPr>
                <w:snapToGrid w:val="0"/>
                <w:sz w:val="18"/>
              </w:rPr>
            </w:pPr>
          </w:p>
        </w:tc>
        <w:tc>
          <w:tcPr>
            <w:tcW w:w="888" w:type="dxa"/>
            <w:vAlign w:val="center"/>
          </w:tcPr>
          <w:p w:rsidR="00000000" w:rsidRDefault="00000000">
            <w:pPr>
              <w:jc w:val="center"/>
              <w:rPr>
                <w:snapToGrid w:val="0"/>
                <w:sz w:val="18"/>
              </w:rPr>
            </w:pPr>
            <w:r>
              <w:rPr>
                <w:snapToGrid w:val="0"/>
                <w:sz w:val="18"/>
              </w:rPr>
              <w:t>1999</w:t>
            </w:r>
          </w:p>
        </w:tc>
        <w:tc>
          <w:tcPr>
            <w:tcW w:w="889" w:type="dxa"/>
            <w:vAlign w:val="center"/>
          </w:tcPr>
          <w:p w:rsidR="00000000" w:rsidRDefault="00000000">
            <w:pPr>
              <w:ind w:right="170"/>
              <w:jc w:val="right"/>
              <w:rPr>
                <w:snapToGrid w:val="0"/>
                <w:sz w:val="18"/>
              </w:rPr>
            </w:pPr>
            <w:r>
              <w:rPr>
                <w:snapToGrid w:val="0"/>
                <w:sz w:val="18"/>
              </w:rPr>
              <w:t>6 894</w:t>
            </w:r>
          </w:p>
        </w:tc>
        <w:tc>
          <w:tcPr>
            <w:tcW w:w="889" w:type="dxa"/>
            <w:vAlign w:val="center"/>
          </w:tcPr>
          <w:p w:rsidR="00000000" w:rsidRDefault="00000000">
            <w:pPr>
              <w:ind w:right="170"/>
              <w:jc w:val="right"/>
              <w:rPr>
                <w:snapToGrid w:val="0"/>
                <w:sz w:val="18"/>
              </w:rPr>
            </w:pPr>
            <w:r>
              <w:rPr>
                <w:snapToGrid w:val="0"/>
                <w:sz w:val="18"/>
              </w:rPr>
              <w:t>5 600</w:t>
            </w:r>
          </w:p>
        </w:tc>
        <w:tc>
          <w:tcPr>
            <w:tcW w:w="889" w:type="dxa"/>
            <w:vAlign w:val="center"/>
          </w:tcPr>
          <w:p w:rsidR="00000000" w:rsidRDefault="00000000">
            <w:pPr>
              <w:ind w:right="170"/>
              <w:jc w:val="right"/>
              <w:rPr>
                <w:snapToGrid w:val="0"/>
                <w:sz w:val="18"/>
              </w:rPr>
            </w:pPr>
            <w:r>
              <w:rPr>
                <w:snapToGrid w:val="0"/>
                <w:sz w:val="18"/>
              </w:rPr>
              <w:t>1 287</w:t>
            </w:r>
          </w:p>
        </w:tc>
        <w:tc>
          <w:tcPr>
            <w:tcW w:w="889" w:type="dxa"/>
            <w:vAlign w:val="center"/>
          </w:tcPr>
          <w:p w:rsidR="00000000" w:rsidRDefault="00000000">
            <w:pPr>
              <w:ind w:right="170"/>
              <w:jc w:val="right"/>
              <w:rPr>
                <w:snapToGrid w:val="0"/>
                <w:sz w:val="18"/>
              </w:rPr>
            </w:pPr>
            <w:r>
              <w:rPr>
                <w:snapToGrid w:val="0"/>
                <w:sz w:val="18"/>
              </w:rPr>
              <w:t>7</w:t>
            </w:r>
          </w:p>
        </w:tc>
        <w:tc>
          <w:tcPr>
            <w:tcW w:w="889" w:type="dxa"/>
            <w:vAlign w:val="center"/>
          </w:tcPr>
          <w:p w:rsidR="00000000" w:rsidRDefault="00000000">
            <w:pPr>
              <w:ind w:right="170"/>
              <w:jc w:val="right"/>
              <w:rPr>
                <w:snapToGrid w:val="0"/>
                <w:sz w:val="18"/>
              </w:rPr>
            </w:pPr>
            <w:r>
              <w:rPr>
                <w:snapToGrid w:val="0"/>
                <w:sz w:val="18"/>
              </w:rPr>
              <w:t>5 697</w:t>
            </w:r>
          </w:p>
        </w:tc>
        <w:tc>
          <w:tcPr>
            <w:tcW w:w="888" w:type="dxa"/>
            <w:vAlign w:val="center"/>
          </w:tcPr>
          <w:p w:rsidR="00000000" w:rsidRDefault="00000000">
            <w:pPr>
              <w:ind w:right="170"/>
              <w:jc w:val="right"/>
              <w:rPr>
                <w:snapToGrid w:val="0"/>
                <w:sz w:val="18"/>
              </w:rPr>
            </w:pPr>
            <w:r>
              <w:rPr>
                <w:snapToGrid w:val="0"/>
                <w:sz w:val="18"/>
              </w:rPr>
              <w:t>4 873</w:t>
            </w:r>
          </w:p>
        </w:tc>
        <w:tc>
          <w:tcPr>
            <w:tcW w:w="889" w:type="dxa"/>
            <w:vAlign w:val="center"/>
          </w:tcPr>
          <w:p w:rsidR="00000000" w:rsidRDefault="00000000">
            <w:pPr>
              <w:ind w:right="170"/>
              <w:jc w:val="right"/>
              <w:rPr>
                <w:snapToGrid w:val="0"/>
                <w:sz w:val="18"/>
              </w:rPr>
            </w:pPr>
            <w:r>
              <w:rPr>
                <w:snapToGrid w:val="0"/>
                <w:sz w:val="18"/>
              </w:rPr>
              <w:t>817</w:t>
            </w:r>
          </w:p>
        </w:tc>
        <w:tc>
          <w:tcPr>
            <w:tcW w:w="889" w:type="dxa"/>
            <w:vAlign w:val="center"/>
          </w:tcPr>
          <w:p w:rsidR="00000000" w:rsidRDefault="00000000">
            <w:pPr>
              <w:ind w:right="170"/>
              <w:jc w:val="right"/>
              <w:rPr>
                <w:snapToGrid w:val="0"/>
                <w:sz w:val="18"/>
              </w:rPr>
            </w:pPr>
            <w:r>
              <w:rPr>
                <w:snapToGrid w:val="0"/>
                <w:sz w:val="18"/>
              </w:rPr>
              <w:t>7</w:t>
            </w:r>
          </w:p>
        </w:tc>
      </w:tr>
    </w:tbl>
    <w:p w:rsidR="00000000" w:rsidRDefault="00000000">
      <w:pPr>
        <w:rPr>
          <w:snapToGrid w:val="0"/>
          <w:kern w:val="2"/>
          <w:sz w:val="18"/>
        </w:rPr>
      </w:pPr>
    </w:p>
    <w:p w:rsidR="00000000" w:rsidRDefault="00000000">
      <w:pPr>
        <w:rPr>
          <w:snapToGrid w:val="0"/>
          <w:kern w:val="2"/>
          <w:sz w:val="18"/>
        </w:rPr>
      </w:pPr>
      <w:r>
        <w:rPr>
          <w:snapToGrid w:val="0"/>
          <w:kern w:val="2"/>
          <w:sz w:val="18"/>
        </w:rPr>
        <w:tab/>
      </w:r>
      <w:r>
        <w:rPr>
          <w:snapToGrid w:val="0"/>
          <w:kern w:val="2"/>
          <w:sz w:val="18"/>
          <w:u w:val="single"/>
        </w:rPr>
        <w:t>Source</w:t>
      </w:r>
      <w:r>
        <w:rPr>
          <w:snapToGrid w:val="0"/>
          <w:kern w:val="2"/>
          <w:sz w:val="18"/>
        </w:rPr>
        <w:t>:  DATAPREV, CAT.</w:t>
      </w:r>
    </w:p>
    <w:p w:rsidR="00000000" w:rsidRDefault="00000000">
      <w:pPr>
        <w:rPr>
          <w:kern w:val="2"/>
          <w:sz w:val="18"/>
        </w:rPr>
      </w:pPr>
    </w:p>
    <w:p w:rsidR="00000000" w:rsidRDefault="00000000">
      <w:pPr>
        <w:rPr>
          <w:snapToGrid w:val="0"/>
          <w:kern w:val="2"/>
          <w:sz w:val="18"/>
        </w:rPr>
      </w:pPr>
      <w:r>
        <w:rPr>
          <w:snapToGrid w:val="0"/>
          <w:kern w:val="2"/>
          <w:sz w:val="18"/>
        </w:rPr>
        <w:tab/>
        <w:t>Please note:  The data are incomplete and are subject to corrections.</w:t>
      </w:r>
    </w:p>
    <w:p w:rsidR="00000000" w:rsidRDefault="00000000">
      <w:pPr>
        <w:rPr>
          <w:kern w:val="2"/>
          <w:sz w:val="18"/>
        </w:rPr>
      </w:pPr>
    </w:p>
    <w:p w:rsidR="00000000" w:rsidRDefault="00000000">
      <w:pPr>
        <w:rPr>
          <w:kern w:val="2"/>
          <w:sz w:val="18"/>
        </w:rPr>
      </w:pPr>
      <w:r>
        <w:rPr>
          <w:snapToGrid w:val="0"/>
          <w:kern w:val="2"/>
          <w:sz w:val="18"/>
        </w:rPr>
        <w:tab/>
        <w:t>*  In 1997 gender variables began to be included in the data transmitted by the various units to the central database under the CAT system.  As additional units adopt these procedures there will be a constant and gradual decrease in the number of gender cases that are considered to be unknown.</w:t>
      </w:r>
    </w:p>
    <w:p w:rsidR="00000000" w:rsidRDefault="00000000">
      <w:pPr>
        <w:pStyle w:val="BodyText3"/>
        <w:ind w:firstLine="706"/>
        <w:jc w:val="center"/>
        <w:rPr>
          <w:spacing w:val="20"/>
          <w:kern w:val="2"/>
          <w:lang w:val="en-GB"/>
        </w:rPr>
      </w:pPr>
    </w:p>
    <w:p w:rsidR="00000000" w:rsidRDefault="00000000">
      <w:pPr>
        <w:pStyle w:val="Heading1"/>
        <w:rPr>
          <w:snapToGrid w:val="0"/>
          <w:kern w:val="2"/>
          <w:sz w:val="18"/>
        </w:rPr>
      </w:pPr>
      <w:r>
        <w:rPr>
          <w:snapToGrid w:val="0"/>
          <w:kern w:val="2"/>
        </w:rPr>
        <w:br w:type="page"/>
      </w:r>
      <w:r>
        <w:rPr>
          <w:snapToGrid w:val="0"/>
          <w:kern w:val="2"/>
          <w:sz w:val="18"/>
        </w:rPr>
        <w:t>Table 31</w:t>
      </w:r>
    </w:p>
    <w:p w:rsidR="00000000" w:rsidRDefault="00000000">
      <w:pPr>
        <w:rPr>
          <w:snapToGrid w:val="0"/>
          <w:kern w:val="2"/>
          <w:sz w:val="18"/>
        </w:rPr>
      </w:pPr>
    </w:p>
    <w:p w:rsidR="00000000" w:rsidRDefault="00000000">
      <w:pPr>
        <w:pStyle w:val="Heading1"/>
        <w:rPr>
          <w:snapToGrid w:val="0"/>
          <w:kern w:val="2"/>
          <w:sz w:val="18"/>
        </w:rPr>
      </w:pPr>
      <w:r>
        <w:rPr>
          <w:snapToGrid w:val="0"/>
          <w:kern w:val="2"/>
          <w:sz w:val="18"/>
        </w:rPr>
        <w:t>Monthly number of workplace accidents settled, by consequences, 1997</w:t>
      </w:r>
      <w:r>
        <w:rPr>
          <w:snapToGrid w:val="0"/>
          <w:kern w:val="2"/>
          <w:sz w:val="18"/>
        </w:rPr>
        <w:noBreakHyphen/>
        <w:t>1999</w:t>
      </w:r>
    </w:p>
    <w:p w:rsidR="00000000" w:rsidRDefault="00000000">
      <w:pPr>
        <w:rPr>
          <w:sz w:val="18"/>
        </w:rPr>
      </w:pPr>
    </w:p>
    <w:tbl>
      <w:tblPr>
        <w:tblW w:w="0" w:type="auto"/>
        <w:tblInd w:w="30" w:type="dxa"/>
        <w:tblLayout w:type="fixed"/>
        <w:tblCellMar>
          <w:left w:w="30" w:type="dxa"/>
          <w:right w:w="30" w:type="dxa"/>
        </w:tblCellMar>
        <w:tblLook w:val="0000" w:firstRow="0" w:lastRow="0" w:firstColumn="0" w:lastColumn="0" w:noHBand="0" w:noVBand="0"/>
      </w:tblPr>
      <w:tblGrid>
        <w:gridCol w:w="1058"/>
        <w:gridCol w:w="843"/>
        <w:gridCol w:w="1097"/>
        <w:gridCol w:w="1139"/>
        <w:gridCol w:w="1092"/>
        <w:gridCol w:w="1107"/>
        <w:gridCol w:w="1109"/>
        <w:gridCol w:w="1070"/>
        <w:gridCol w:w="841"/>
      </w:tblGrid>
      <w:tr w:rsidR="00000000">
        <w:tblPrEx>
          <w:tblCellMar>
            <w:top w:w="0" w:type="dxa"/>
            <w:bottom w:w="0" w:type="dxa"/>
          </w:tblCellMar>
        </w:tblPrEx>
        <w:trPr>
          <w:cantSplit/>
          <w:trHeight w:val="245"/>
        </w:trPr>
        <w:tc>
          <w:tcPr>
            <w:tcW w:w="1058" w:type="dxa"/>
            <w:vMerge w:val="restart"/>
            <w:tcBorders>
              <w:top w:val="single" w:sz="2" w:space="0" w:color="auto"/>
              <w:left w:val="single" w:sz="4" w:space="0" w:color="auto"/>
              <w:right w:val="single" w:sz="2" w:space="0" w:color="auto"/>
            </w:tcBorders>
          </w:tcPr>
          <w:p w:rsidR="00000000" w:rsidRDefault="00000000">
            <w:pPr>
              <w:spacing w:after="2"/>
              <w:jc w:val="center"/>
              <w:rPr>
                <w:snapToGrid w:val="0"/>
                <w:sz w:val="20"/>
              </w:rPr>
            </w:pPr>
          </w:p>
        </w:tc>
        <w:tc>
          <w:tcPr>
            <w:tcW w:w="843" w:type="dxa"/>
            <w:vMerge w:val="restart"/>
            <w:tcBorders>
              <w:top w:val="single" w:sz="2" w:space="0" w:color="auto"/>
              <w:left w:val="single" w:sz="2" w:space="0" w:color="auto"/>
              <w:right w:val="single" w:sz="2" w:space="0" w:color="auto"/>
            </w:tcBorders>
          </w:tcPr>
          <w:p w:rsidR="00000000" w:rsidRDefault="00000000">
            <w:pPr>
              <w:spacing w:after="2"/>
              <w:jc w:val="center"/>
              <w:rPr>
                <w:snapToGrid w:val="0"/>
                <w:sz w:val="20"/>
              </w:rPr>
            </w:pPr>
          </w:p>
        </w:tc>
        <w:tc>
          <w:tcPr>
            <w:tcW w:w="7455" w:type="dxa"/>
            <w:gridSpan w:val="7"/>
            <w:tcBorders>
              <w:top w:val="single" w:sz="2" w:space="0" w:color="auto"/>
              <w:left w:val="single" w:sz="2" w:space="0" w:color="auto"/>
              <w:bottom w:val="single" w:sz="2" w:space="0" w:color="auto"/>
              <w:right w:val="single" w:sz="4" w:space="0" w:color="auto"/>
            </w:tcBorders>
          </w:tcPr>
          <w:p w:rsidR="00000000" w:rsidRDefault="00000000">
            <w:pPr>
              <w:spacing w:after="2"/>
              <w:ind w:left="165" w:hanging="11"/>
              <w:jc w:val="center"/>
              <w:rPr>
                <w:snapToGrid w:val="0"/>
                <w:sz w:val="20"/>
              </w:rPr>
            </w:pPr>
            <w:r>
              <w:rPr>
                <w:snapToGrid w:val="0"/>
                <w:sz w:val="20"/>
              </w:rPr>
              <w:t>Number of workplace accidents settled</w:t>
            </w:r>
          </w:p>
        </w:tc>
      </w:tr>
      <w:tr w:rsidR="00000000">
        <w:tblPrEx>
          <w:tblCellMar>
            <w:top w:w="0" w:type="dxa"/>
            <w:bottom w:w="0" w:type="dxa"/>
          </w:tblCellMar>
        </w:tblPrEx>
        <w:trPr>
          <w:cantSplit/>
          <w:trHeight w:val="245"/>
        </w:trPr>
        <w:tc>
          <w:tcPr>
            <w:tcW w:w="1058" w:type="dxa"/>
            <w:vMerge/>
            <w:tcBorders>
              <w:left w:val="single" w:sz="4" w:space="0" w:color="auto"/>
              <w:right w:val="single" w:sz="2" w:space="0" w:color="auto"/>
            </w:tcBorders>
          </w:tcPr>
          <w:p w:rsidR="00000000" w:rsidRDefault="00000000">
            <w:pPr>
              <w:spacing w:after="2"/>
              <w:jc w:val="center"/>
              <w:rPr>
                <w:snapToGrid w:val="0"/>
                <w:sz w:val="20"/>
              </w:rPr>
            </w:pPr>
          </w:p>
        </w:tc>
        <w:tc>
          <w:tcPr>
            <w:tcW w:w="843" w:type="dxa"/>
            <w:vMerge/>
            <w:tcBorders>
              <w:left w:val="single" w:sz="2" w:space="0" w:color="auto"/>
              <w:right w:val="single" w:sz="2" w:space="0" w:color="auto"/>
            </w:tcBorders>
          </w:tcPr>
          <w:p w:rsidR="00000000" w:rsidRDefault="00000000">
            <w:pPr>
              <w:spacing w:after="2"/>
              <w:jc w:val="center"/>
              <w:rPr>
                <w:snapToGrid w:val="0"/>
                <w:sz w:val="20"/>
              </w:rPr>
            </w:pPr>
          </w:p>
        </w:tc>
        <w:tc>
          <w:tcPr>
            <w:tcW w:w="1097" w:type="dxa"/>
            <w:tcBorders>
              <w:top w:val="single" w:sz="2" w:space="0" w:color="auto"/>
              <w:left w:val="single" w:sz="2" w:space="0" w:color="auto"/>
              <w:right w:val="single" w:sz="2" w:space="0" w:color="auto"/>
            </w:tcBorders>
          </w:tcPr>
          <w:p w:rsidR="00000000" w:rsidRDefault="00000000">
            <w:pPr>
              <w:spacing w:after="2"/>
              <w:ind w:left="165" w:hanging="11"/>
              <w:jc w:val="center"/>
              <w:rPr>
                <w:snapToGrid w:val="0"/>
                <w:sz w:val="20"/>
              </w:rPr>
            </w:pPr>
          </w:p>
        </w:tc>
        <w:tc>
          <w:tcPr>
            <w:tcW w:w="6358" w:type="dxa"/>
            <w:gridSpan w:val="6"/>
            <w:tcBorders>
              <w:top w:val="single" w:sz="2" w:space="0" w:color="auto"/>
              <w:left w:val="single" w:sz="2" w:space="0" w:color="auto"/>
              <w:bottom w:val="single" w:sz="2" w:space="0" w:color="auto"/>
              <w:right w:val="single" w:sz="4" w:space="0" w:color="auto"/>
            </w:tcBorders>
          </w:tcPr>
          <w:p w:rsidR="00000000" w:rsidRDefault="00000000">
            <w:pPr>
              <w:spacing w:after="2"/>
              <w:ind w:left="165" w:hanging="11"/>
              <w:jc w:val="center"/>
              <w:rPr>
                <w:snapToGrid w:val="0"/>
                <w:sz w:val="20"/>
              </w:rPr>
            </w:pPr>
            <w:r>
              <w:rPr>
                <w:snapToGrid w:val="0"/>
                <w:sz w:val="20"/>
              </w:rPr>
              <w:t>Results</w:t>
            </w:r>
          </w:p>
        </w:tc>
      </w:tr>
      <w:tr w:rsidR="00000000">
        <w:tblPrEx>
          <w:tblCellMar>
            <w:top w:w="0" w:type="dxa"/>
            <w:bottom w:w="0" w:type="dxa"/>
          </w:tblCellMar>
        </w:tblPrEx>
        <w:trPr>
          <w:cantSplit/>
          <w:trHeight w:val="245"/>
        </w:trPr>
        <w:tc>
          <w:tcPr>
            <w:tcW w:w="1058" w:type="dxa"/>
            <w:tcBorders>
              <w:left w:val="single" w:sz="4" w:space="0" w:color="auto"/>
              <w:right w:val="single" w:sz="2" w:space="0" w:color="auto"/>
            </w:tcBorders>
          </w:tcPr>
          <w:p w:rsidR="00000000" w:rsidRDefault="00000000">
            <w:pPr>
              <w:spacing w:after="2"/>
              <w:jc w:val="center"/>
              <w:rPr>
                <w:snapToGrid w:val="0"/>
                <w:sz w:val="20"/>
              </w:rPr>
            </w:pPr>
            <w:r>
              <w:rPr>
                <w:snapToGrid w:val="0"/>
                <w:sz w:val="20"/>
              </w:rPr>
              <w:t>Month</w:t>
            </w:r>
          </w:p>
        </w:tc>
        <w:tc>
          <w:tcPr>
            <w:tcW w:w="843" w:type="dxa"/>
            <w:tcBorders>
              <w:left w:val="single" w:sz="2" w:space="0" w:color="auto"/>
              <w:right w:val="single" w:sz="2" w:space="0" w:color="auto"/>
            </w:tcBorders>
          </w:tcPr>
          <w:p w:rsidR="00000000" w:rsidRDefault="00000000">
            <w:pPr>
              <w:spacing w:after="2"/>
              <w:jc w:val="center"/>
              <w:rPr>
                <w:snapToGrid w:val="0"/>
                <w:sz w:val="20"/>
              </w:rPr>
            </w:pPr>
            <w:r>
              <w:rPr>
                <w:snapToGrid w:val="0"/>
                <w:sz w:val="20"/>
              </w:rPr>
              <w:t>Years</w:t>
            </w:r>
          </w:p>
        </w:tc>
        <w:tc>
          <w:tcPr>
            <w:tcW w:w="1097" w:type="dxa"/>
            <w:tcBorders>
              <w:left w:val="single" w:sz="2" w:space="0" w:color="auto"/>
              <w:right w:val="single" w:sz="2" w:space="0" w:color="auto"/>
            </w:tcBorders>
          </w:tcPr>
          <w:p w:rsidR="00000000" w:rsidRDefault="00000000">
            <w:pPr>
              <w:spacing w:after="2"/>
              <w:ind w:left="165" w:hanging="11"/>
              <w:jc w:val="center"/>
              <w:rPr>
                <w:snapToGrid w:val="0"/>
                <w:sz w:val="20"/>
              </w:rPr>
            </w:pPr>
            <w:r>
              <w:rPr>
                <w:snapToGrid w:val="0"/>
                <w:sz w:val="20"/>
              </w:rPr>
              <w:t>Total</w:t>
            </w:r>
          </w:p>
        </w:tc>
        <w:tc>
          <w:tcPr>
            <w:tcW w:w="1139" w:type="dxa"/>
            <w:vMerge w:val="restart"/>
            <w:tcBorders>
              <w:top w:val="single" w:sz="2" w:space="0" w:color="auto"/>
              <w:left w:val="single" w:sz="2" w:space="0" w:color="auto"/>
              <w:right w:val="single" w:sz="2" w:space="0" w:color="auto"/>
            </w:tcBorders>
          </w:tcPr>
          <w:p w:rsidR="00000000" w:rsidRDefault="00000000">
            <w:pPr>
              <w:spacing w:after="2"/>
              <w:ind w:left="165" w:hanging="11"/>
              <w:jc w:val="center"/>
              <w:rPr>
                <w:snapToGrid w:val="0"/>
                <w:sz w:val="20"/>
              </w:rPr>
            </w:pPr>
            <w:r>
              <w:rPr>
                <w:snapToGrid w:val="0"/>
                <w:sz w:val="20"/>
              </w:rPr>
              <w:t>Medical assistance</w:t>
            </w:r>
          </w:p>
        </w:tc>
        <w:tc>
          <w:tcPr>
            <w:tcW w:w="3308" w:type="dxa"/>
            <w:gridSpan w:val="3"/>
            <w:tcBorders>
              <w:top w:val="single" w:sz="2" w:space="0" w:color="auto"/>
              <w:left w:val="single" w:sz="2" w:space="0" w:color="auto"/>
              <w:bottom w:val="single" w:sz="2" w:space="0" w:color="auto"/>
            </w:tcBorders>
          </w:tcPr>
          <w:p w:rsidR="00000000" w:rsidRDefault="00000000">
            <w:pPr>
              <w:spacing w:after="2"/>
              <w:ind w:left="165" w:hanging="11"/>
              <w:jc w:val="center"/>
              <w:rPr>
                <w:snapToGrid w:val="0"/>
                <w:sz w:val="20"/>
              </w:rPr>
            </w:pPr>
            <w:r>
              <w:rPr>
                <w:snapToGrid w:val="0"/>
                <w:sz w:val="20"/>
              </w:rPr>
              <w:t>Temporary disability</w:t>
            </w:r>
          </w:p>
        </w:tc>
        <w:tc>
          <w:tcPr>
            <w:tcW w:w="1070" w:type="dxa"/>
            <w:vMerge w:val="restart"/>
            <w:tcBorders>
              <w:top w:val="single" w:sz="2" w:space="0" w:color="auto"/>
              <w:left w:val="single" w:sz="2" w:space="0" w:color="auto"/>
              <w:right w:val="single" w:sz="2" w:space="0" w:color="auto"/>
            </w:tcBorders>
          </w:tcPr>
          <w:p w:rsidR="00000000" w:rsidRDefault="00000000">
            <w:pPr>
              <w:spacing w:after="2"/>
              <w:ind w:left="165" w:hanging="11"/>
              <w:jc w:val="center"/>
              <w:rPr>
                <w:snapToGrid w:val="0"/>
                <w:sz w:val="20"/>
              </w:rPr>
            </w:pPr>
            <w:r>
              <w:rPr>
                <w:snapToGrid w:val="0"/>
                <w:sz w:val="20"/>
              </w:rPr>
              <w:t>Permanent disability</w:t>
            </w:r>
          </w:p>
        </w:tc>
        <w:tc>
          <w:tcPr>
            <w:tcW w:w="841" w:type="dxa"/>
            <w:vMerge w:val="restart"/>
            <w:tcBorders>
              <w:top w:val="single" w:sz="2" w:space="0" w:color="auto"/>
              <w:left w:val="single" w:sz="2" w:space="0" w:color="auto"/>
              <w:right w:val="single" w:sz="4" w:space="0" w:color="auto"/>
            </w:tcBorders>
          </w:tcPr>
          <w:p w:rsidR="00000000" w:rsidRDefault="00000000">
            <w:pPr>
              <w:spacing w:after="2"/>
              <w:ind w:left="165" w:hanging="11"/>
              <w:jc w:val="center"/>
              <w:rPr>
                <w:snapToGrid w:val="0"/>
                <w:sz w:val="20"/>
              </w:rPr>
            </w:pPr>
          </w:p>
          <w:p w:rsidR="00000000" w:rsidRDefault="00000000">
            <w:pPr>
              <w:spacing w:after="2"/>
              <w:ind w:left="165" w:hanging="11"/>
              <w:jc w:val="center"/>
              <w:rPr>
                <w:snapToGrid w:val="0"/>
                <w:sz w:val="20"/>
              </w:rPr>
            </w:pPr>
            <w:r>
              <w:rPr>
                <w:snapToGrid w:val="0"/>
                <w:sz w:val="20"/>
              </w:rPr>
              <w:t>Death</w:t>
            </w:r>
          </w:p>
        </w:tc>
      </w:tr>
      <w:tr w:rsidR="00000000">
        <w:tblPrEx>
          <w:tblCellMar>
            <w:top w:w="0" w:type="dxa"/>
            <w:bottom w:w="0" w:type="dxa"/>
          </w:tblCellMar>
        </w:tblPrEx>
        <w:trPr>
          <w:cantSplit/>
          <w:trHeight w:val="245"/>
        </w:trPr>
        <w:tc>
          <w:tcPr>
            <w:tcW w:w="1058" w:type="dxa"/>
            <w:tcBorders>
              <w:left w:val="single" w:sz="4" w:space="0" w:color="auto"/>
              <w:bottom w:val="single" w:sz="4" w:space="0" w:color="auto"/>
              <w:right w:val="single" w:sz="2" w:space="0" w:color="auto"/>
            </w:tcBorders>
          </w:tcPr>
          <w:p w:rsidR="00000000" w:rsidRDefault="00000000">
            <w:pPr>
              <w:spacing w:after="2"/>
              <w:jc w:val="center"/>
              <w:rPr>
                <w:snapToGrid w:val="0"/>
                <w:sz w:val="20"/>
              </w:rPr>
            </w:pPr>
          </w:p>
        </w:tc>
        <w:tc>
          <w:tcPr>
            <w:tcW w:w="843" w:type="dxa"/>
            <w:tcBorders>
              <w:left w:val="single" w:sz="2" w:space="0" w:color="auto"/>
              <w:bottom w:val="single" w:sz="4" w:space="0" w:color="auto"/>
              <w:right w:val="single" w:sz="2" w:space="0" w:color="auto"/>
            </w:tcBorders>
          </w:tcPr>
          <w:p w:rsidR="00000000" w:rsidRDefault="00000000">
            <w:pPr>
              <w:spacing w:after="2"/>
              <w:jc w:val="center"/>
              <w:rPr>
                <w:snapToGrid w:val="0"/>
                <w:sz w:val="20"/>
              </w:rPr>
            </w:pPr>
          </w:p>
        </w:tc>
        <w:tc>
          <w:tcPr>
            <w:tcW w:w="1097" w:type="dxa"/>
            <w:tcBorders>
              <w:left w:val="single" w:sz="2" w:space="0" w:color="auto"/>
              <w:bottom w:val="single" w:sz="4" w:space="0" w:color="auto"/>
              <w:right w:val="single" w:sz="2" w:space="0" w:color="auto"/>
            </w:tcBorders>
          </w:tcPr>
          <w:p w:rsidR="00000000" w:rsidRDefault="00000000">
            <w:pPr>
              <w:spacing w:after="2"/>
              <w:ind w:left="165" w:hanging="11"/>
              <w:jc w:val="center"/>
              <w:rPr>
                <w:snapToGrid w:val="0"/>
                <w:sz w:val="20"/>
              </w:rPr>
            </w:pPr>
          </w:p>
        </w:tc>
        <w:tc>
          <w:tcPr>
            <w:tcW w:w="1139" w:type="dxa"/>
            <w:vMerge/>
            <w:tcBorders>
              <w:left w:val="single" w:sz="2" w:space="0" w:color="auto"/>
              <w:bottom w:val="single" w:sz="4" w:space="0" w:color="auto"/>
              <w:right w:val="single" w:sz="2" w:space="0" w:color="auto"/>
            </w:tcBorders>
          </w:tcPr>
          <w:p w:rsidR="00000000" w:rsidRDefault="00000000">
            <w:pPr>
              <w:spacing w:after="2"/>
              <w:ind w:left="165" w:hanging="11"/>
              <w:jc w:val="center"/>
              <w:rPr>
                <w:snapToGrid w:val="0"/>
                <w:sz w:val="20"/>
              </w:rPr>
            </w:pPr>
          </w:p>
        </w:tc>
        <w:tc>
          <w:tcPr>
            <w:tcW w:w="1092" w:type="dxa"/>
            <w:tcBorders>
              <w:top w:val="single" w:sz="2" w:space="0" w:color="auto"/>
              <w:left w:val="single" w:sz="2" w:space="0" w:color="auto"/>
              <w:bottom w:val="single" w:sz="4" w:space="0" w:color="auto"/>
              <w:right w:val="single" w:sz="2" w:space="0" w:color="auto"/>
            </w:tcBorders>
          </w:tcPr>
          <w:p w:rsidR="00000000" w:rsidRDefault="00000000">
            <w:pPr>
              <w:spacing w:after="2"/>
              <w:ind w:left="165" w:hanging="11"/>
              <w:rPr>
                <w:snapToGrid w:val="0"/>
                <w:sz w:val="20"/>
              </w:rPr>
            </w:pPr>
            <w:r>
              <w:rPr>
                <w:snapToGrid w:val="0"/>
                <w:sz w:val="20"/>
              </w:rPr>
              <w:t>Total</w:t>
            </w:r>
          </w:p>
        </w:tc>
        <w:tc>
          <w:tcPr>
            <w:tcW w:w="1107" w:type="dxa"/>
            <w:tcBorders>
              <w:top w:val="single" w:sz="2" w:space="0" w:color="auto"/>
              <w:left w:val="single" w:sz="2" w:space="0" w:color="auto"/>
              <w:bottom w:val="single" w:sz="4" w:space="0" w:color="auto"/>
              <w:right w:val="single" w:sz="2" w:space="0" w:color="auto"/>
            </w:tcBorders>
          </w:tcPr>
          <w:p w:rsidR="00000000" w:rsidRDefault="00000000">
            <w:pPr>
              <w:spacing w:after="2"/>
              <w:ind w:left="165" w:hanging="11"/>
              <w:rPr>
                <w:snapToGrid w:val="0"/>
                <w:sz w:val="20"/>
              </w:rPr>
            </w:pPr>
            <w:r>
              <w:rPr>
                <w:snapToGrid w:val="0"/>
                <w:sz w:val="20"/>
              </w:rPr>
              <w:t>Less than 15 days</w:t>
            </w:r>
          </w:p>
        </w:tc>
        <w:tc>
          <w:tcPr>
            <w:tcW w:w="1109" w:type="dxa"/>
            <w:tcBorders>
              <w:top w:val="single" w:sz="2" w:space="0" w:color="auto"/>
              <w:left w:val="single" w:sz="2" w:space="0" w:color="auto"/>
              <w:bottom w:val="single" w:sz="4" w:space="0" w:color="auto"/>
              <w:right w:val="single" w:sz="2" w:space="0" w:color="auto"/>
            </w:tcBorders>
          </w:tcPr>
          <w:p w:rsidR="00000000" w:rsidRDefault="00000000">
            <w:pPr>
              <w:spacing w:after="2"/>
              <w:ind w:left="165" w:hanging="11"/>
              <w:rPr>
                <w:snapToGrid w:val="0"/>
                <w:sz w:val="20"/>
              </w:rPr>
            </w:pPr>
            <w:r>
              <w:rPr>
                <w:snapToGrid w:val="0"/>
                <w:sz w:val="20"/>
              </w:rPr>
              <w:t>More than 15 days</w:t>
            </w:r>
          </w:p>
        </w:tc>
        <w:tc>
          <w:tcPr>
            <w:tcW w:w="1070" w:type="dxa"/>
            <w:vMerge/>
            <w:tcBorders>
              <w:left w:val="single" w:sz="2" w:space="0" w:color="auto"/>
              <w:bottom w:val="single" w:sz="4" w:space="0" w:color="auto"/>
              <w:right w:val="single" w:sz="2" w:space="0" w:color="auto"/>
            </w:tcBorders>
          </w:tcPr>
          <w:p w:rsidR="00000000" w:rsidRDefault="00000000">
            <w:pPr>
              <w:spacing w:after="2"/>
              <w:ind w:left="165" w:hanging="11"/>
              <w:jc w:val="center"/>
              <w:rPr>
                <w:snapToGrid w:val="0"/>
                <w:sz w:val="20"/>
              </w:rPr>
            </w:pPr>
          </w:p>
        </w:tc>
        <w:tc>
          <w:tcPr>
            <w:tcW w:w="841" w:type="dxa"/>
            <w:vMerge/>
            <w:tcBorders>
              <w:left w:val="single" w:sz="2" w:space="0" w:color="auto"/>
              <w:bottom w:val="single" w:sz="4" w:space="0" w:color="auto"/>
              <w:right w:val="single" w:sz="4" w:space="0" w:color="auto"/>
            </w:tcBorders>
          </w:tcPr>
          <w:p w:rsidR="00000000" w:rsidRDefault="00000000">
            <w:pPr>
              <w:spacing w:after="2"/>
              <w:ind w:left="165" w:hanging="11"/>
              <w:jc w:val="center"/>
              <w:rPr>
                <w:snapToGrid w:val="0"/>
                <w:sz w:val="20"/>
              </w:rPr>
            </w:pPr>
          </w:p>
        </w:tc>
      </w:tr>
      <w:tr w:rsidR="00000000">
        <w:tblPrEx>
          <w:tblCellMar>
            <w:top w:w="0" w:type="dxa"/>
            <w:bottom w:w="0" w:type="dxa"/>
          </w:tblCellMar>
        </w:tblPrEx>
        <w:trPr>
          <w:trHeight w:val="216"/>
        </w:trPr>
        <w:tc>
          <w:tcPr>
            <w:tcW w:w="1058" w:type="dxa"/>
            <w:tcBorders>
              <w:top w:val="single" w:sz="4" w:space="0" w:color="auto"/>
              <w:left w:val="single" w:sz="4" w:space="0" w:color="auto"/>
              <w:right w:val="single" w:sz="4" w:space="0" w:color="auto"/>
            </w:tcBorders>
          </w:tcPr>
          <w:p w:rsidR="00000000" w:rsidRDefault="00000000">
            <w:pPr>
              <w:spacing w:after="2"/>
              <w:rPr>
                <w:b/>
                <w:bCs/>
                <w:snapToGrid w:val="0"/>
                <w:sz w:val="20"/>
              </w:rPr>
            </w:pPr>
          </w:p>
        </w:tc>
        <w:tc>
          <w:tcPr>
            <w:tcW w:w="843" w:type="dxa"/>
            <w:tcBorders>
              <w:top w:val="single" w:sz="4" w:space="0" w:color="auto"/>
              <w:right w:val="single" w:sz="4" w:space="0" w:color="auto"/>
            </w:tcBorders>
          </w:tcPr>
          <w:p w:rsidR="00000000" w:rsidRDefault="00000000">
            <w:pPr>
              <w:spacing w:before="2" w:after="2"/>
              <w:ind w:right="113"/>
              <w:jc w:val="center"/>
              <w:rPr>
                <w:b/>
                <w:bCs/>
                <w:snapToGrid w:val="0"/>
                <w:sz w:val="20"/>
              </w:rPr>
            </w:pPr>
            <w:r>
              <w:rPr>
                <w:b/>
                <w:bCs/>
                <w:snapToGrid w:val="0"/>
                <w:sz w:val="20"/>
              </w:rPr>
              <w:t>1997</w:t>
            </w:r>
          </w:p>
        </w:tc>
        <w:tc>
          <w:tcPr>
            <w:tcW w:w="1097" w:type="dxa"/>
            <w:tcBorders>
              <w:top w:val="single" w:sz="4" w:space="0" w:color="auto"/>
              <w:right w:val="single" w:sz="4" w:space="0" w:color="auto"/>
            </w:tcBorders>
          </w:tcPr>
          <w:p w:rsidR="00000000" w:rsidRDefault="00000000">
            <w:pPr>
              <w:spacing w:before="2" w:after="2"/>
              <w:ind w:left="164" w:right="170" w:hanging="11"/>
              <w:jc w:val="right"/>
              <w:rPr>
                <w:b/>
                <w:bCs/>
                <w:snapToGrid w:val="0"/>
                <w:sz w:val="20"/>
              </w:rPr>
            </w:pPr>
            <w:r>
              <w:rPr>
                <w:b/>
                <w:bCs/>
                <w:snapToGrid w:val="0"/>
                <w:sz w:val="20"/>
              </w:rPr>
              <w:t>440 281</w:t>
            </w:r>
          </w:p>
        </w:tc>
        <w:tc>
          <w:tcPr>
            <w:tcW w:w="1139" w:type="dxa"/>
            <w:tcBorders>
              <w:top w:val="single" w:sz="4" w:space="0" w:color="auto"/>
              <w:right w:val="single" w:sz="4" w:space="0" w:color="auto"/>
            </w:tcBorders>
          </w:tcPr>
          <w:p w:rsidR="00000000" w:rsidRDefault="00000000">
            <w:pPr>
              <w:spacing w:before="2" w:after="2"/>
              <w:ind w:left="164" w:right="227" w:hanging="11"/>
              <w:jc w:val="right"/>
              <w:rPr>
                <w:b/>
                <w:bCs/>
                <w:snapToGrid w:val="0"/>
                <w:sz w:val="20"/>
              </w:rPr>
            </w:pPr>
            <w:r>
              <w:rPr>
                <w:b/>
                <w:bCs/>
                <w:snapToGrid w:val="0"/>
                <w:sz w:val="20"/>
              </w:rPr>
              <w:t>56 431</w:t>
            </w:r>
          </w:p>
        </w:tc>
        <w:tc>
          <w:tcPr>
            <w:tcW w:w="1092" w:type="dxa"/>
            <w:tcBorders>
              <w:top w:val="single" w:sz="4" w:space="0" w:color="auto"/>
              <w:right w:val="single" w:sz="4" w:space="0" w:color="auto"/>
            </w:tcBorders>
          </w:tcPr>
          <w:p w:rsidR="00000000" w:rsidRDefault="00000000">
            <w:pPr>
              <w:spacing w:before="2" w:after="2"/>
              <w:ind w:left="164" w:right="170" w:hanging="11"/>
              <w:jc w:val="right"/>
              <w:rPr>
                <w:b/>
                <w:bCs/>
                <w:snapToGrid w:val="0"/>
                <w:sz w:val="20"/>
              </w:rPr>
            </w:pPr>
            <w:r>
              <w:rPr>
                <w:b/>
                <w:bCs/>
                <w:snapToGrid w:val="0"/>
                <w:sz w:val="20"/>
              </w:rPr>
              <w:t>362 712</w:t>
            </w:r>
          </w:p>
        </w:tc>
        <w:tc>
          <w:tcPr>
            <w:tcW w:w="1107" w:type="dxa"/>
            <w:tcBorders>
              <w:top w:val="single" w:sz="4" w:space="0" w:color="auto"/>
              <w:right w:val="single" w:sz="4" w:space="0" w:color="auto"/>
            </w:tcBorders>
          </w:tcPr>
          <w:p w:rsidR="00000000" w:rsidRDefault="00000000">
            <w:pPr>
              <w:spacing w:before="2" w:after="2"/>
              <w:ind w:left="164" w:right="170" w:hanging="11"/>
              <w:jc w:val="right"/>
              <w:rPr>
                <w:b/>
                <w:bCs/>
                <w:snapToGrid w:val="0"/>
                <w:sz w:val="20"/>
              </w:rPr>
            </w:pPr>
            <w:r>
              <w:rPr>
                <w:b/>
                <w:bCs/>
                <w:snapToGrid w:val="0"/>
                <w:sz w:val="20"/>
              </w:rPr>
              <w:t>206 608</w:t>
            </w:r>
          </w:p>
        </w:tc>
        <w:tc>
          <w:tcPr>
            <w:tcW w:w="1109" w:type="dxa"/>
            <w:tcBorders>
              <w:top w:val="single" w:sz="4" w:space="0" w:color="auto"/>
              <w:right w:val="single" w:sz="4" w:space="0" w:color="auto"/>
            </w:tcBorders>
          </w:tcPr>
          <w:p w:rsidR="00000000" w:rsidRDefault="00000000">
            <w:pPr>
              <w:spacing w:before="2" w:after="2"/>
              <w:ind w:left="164" w:right="170" w:hanging="11"/>
              <w:jc w:val="right"/>
              <w:rPr>
                <w:b/>
                <w:bCs/>
                <w:snapToGrid w:val="0"/>
                <w:sz w:val="20"/>
              </w:rPr>
            </w:pPr>
            <w:r>
              <w:rPr>
                <w:b/>
                <w:bCs/>
                <w:snapToGrid w:val="0"/>
                <w:sz w:val="20"/>
              </w:rPr>
              <w:t>156 104</w:t>
            </w:r>
          </w:p>
        </w:tc>
        <w:tc>
          <w:tcPr>
            <w:tcW w:w="1070" w:type="dxa"/>
            <w:tcBorders>
              <w:top w:val="single" w:sz="4" w:space="0" w:color="auto"/>
              <w:right w:val="single" w:sz="4" w:space="0" w:color="auto"/>
            </w:tcBorders>
          </w:tcPr>
          <w:p w:rsidR="00000000" w:rsidRDefault="00000000">
            <w:pPr>
              <w:spacing w:before="2" w:after="2"/>
              <w:ind w:left="164" w:right="170" w:hanging="11"/>
              <w:jc w:val="right"/>
              <w:rPr>
                <w:b/>
                <w:bCs/>
                <w:snapToGrid w:val="0"/>
                <w:sz w:val="20"/>
              </w:rPr>
            </w:pPr>
            <w:r>
              <w:rPr>
                <w:b/>
                <w:bCs/>
                <w:snapToGrid w:val="0"/>
                <w:sz w:val="20"/>
              </w:rPr>
              <w:t>17 669</w:t>
            </w:r>
          </w:p>
        </w:tc>
        <w:tc>
          <w:tcPr>
            <w:tcW w:w="841" w:type="dxa"/>
            <w:tcBorders>
              <w:top w:val="single" w:sz="4" w:space="0" w:color="auto"/>
              <w:right w:val="single" w:sz="4" w:space="0" w:color="auto"/>
            </w:tcBorders>
          </w:tcPr>
          <w:p w:rsidR="00000000" w:rsidRDefault="00000000">
            <w:pPr>
              <w:spacing w:before="2" w:after="2"/>
              <w:ind w:left="164" w:right="170" w:hanging="11"/>
              <w:jc w:val="right"/>
              <w:rPr>
                <w:b/>
                <w:bCs/>
                <w:snapToGrid w:val="0"/>
                <w:sz w:val="20"/>
              </w:rPr>
            </w:pPr>
            <w:r>
              <w:rPr>
                <w:b/>
                <w:bCs/>
                <w:snapToGrid w:val="0"/>
                <w:sz w:val="20"/>
              </w:rPr>
              <w:t>3 469</w:t>
            </w:r>
          </w:p>
        </w:tc>
      </w:tr>
      <w:tr w:rsidR="00000000">
        <w:tblPrEx>
          <w:tblCellMar>
            <w:top w:w="0" w:type="dxa"/>
            <w:bottom w:w="0" w:type="dxa"/>
          </w:tblCellMar>
        </w:tblPrEx>
        <w:trPr>
          <w:trHeight w:val="139"/>
        </w:trPr>
        <w:tc>
          <w:tcPr>
            <w:tcW w:w="1058" w:type="dxa"/>
            <w:tcBorders>
              <w:left w:val="single" w:sz="4" w:space="0" w:color="auto"/>
              <w:right w:val="single" w:sz="4" w:space="0" w:color="auto"/>
            </w:tcBorders>
          </w:tcPr>
          <w:p w:rsidR="00000000" w:rsidRDefault="00000000">
            <w:pPr>
              <w:spacing w:after="2"/>
              <w:rPr>
                <w:b/>
                <w:bCs/>
                <w:snapToGrid w:val="0"/>
                <w:sz w:val="20"/>
              </w:rPr>
            </w:pPr>
            <w:r>
              <w:rPr>
                <w:b/>
                <w:bCs/>
                <w:snapToGrid w:val="0"/>
                <w:sz w:val="20"/>
              </w:rPr>
              <w:t>Total</w:t>
            </w:r>
          </w:p>
        </w:tc>
        <w:tc>
          <w:tcPr>
            <w:tcW w:w="843" w:type="dxa"/>
            <w:tcBorders>
              <w:right w:val="single" w:sz="4" w:space="0" w:color="auto"/>
            </w:tcBorders>
          </w:tcPr>
          <w:p w:rsidR="00000000" w:rsidRDefault="00000000">
            <w:pPr>
              <w:spacing w:before="2" w:after="2"/>
              <w:ind w:right="113"/>
              <w:jc w:val="center"/>
              <w:rPr>
                <w:b/>
                <w:bCs/>
                <w:snapToGrid w:val="0"/>
                <w:sz w:val="20"/>
              </w:rPr>
            </w:pPr>
            <w:r>
              <w:rPr>
                <w:b/>
                <w:bCs/>
                <w:snapToGrid w:val="0"/>
                <w:sz w:val="20"/>
              </w:rPr>
              <w:t>1998</w:t>
            </w:r>
          </w:p>
        </w:tc>
        <w:tc>
          <w:tcPr>
            <w:tcW w:w="1097" w:type="dxa"/>
            <w:tcBorders>
              <w:right w:val="single" w:sz="4" w:space="0" w:color="auto"/>
            </w:tcBorders>
          </w:tcPr>
          <w:p w:rsidR="00000000" w:rsidRDefault="00000000">
            <w:pPr>
              <w:spacing w:before="2" w:after="2"/>
              <w:ind w:left="164" w:right="170" w:hanging="11"/>
              <w:jc w:val="right"/>
              <w:rPr>
                <w:b/>
                <w:bCs/>
                <w:snapToGrid w:val="0"/>
                <w:sz w:val="20"/>
              </w:rPr>
            </w:pPr>
            <w:r>
              <w:rPr>
                <w:b/>
                <w:bCs/>
                <w:snapToGrid w:val="0"/>
                <w:sz w:val="20"/>
              </w:rPr>
              <w:t>408 987</w:t>
            </w:r>
          </w:p>
        </w:tc>
        <w:tc>
          <w:tcPr>
            <w:tcW w:w="1139" w:type="dxa"/>
            <w:tcBorders>
              <w:right w:val="single" w:sz="4" w:space="0" w:color="auto"/>
            </w:tcBorders>
          </w:tcPr>
          <w:p w:rsidR="00000000" w:rsidRDefault="00000000">
            <w:pPr>
              <w:spacing w:before="2" w:after="2"/>
              <w:ind w:left="164" w:right="227" w:hanging="11"/>
              <w:jc w:val="right"/>
              <w:rPr>
                <w:b/>
                <w:bCs/>
                <w:snapToGrid w:val="0"/>
                <w:sz w:val="20"/>
              </w:rPr>
            </w:pPr>
            <w:r>
              <w:rPr>
                <w:b/>
                <w:bCs/>
                <w:snapToGrid w:val="0"/>
                <w:sz w:val="20"/>
              </w:rPr>
              <w:t>55 686</w:t>
            </w:r>
          </w:p>
        </w:tc>
        <w:tc>
          <w:tcPr>
            <w:tcW w:w="1092" w:type="dxa"/>
            <w:tcBorders>
              <w:right w:val="single" w:sz="4" w:space="0" w:color="auto"/>
            </w:tcBorders>
          </w:tcPr>
          <w:p w:rsidR="00000000" w:rsidRDefault="00000000">
            <w:pPr>
              <w:spacing w:before="2" w:after="2"/>
              <w:ind w:left="164" w:right="170" w:hanging="11"/>
              <w:jc w:val="right"/>
              <w:rPr>
                <w:b/>
                <w:bCs/>
                <w:snapToGrid w:val="0"/>
                <w:sz w:val="20"/>
              </w:rPr>
            </w:pPr>
            <w:r>
              <w:rPr>
                <w:b/>
                <w:bCs/>
                <w:snapToGrid w:val="0"/>
                <w:sz w:val="20"/>
              </w:rPr>
              <w:t>333 234</w:t>
            </w:r>
          </w:p>
        </w:tc>
        <w:tc>
          <w:tcPr>
            <w:tcW w:w="1107" w:type="dxa"/>
            <w:tcBorders>
              <w:right w:val="single" w:sz="4" w:space="0" w:color="auto"/>
            </w:tcBorders>
          </w:tcPr>
          <w:p w:rsidR="00000000" w:rsidRDefault="00000000">
            <w:pPr>
              <w:spacing w:before="2" w:after="2"/>
              <w:ind w:left="164" w:right="170" w:hanging="11"/>
              <w:jc w:val="right"/>
              <w:rPr>
                <w:b/>
                <w:bCs/>
                <w:snapToGrid w:val="0"/>
                <w:sz w:val="20"/>
              </w:rPr>
            </w:pPr>
            <w:r>
              <w:rPr>
                <w:b/>
                <w:bCs/>
                <w:snapToGrid w:val="0"/>
                <w:sz w:val="20"/>
              </w:rPr>
              <w:t>188 221</w:t>
            </w:r>
          </w:p>
        </w:tc>
        <w:tc>
          <w:tcPr>
            <w:tcW w:w="1109" w:type="dxa"/>
            <w:tcBorders>
              <w:right w:val="single" w:sz="4" w:space="0" w:color="auto"/>
            </w:tcBorders>
          </w:tcPr>
          <w:p w:rsidR="00000000" w:rsidRDefault="00000000">
            <w:pPr>
              <w:spacing w:before="2" w:after="2"/>
              <w:ind w:left="164" w:right="170" w:hanging="11"/>
              <w:jc w:val="right"/>
              <w:rPr>
                <w:b/>
                <w:bCs/>
                <w:snapToGrid w:val="0"/>
                <w:sz w:val="20"/>
              </w:rPr>
            </w:pPr>
            <w:r>
              <w:rPr>
                <w:b/>
                <w:bCs/>
                <w:snapToGrid w:val="0"/>
                <w:sz w:val="20"/>
              </w:rPr>
              <w:t>145 013</w:t>
            </w:r>
          </w:p>
        </w:tc>
        <w:tc>
          <w:tcPr>
            <w:tcW w:w="1070" w:type="dxa"/>
            <w:tcBorders>
              <w:right w:val="single" w:sz="4" w:space="0" w:color="auto"/>
            </w:tcBorders>
          </w:tcPr>
          <w:p w:rsidR="00000000" w:rsidRDefault="00000000">
            <w:pPr>
              <w:spacing w:before="2" w:after="2"/>
              <w:ind w:left="164" w:right="170" w:hanging="11"/>
              <w:jc w:val="right"/>
              <w:rPr>
                <w:b/>
                <w:bCs/>
                <w:snapToGrid w:val="0"/>
                <w:sz w:val="20"/>
              </w:rPr>
            </w:pPr>
            <w:r>
              <w:rPr>
                <w:b/>
                <w:bCs/>
                <w:snapToGrid w:val="0"/>
                <w:sz w:val="20"/>
              </w:rPr>
              <w:t>15 923</w:t>
            </w:r>
          </w:p>
        </w:tc>
        <w:tc>
          <w:tcPr>
            <w:tcW w:w="841" w:type="dxa"/>
            <w:tcBorders>
              <w:right w:val="single" w:sz="4" w:space="0" w:color="auto"/>
            </w:tcBorders>
          </w:tcPr>
          <w:p w:rsidR="00000000" w:rsidRDefault="00000000">
            <w:pPr>
              <w:spacing w:before="2" w:after="2"/>
              <w:ind w:left="164" w:right="170" w:hanging="11"/>
              <w:jc w:val="right"/>
              <w:rPr>
                <w:b/>
                <w:bCs/>
                <w:snapToGrid w:val="0"/>
                <w:sz w:val="20"/>
              </w:rPr>
            </w:pPr>
            <w:r>
              <w:rPr>
                <w:b/>
                <w:bCs/>
                <w:snapToGrid w:val="0"/>
                <w:sz w:val="20"/>
              </w:rPr>
              <w:t>4 144</w:t>
            </w:r>
          </w:p>
        </w:tc>
      </w:tr>
      <w:tr w:rsidR="00000000">
        <w:tblPrEx>
          <w:tblCellMar>
            <w:top w:w="0" w:type="dxa"/>
            <w:bottom w:w="0" w:type="dxa"/>
          </w:tblCellMar>
        </w:tblPrEx>
        <w:trPr>
          <w:trHeight w:val="139"/>
        </w:trPr>
        <w:tc>
          <w:tcPr>
            <w:tcW w:w="1058" w:type="dxa"/>
            <w:tcBorders>
              <w:left w:val="single" w:sz="4" w:space="0" w:color="auto"/>
              <w:bottom w:val="single" w:sz="4" w:space="0" w:color="auto"/>
              <w:right w:val="single" w:sz="4" w:space="0" w:color="auto"/>
            </w:tcBorders>
          </w:tcPr>
          <w:p w:rsidR="00000000" w:rsidRDefault="00000000">
            <w:pPr>
              <w:spacing w:after="2"/>
              <w:rPr>
                <w:b/>
                <w:bCs/>
                <w:snapToGrid w:val="0"/>
                <w:sz w:val="20"/>
              </w:rPr>
            </w:pPr>
          </w:p>
        </w:tc>
        <w:tc>
          <w:tcPr>
            <w:tcW w:w="843" w:type="dxa"/>
            <w:tcBorders>
              <w:bottom w:val="single" w:sz="4" w:space="0" w:color="auto"/>
              <w:right w:val="single" w:sz="4" w:space="0" w:color="auto"/>
            </w:tcBorders>
          </w:tcPr>
          <w:p w:rsidR="00000000" w:rsidRDefault="00000000">
            <w:pPr>
              <w:spacing w:before="2" w:after="2"/>
              <w:ind w:right="113"/>
              <w:jc w:val="center"/>
              <w:rPr>
                <w:b/>
                <w:bCs/>
                <w:snapToGrid w:val="0"/>
                <w:sz w:val="20"/>
              </w:rPr>
            </w:pPr>
            <w:r>
              <w:rPr>
                <w:b/>
                <w:bCs/>
                <w:snapToGrid w:val="0"/>
                <w:sz w:val="20"/>
              </w:rPr>
              <w:t>1999</w:t>
            </w:r>
          </w:p>
        </w:tc>
        <w:tc>
          <w:tcPr>
            <w:tcW w:w="1097" w:type="dxa"/>
            <w:tcBorders>
              <w:bottom w:val="single" w:sz="4" w:space="0" w:color="auto"/>
              <w:right w:val="single" w:sz="4" w:space="0" w:color="auto"/>
            </w:tcBorders>
          </w:tcPr>
          <w:p w:rsidR="00000000" w:rsidRDefault="00000000">
            <w:pPr>
              <w:spacing w:before="2" w:after="2"/>
              <w:ind w:left="164" w:right="170" w:hanging="11"/>
              <w:jc w:val="right"/>
              <w:rPr>
                <w:b/>
                <w:bCs/>
                <w:snapToGrid w:val="0"/>
                <w:sz w:val="20"/>
              </w:rPr>
            </w:pPr>
            <w:r>
              <w:rPr>
                <w:b/>
                <w:bCs/>
                <w:snapToGrid w:val="0"/>
                <w:sz w:val="20"/>
              </w:rPr>
              <w:t>393 946</w:t>
            </w:r>
          </w:p>
        </w:tc>
        <w:tc>
          <w:tcPr>
            <w:tcW w:w="1139" w:type="dxa"/>
            <w:tcBorders>
              <w:bottom w:val="single" w:sz="4" w:space="0" w:color="auto"/>
              <w:right w:val="single" w:sz="4" w:space="0" w:color="auto"/>
            </w:tcBorders>
          </w:tcPr>
          <w:p w:rsidR="00000000" w:rsidRDefault="00000000">
            <w:pPr>
              <w:spacing w:before="2" w:after="2"/>
              <w:ind w:left="164" w:right="227" w:hanging="11"/>
              <w:jc w:val="right"/>
              <w:rPr>
                <w:b/>
                <w:bCs/>
                <w:snapToGrid w:val="0"/>
                <w:sz w:val="20"/>
              </w:rPr>
            </w:pPr>
            <w:r>
              <w:rPr>
                <w:b/>
                <w:bCs/>
                <w:snapToGrid w:val="0"/>
                <w:sz w:val="20"/>
              </w:rPr>
              <w:t>48 948</w:t>
            </w:r>
          </w:p>
        </w:tc>
        <w:tc>
          <w:tcPr>
            <w:tcW w:w="1092" w:type="dxa"/>
            <w:tcBorders>
              <w:bottom w:val="single" w:sz="4" w:space="0" w:color="auto"/>
              <w:right w:val="single" w:sz="4" w:space="0" w:color="auto"/>
            </w:tcBorders>
          </w:tcPr>
          <w:p w:rsidR="00000000" w:rsidRDefault="00000000">
            <w:pPr>
              <w:spacing w:before="2" w:after="2"/>
              <w:ind w:left="164" w:right="170" w:hanging="11"/>
              <w:jc w:val="right"/>
              <w:rPr>
                <w:b/>
                <w:bCs/>
                <w:snapToGrid w:val="0"/>
                <w:sz w:val="20"/>
              </w:rPr>
            </w:pPr>
            <w:r>
              <w:rPr>
                <w:b/>
                <w:bCs/>
                <w:snapToGrid w:val="0"/>
                <w:sz w:val="20"/>
              </w:rPr>
              <w:t>324 728</w:t>
            </w:r>
          </w:p>
        </w:tc>
        <w:tc>
          <w:tcPr>
            <w:tcW w:w="1107" w:type="dxa"/>
            <w:tcBorders>
              <w:bottom w:val="single" w:sz="4" w:space="0" w:color="auto"/>
              <w:right w:val="single" w:sz="4" w:space="0" w:color="auto"/>
            </w:tcBorders>
          </w:tcPr>
          <w:p w:rsidR="00000000" w:rsidRDefault="00000000">
            <w:pPr>
              <w:spacing w:before="2" w:after="2"/>
              <w:ind w:left="164" w:right="170" w:hanging="11"/>
              <w:jc w:val="right"/>
              <w:rPr>
                <w:b/>
                <w:bCs/>
                <w:snapToGrid w:val="0"/>
                <w:sz w:val="20"/>
              </w:rPr>
            </w:pPr>
            <w:r>
              <w:rPr>
                <w:b/>
                <w:bCs/>
                <w:snapToGrid w:val="0"/>
                <w:sz w:val="20"/>
              </w:rPr>
              <w:t>187 211</w:t>
            </w:r>
          </w:p>
        </w:tc>
        <w:tc>
          <w:tcPr>
            <w:tcW w:w="1109" w:type="dxa"/>
            <w:tcBorders>
              <w:bottom w:val="single" w:sz="4" w:space="0" w:color="auto"/>
              <w:right w:val="single" w:sz="4" w:space="0" w:color="auto"/>
            </w:tcBorders>
          </w:tcPr>
          <w:p w:rsidR="00000000" w:rsidRDefault="00000000">
            <w:pPr>
              <w:spacing w:before="2" w:after="2"/>
              <w:ind w:left="164" w:right="170" w:hanging="11"/>
              <w:jc w:val="right"/>
              <w:rPr>
                <w:b/>
                <w:bCs/>
                <w:snapToGrid w:val="0"/>
                <w:sz w:val="20"/>
              </w:rPr>
            </w:pPr>
            <w:r>
              <w:rPr>
                <w:b/>
                <w:bCs/>
                <w:snapToGrid w:val="0"/>
                <w:sz w:val="20"/>
              </w:rPr>
              <w:t>137 517</w:t>
            </w:r>
          </w:p>
        </w:tc>
        <w:tc>
          <w:tcPr>
            <w:tcW w:w="1070" w:type="dxa"/>
            <w:tcBorders>
              <w:bottom w:val="single" w:sz="4" w:space="0" w:color="auto"/>
              <w:right w:val="single" w:sz="4" w:space="0" w:color="auto"/>
            </w:tcBorders>
          </w:tcPr>
          <w:p w:rsidR="00000000" w:rsidRDefault="00000000">
            <w:pPr>
              <w:spacing w:before="2" w:after="2"/>
              <w:ind w:left="164" w:right="170" w:hanging="11"/>
              <w:jc w:val="right"/>
              <w:rPr>
                <w:b/>
                <w:bCs/>
                <w:snapToGrid w:val="0"/>
                <w:sz w:val="20"/>
              </w:rPr>
            </w:pPr>
            <w:r>
              <w:rPr>
                <w:b/>
                <w:bCs/>
                <w:snapToGrid w:val="0"/>
                <w:sz w:val="20"/>
              </w:rPr>
              <w:t>16 347</w:t>
            </w:r>
          </w:p>
        </w:tc>
        <w:tc>
          <w:tcPr>
            <w:tcW w:w="841" w:type="dxa"/>
            <w:tcBorders>
              <w:bottom w:val="single" w:sz="4" w:space="0" w:color="auto"/>
              <w:right w:val="single" w:sz="4" w:space="0" w:color="auto"/>
            </w:tcBorders>
          </w:tcPr>
          <w:p w:rsidR="00000000" w:rsidRDefault="00000000">
            <w:pPr>
              <w:spacing w:before="2" w:after="2"/>
              <w:ind w:left="164" w:right="170" w:hanging="11"/>
              <w:jc w:val="right"/>
              <w:rPr>
                <w:b/>
                <w:bCs/>
                <w:snapToGrid w:val="0"/>
                <w:sz w:val="20"/>
              </w:rPr>
            </w:pPr>
            <w:r>
              <w:rPr>
                <w:b/>
                <w:bCs/>
                <w:snapToGrid w:val="0"/>
                <w:sz w:val="20"/>
              </w:rPr>
              <w:t>3 923</w:t>
            </w:r>
          </w:p>
        </w:tc>
      </w:tr>
      <w:tr w:rsidR="00000000">
        <w:tblPrEx>
          <w:tblCellMar>
            <w:top w:w="0" w:type="dxa"/>
            <w:bottom w:w="0" w:type="dxa"/>
          </w:tblCellMar>
        </w:tblPrEx>
        <w:trPr>
          <w:trHeight w:val="139"/>
        </w:trPr>
        <w:tc>
          <w:tcPr>
            <w:tcW w:w="1058" w:type="dxa"/>
            <w:tcBorders>
              <w:top w:val="single" w:sz="4" w:space="0" w:color="auto"/>
              <w:left w:val="single" w:sz="4" w:space="0" w:color="auto"/>
              <w:right w:val="single" w:sz="4" w:space="0" w:color="auto"/>
            </w:tcBorders>
          </w:tcPr>
          <w:p w:rsidR="00000000" w:rsidRDefault="00000000">
            <w:pPr>
              <w:spacing w:after="2"/>
              <w:rPr>
                <w:snapToGrid w:val="0"/>
                <w:sz w:val="20"/>
              </w:rPr>
            </w:pPr>
          </w:p>
        </w:tc>
        <w:tc>
          <w:tcPr>
            <w:tcW w:w="843" w:type="dxa"/>
            <w:tcBorders>
              <w:top w:val="single" w:sz="4" w:space="0" w:color="auto"/>
              <w:right w:val="single" w:sz="4" w:space="0" w:color="auto"/>
            </w:tcBorders>
          </w:tcPr>
          <w:p w:rsidR="00000000" w:rsidRDefault="00000000">
            <w:pPr>
              <w:spacing w:before="2" w:after="2"/>
              <w:ind w:right="113"/>
              <w:jc w:val="center"/>
              <w:rPr>
                <w:snapToGrid w:val="0"/>
                <w:sz w:val="20"/>
              </w:rPr>
            </w:pPr>
            <w:r>
              <w:rPr>
                <w:snapToGrid w:val="0"/>
                <w:sz w:val="20"/>
              </w:rPr>
              <w:t>1997</w:t>
            </w:r>
          </w:p>
        </w:tc>
        <w:tc>
          <w:tcPr>
            <w:tcW w:w="1097"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33 875</w:t>
            </w:r>
          </w:p>
        </w:tc>
        <w:tc>
          <w:tcPr>
            <w:tcW w:w="1139" w:type="dxa"/>
            <w:tcBorders>
              <w:top w:val="single" w:sz="4" w:space="0" w:color="auto"/>
              <w:right w:val="single" w:sz="4" w:space="0" w:color="auto"/>
            </w:tcBorders>
          </w:tcPr>
          <w:p w:rsidR="00000000" w:rsidRDefault="00000000">
            <w:pPr>
              <w:spacing w:before="2" w:after="2"/>
              <w:ind w:left="164" w:right="227" w:hanging="11"/>
              <w:jc w:val="right"/>
              <w:rPr>
                <w:snapToGrid w:val="0"/>
                <w:sz w:val="20"/>
              </w:rPr>
            </w:pPr>
            <w:r>
              <w:rPr>
                <w:snapToGrid w:val="0"/>
                <w:sz w:val="20"/>
              </w:rPr>
              <w:t>4 667</w:t>
            </w:r>
          </w:p>
        </w:tc>
        <w:tc>
          <w:tcPr>
            <w:tcW w:w="1092"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27 408</w:t>
            </w:r>
          </w:p>
        </w:tc>
        <w:tc>
          <w:tcPr>
            <w:tcW w:w="1107"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15 918</w:t>
            </w:r>
          </w:p>
        </w:tc>
        <w:tc>
          <w:tcPr>
            <w:tcW w:w="1109"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11 490</w:t>
            </w:r>
          </w:p>
        </w:tc>
        <w:tc>
          <w:tcPr>
            <w:tcW w:w="1070"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1 462</w:t>
            </w:r>
          </w:p>
        </w:tc>
        <w:tc>
          <w:tcPr>
            <w:tcW w:w="841"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338</w:t>
            </w:r>
          </w:p>
        </w:tc>
      </w:tr>
      <w:tr w:rsidR="00000000">
        <w:tblPrEx>
          <w:tblCellMar>
            <w:top w:w="0" w:type="dxa"/>
            <w:bottom w:w="0" w:type="dxa"/>
          </w:tblCellMar>
        </w:tblPrEx>
        <w:trPr>
          <w:trHeight w:val="139"/>
        </w:trPr>
        <w:tc>
          <w:tcPr>
            <w:tcW w:w="1058" w:type="dxa"/>
            <w:tcBorders>
              <w:left w:val="single" w:sz="4" w:space="0" w:color="auto"/>
              <w:right w:val="single" w:sz="4" w:space="0" w:color="auto"/>
            </w:tcBorders>
          </w:tcPr>
          <w:p w:rsidR="00000000" w:rsidRDefault="00000000">
            <w:pPr>
              <w:spacing w:after="2"/>
              <w:rPr>
                <w:snapToGrid w:val="0"/>
                <w:sz w:val="20"/>
              </w:rPr>
            </w:pPr>
            <w:r>
              <w:rPr>
                <w:snapToGrid w:val="0"/>
                <w:sz w:val="20"/>
              </w:rPr>
              <w:t>January</w:t>
            </w:r>
          </w:p>
        </w:tc>
        <w:tc>
          <w:tcPr>
            <w:tcW w:w="843" w:type="dxa"/>
            <w:tcBorders>
              <w:right w:val="single" w:sz="4" w:space="0" w:color="auto"/>
            </w:tcBorders>
          </w:tcPr>
          <w:p w:rsidR="00000000" w:rsidRDefault="00000000">
            <w:pPr>
              <w:spacing w:before="2" w:after="2"/>
              <w:ind w:right="113"/>
              <w:jc w:val="center"/>
              <w:rPr>
                <w:snapToGrid w:val="0"/>
                <w:sz w:val="20"/>
              </w:rPr>
            </w:pPr>
            <w:r>
              <w:rPr>
                <w:snapToGrid w:val="0"/>
                <w:sz w:val="20"/>
              </w:rPr>
              <w:t>1998</w:t>
            </w:r>
          </w:p>
        </w:tc>
        <w:tc>
          <w:tcPr>
            <w:tcW w:w="1097"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31 949</w:t>
            </w:r>
          </w:p>
        </w:tc>
        <w:tc>
          <w:tcPr>
            <w:tcW w:w="1139" w:type="dxa"/>
            <w:tcBorders>
              <w:right w:val="single" w:sz="4" w:space="0" w:color="auto"/>
            </w:tcBorders>
          </w:tcPr>
          <w:p w:rsidR="00000000" w:rsidRDefault="00000000">
            <w:pPr>
              <w:spacing w:before="2" w:after="2"/>
              <w:ind w:left="164" w:right="227" w:hanging="11"/>
              <w:jc w:val="right"/>
              <w:rPr>
                <w:snapToGrid w:val="0"/>
                <w:sz w:val="20"/>
              </w:rPr>
            </w:pPr>
            <w:r>
              <w:rPr>
                <w:snapToGrid w:val="0"/>
                <w:sz w:val="20"/>
              </w:rPr>
              <w:t>4 276</w:t>
            </w:r>
          </w:p>
        </w:tc>
        <w:tc>
          <w:tcPr>
            <w:tcW w:w="1092"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26 018</w:t>
            </w:r>
          </w:p>
        </w:tc>
        <w:tc>
          <w:tcPr>
            <w:tcW w:w="1107"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14 150</w:t>
            </w:r>
          </w:p>
        </w:tc>
        <w:tc>
          <w:tcPr>
            <w:tcW w:w="1109"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11 868</w:t>
            </w:r>
          </w:p>
        </w:tc>
        <w:tc>
          <w:tcPr>
            <w:tcW w:w="1070"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1 332</w:t>
            </w:r>
          </w:p>
        </w:tc>
        <w:tc>
          <w:tcPr>
            <w:tcW w:w="841"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323</w:t>
            </w:r>
          </w:p>
        </w:tc>
      </w:tr>
      <w:tr w:rsidR="00000000">
        <w:tblPrEx>
          <w:tblCellMar>
            <w:top w:w="0" w:type="dxa"/>
            <w:bottom w:w="0" w:type="dxa"/>
          </w:tblCellMar>
        </w:tblPrEx>
        <w:trPr>
          <w:trHeight w:val="139"/>
        </w:trPr>
        <w:tc>
          <w:tcPr>
            <w:tcW w:w="1058" w:type="dxa"/>
            <w:tcBorders>
              <w:left w:val="single" w:sz="4" w:space="0" w:color="auto"/>
              <w:bottom w:val="single" w:sz="4" w:space="0" w:color="auto"/>
              <w:right w:val="single" w:sz="4" w:space="0" w:color="auto"/>
            </w:tcBorders>
          </w:tcPr>
          <w:p w:rsidR="00000000" w:rsidRDefault="00000000">
            <w:pPr>
              <w:spacing w:after="2"/>
              <w:rPr>
                <w:snapToGrid w:val="0"/>
                <w:sz w:val="20"/>
              </w:rPr>
            </w:pPr>
          </w:p>
        </w:tc>
        <w:tc>
          <w:tcPr>
            <w:tcW w:w="843" w:type="dxa"/>
            <w:tcBorders>
              <w:bottom w:val="single" w:sz="4" w:space="0" w:color="auto"/>
              <w:right w:val="single" w:sz="4" w:space="0" w:color="auto"/>
            </w:tcBorders>
          </w:tcPr>
          <w:p w:rsidR="00000000" w:rsidRDefault="00000000">
            <w:pPr>
              <w:spacing w:before="2" w:after="2"/>
              <w:ind w:right="113"/>
              <w:jc w:val="center"/>
              <w:rPr>
                <w:snapToGrid w:val="0"/>
                <w:sz w:val="20"/>
              </w:rPr>
            </w:pPr>
            <w:r>
              <w:rPr>
                <w:snapToGrid w:val="0"/>
                <w:sz w:val="20"/>
              </w:rPr>
              <w:t>1999</w:t>
            </w:r>
          </w:p>
        </w:tc>
        <w:tc>
          <w:tcPr>
            <w:tcW w:w="1097"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28 940</w:t>
            </w:r>
          </w:p>
        </w:tc>
        <w:tc>
          <w:tcPr>
            <w:tcW w:w="1139" w:type="dxa"/>
            <w:tcBorders>
              <w:bottom w:val="single" w:sz="4" w:space="0" w:color="auto"/>
              <w:right w:val="single" w:sz="4" w:space="0" w:color="auto"/>
            </w:tcBorders>
          </w:tcPr>
          <w:p w:rsidR="00000000" w:rsidRDefault="00000000">
            <w:pPr>
              <w:spacing w:before="2" w:after="2"/>
              <w:ind w:left="164" w:right="227" w:hanging="11"/>
              <w:jc w:val="right"/>
              <w:rPr>
                <w:snapToGrid w:val="0"/>
                <w:sz w:val="20"/>
              </w:rPr>
            </w:pPr>
            <w:r>
              <w:rPr>
                <w:snapToGrid w:val="0"/>
                <w:sz w:val="20"/>
              </w:rPr>
              <w:t>3 172</w:t>
            </w:r>
          </w:p>
        </w:tc>
        <w:tc>
          <w:tcPr>
            <w:tcW w:w="1092"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23 957</w:t>
            </w:r>
          </w:p>
        </w:tc>
        <w:tc>
          <w:tcPr>
            <w:tcW w:w="1107"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13 245</w:t>
            </w:r>
          </w:p>
        </w:tc>
        <w:tc>
          <w:tcPr>
            <w:tcW w:w="1109"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10 712</w:t>
            </w:r>
          </w:p>
        </w:tc>
        <w:tc>
          <w:tcPr>
            <w:tcW w:w="1070"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1 467</w:t>
            </w:r>
          </w:p>
        </w:tc>
        <w:tc>
          <w:tcPr>
            <w:tcW w:w="841"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344</w:t>
            </w:r>
          </w:p>
        </w:tc>
      </w:tr>
      <w:tr w:rsidR="00000000">
        <w:tblPrEx>
          <w:tblCellMar>
            <w:top w:w="0" w:type="dxa"/>
            <w:bottom w:w="0" w:type="dxa"/>
          </w:tblCellMar>
        </w:tblPrEx>
        <w:trPr>
          <w:trHeight w:val="139"/>
        </w:trPr>
        <w:tc>
          <w:tcPr>
            <w:tcW w:w="1058" w:type="dxa"/>
            <w:tcBorders>
              <w:top w:val="single" w:sz="4" w:space="0" w:color="auto"/>
              <w:left w:val="single" w:sz="4" w:space="0" w:color="auto"/>
              <w:right w:val="single" w:sz="4" w:space="0" w:color="auto"/>
            </w:tcBorders>
          </w:tcPr>
          <w:p w:rsidR="00000000" w:rsidRDefault="00000000">
            <w:pPr>
              <w:spacing w:after="2"/>
              <w:rPr>
                <w:snapToGrid w:val="0"/>
                <w:sz w:val="20"/>
              </w:rPr>
            </w:pPr>
          </w:p>
        </w:tc>
        <w:tc>
          <w:tcPr>
            <w:tcW w:w="843" w:type="dxa"/>
            <w:tcBorders>
              <w:top w:val="single" w:sz="4" w:space="0" w:color="auto"/>
              <w:right w:val="single" w:sz="4" w:space="0" w:color="auto"/>
            </w:tcBorders>
          </w:tcPr>
          <w:p w:rsidR="00000000" w:rsidRDefault="00000000">
            <w:pPr>
              <w:spacing w:before="2" w:after="2"/>
              <w:ind w:right="113"/>
              <w:jc w:val="center"/>
              <w:rPr>
                <w:snapToGrid w:val="0"/>
                <w:sz w:val="20"/>
              </w:rPr>
            </w:pPr>
            <w:r>
              <w:rPr>
                <w:snapToGrid w:val="0"/>
                <w:sz w:val="20"/>
              </w:rPr>
              <w:t>1997</w:t>
            </w:r>
          </w:p>
        </w:tc>
        <w:tc>
          <w:tcPr>
            <w:tcW w:w="1097"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30 741</w:t>
            </w:r>
          </w:p>
        </w:tc>
        <w:tc>
          <w:tcPr>
            <w:tcW w:w="1139" w:type="dxa"/>
            <w:tcBorders>
              <w:top w:val="single" w:sz="4" w:space="0" w:color="auto"/>
              <w:right w:val="single" w:sz="4" w:space="0" w:color="auto"/>
            </w:tcBorders>
          </w:tcPr>
          <w:p w:rsidR="00000000" w:rsidRDefault="00000000">
            <w:pPr>
              <w:spacing w:before="2" w:after="2"/>
              <w:ind w:left="164" w:right="227" w:hanging="11"/>
              <w:jc w:val="right"/>
              <w:rPr>
                <w:snapToGrid w:val="0"/>
                <w:sz w:val="20"/>
              </w:rPr>
            </w:pPr>
            <w:r>
              <w:rPr>
                <w:snapToGrid w:val="0"/>
                <w:sz w:val="20"/>
              </w:rPr>
              <w:t>3 668</w:t>
            </w:r>
          </w:p>
        </w:tc>
        <w:tc>
          <w:tcPr>
            <w:tcW w:w="1092"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25 587</w:t>
            </w:r>
          </w:p>
        </w:tc>
        <w:tc>
          <w:tcPr>
            <w:tcW w:w="1107"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14 231</w:t>
            </w:r>
          </w:p>
        </w:tc>
        <w:tc>
          <w:tcPr>
            <w:tcW w:w="1109"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11 356</w:t>
            </w:r>
          </w:p>
        </w:tc>
        <w:tc>
          <w:tcPr>
            <w:tcW w:w="1070"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1 200</w:t>
            </w:r>
          </w:p>
        </w:tc>
        <w:tc>
          <w:tcPr>
            <w:tcW w:w="841"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286</w:t>
            </w:r>
          </w:p>
        </w:tc>
      </w:tr>
      <w:tr w:rsidR="00000000">
        <w:tblPrEx>
          <w:tblCellMar>
            <w:top w:w="0" w:type="dxa"/>
            <w:bottom w:w="0" w:type="dxa"/>
          </w:tblCellMar>
        </w:tblPrEx>
        <w:trPr>
          <w:trHeight w:val="139"/>
        </w:trPr>
        <w:tc>
          <w:tcPr>
            <w:tcW w:w="1058" w:type="dxa"/>
            <w:tcBorders>
              <w:left w:val="single" w:sz="4" w:space="0" w:color="auto"/>
              <w:right w:val="single" w:sz="4" w:space="0" w:color="auto"/>
            </w:tcBorders>
          </w:tcPr>
          <w:p w:rsidR="00000000" w:rsidRDefault="00000000">
            <w:pPr>
              <w:spacing w:after="2"/>
              <w:rPr>
                <w:snapToGrid w:val="0"/>
                <w:sz w:val="20"/>
              </w:rPr>
            </w:pPr>
            <w:r>
              <w:rPr>
                <w:snapToGrid w:val="0"/>
                <w:sz w:val="20"/>
              </w:rPr>
              <w:t>February</w:t>
            </w:r>
          </w:p>
        </w:tc>
        <w:tc>
          <w:tcPr>
            <w:tcW w:w="843" w:type="dxa"/>
            <w:tcBorders>
              <w:right w:val="single" w:sz="4" w:space="0" w:color="auto"/>
            </w:tcBorders>
          </w:tcPr>
          <w:p w:rsidR="00000000" w:rsidRDefault="00000000">
            <w:pPr>
              <w:spacing w:before="2" w:after="2"/>
              <w:ind w:right="113"/>
              <w:jc w:val="center"/>
              <w:rPr>
                <w:snapToGrid w:val="0"/>
                <w:sz w:val="20"/>
              </w:rPr>
            </w:pPr>
            <w:r>
              <w:rPr>
                <w:snapToGrid w:val="0"/>
                <w:sz w:val="20"/>
              </w:rPr>
              <w:t>1998</w:t>
            </w:r>
          </w:p>
        </w:tc>
        <w:tc>
          <w:tcPr>
            <w:tcW w:w="1097"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29 434</w:t>
            </w:r>
          </w:p>
        </w:tc>
        <w:tc>
          <w:tcPr>
            <w:tcW w:w="1139" w:type="dxa"/>
            <w:tcBorders>
              <w:right w:val="single" w:sz="4" w:space="0" w:color="auto"/>
            </w:tcBorders>
          </w:tcPr>
          <w:p w:rsidR="00000000" w:rsidRDefault="00000000">
            <w:pPr>
              <w:spacing w:before="2" w:after="2"/>
              <w:ind w:left="164" w:right="227" w:hanging="11"/>
              <w:jc w:val="right"/>
              <w:rPr>
                <w:snapToGrid w:val="0"/>
                <w:sz w:val="20"/>
              </w:rPr>
            </w:pPr>
            <w:r>
              <w:rPr>
                <w:snapToGrid w:val="0"/>
                <w:sz w:val="20"/>
              </w:rPr>
              <w:t>3 563</w:t>
            </w:r>
          </w:p>
        </w:tc>
        <w:tc>
          <w:tcPr>
            <w:tcW w:w="1092"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24 469</w:t>
            </w:r>
          </w:p>
        </w:tc>
        <w:tc>
          <w:tcPr>
            <w:tcW w:w="1107"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13 603</w:t>
            </w:r>
          </w:p>
        </w:tc>
        <w:tc>
          <w:tcPr>
            <w:tcW w:w="1109"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10 866</w:t>
            </w:r>
          </w:p>
        </w:tc>
        <w:tc>
          <w:tcPr>
            <w:tcW w:w="1070"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1 110</w:t>
            </w:r>
          </w:p>
        </w:tc>
        <w:tc>
          <w:tcPr>
            <w:tcW w:w="841"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292</w:t>
            </w:r>
          </w:p>
        </w:tc>
      </w:tr>
      <w:tr w:rsidR="00000000">
        <w:tblPrEx>
          <w:tblCellMar>
            <w:top w:w="0" w:type="dxa"/>
            <w:bottom w:w="0" w:type="dxa"/>
          </w:tblCellMar>
        </w:tblPrEx>
        <w:trPr>
          <w:trHeight w:val="139"/>
        </w:trPr>
        <w:tc>
          <w:tcPr>
            <w:tcW w:w="1058" w:type="dxa"/>
            <w:tcBorders>
              <w:left w:val="single" w:sz="4" w:space="0" w:color="auto"/>
              <w:bottom w:val="single" w:sz="4" w:space="0" w:color="auto"/>
              <w:right w:val="single" w:sz="4" w:space="0" w:color="auto"/>
            </w:tcBorders>
          </w:tcPr>
          <w:p w:rsidR="00000000" w:rsidRDefault="00000000">
            <w:pPr>
              <w:spacing w:after="2"/>
              <w:rPr>
                <w:snapToGrid w:val="0"/>
                <w:sz w:val="20"/>
              </w:rPr>
            </w:pPr>
          </w:p>
        </w:tc>
        <w:tc>
          <w:tcPr>
            <w:tcW w:w="843" w:type="dxa"/>
            <w:tcBorders>
              <w:bottom w:val="single" w:sz="4" w:space="0" w:color="auto"/>
              <w:right w:val="single" w:sz="4" w:space="0" w:color="auto"/>
            </w:tcBorders>
          </w:tcPr>
          <w:p w:rsidR="00000000" w:rsidRDefault="00000000">
            <w:pPr>
              <w:spacing w:before="2" w:after="2"/>
              <w:ind w:right="113"/>
              <w:jc w:val="center"/>
              <w:rPr>
                <w:snapToGrid w:val="0"/>
                <w:sz w:val="20"/>
              </w:rPr>
            </w:pPr>
            <w:r>
              <w:rPr>
                <w:snapToGrid w:val="0"/>
                <w:sz w:val="20"/>
              </w:rPr>
              <w:t>1999</w:t>
            </w:r>
          </w:p>
        </w:tc>
        <w:tc>
          <w:tcPr>
            <w:tcW w:w="1097"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30 753</w:t>
            </w:r>
          </w:p>
        </w:tc>
        <w:tc>
          <w:tcPr>
            <w:tcW w:w="1139" w:type="dxa"/>
            <w:tcBorders>
              <w:bottom w:val="single" w:sz="4" w:space="0" w:color="auto"/>
              <w:right w:val="single" w:sz="4" w:space="0" w:color="auto"/>
            </w:tcBorders>
          </w:tcPr>
          <w:p w:rsidR="00000000" w:rsidRDefault="00000000">
            <w:pPr>
              <w:spacing w:before="2" w:after="2"/>
              <w:ind w:left="164" w:right="227" w:hanging="11"/>
              <w:jc w:val="right"/>
              <w:rPr>
                <w:snapToGrid w:val="0"/>
                <w:sz w:val="20"/>
              </w:rPr>
            </w:pPr>
            <w:r>
              <w:rPr>
                <w:snapToGrid w:val="0"/>
                <w:sz w:val="20"/>
              </w:rPr>
              <w:t>3 355</w:t>
            </w:r>
          </w:p>
        </w:tc>
        <w:tc>
          <w:tcPr>
            <w:tcW w:w="1092"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25 855</w:t>
            </w:r>
          </w:p>
        </w:tc>
        <w:tc>
          <w:tcPr>
            <w:tcW w:w="1107"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15 749</w:t>
            </w:r>
          </w:p>
        </w:tc>
        <w:tc>
          <w:tcPr>
            <w:tcW w:w="1109"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10 106</w:t>
            </w:r>
          </w:p>
        </w:tc>
        <w:tc>
          <w:tcPr>
            <w:tcW w:w="1070"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1 191</w:t>
            </w:r>
          </w:p>
        </w:tc>
        <w:tc>
          <w:tcPr>
            <w:tcW w:w="841"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352</w:t>
            </w:r>
          </w:p>
        </w:tc>
      </w:tr>
      <w:tr w:rsidR="00000000">
        <w:tblPrEx>
          <w:tblCellMar>
            <w:top w:w="0" w:type="dxa"/>
            <w:bottom w:w="0" w:type="dxa"/>
          </w:tblCellMar>
        </w:tblPrEx>
        <w:trPr>
          <w:trHeight w:val="139"/>
        </w:trPr>
        <w:tc>
          <w:tcPr>
            <w:tcW w:w="1058" w:type="dxa"/>
            <w:tcBorders>
              <w:top w:val="single" w:sz="4" w:space="0" w:color="auto"/>
              <w:left w:val="single" w:sz="4" w:space="0" w:color="auto"/>
              <w:right w:val="single" w:sz="4" w:space="0" w:color="auto"/>
            </w:tcBorders>
          </w:tcPr>
          <w:p w:rsidR="00000000" w:rsidRDefault="00000000">
            <w:pPr>
              <w:spacing w:after="2"/>
              <w:rPr>
                <w:snapToGrid w:val="0"/>
                <w:sz w:val="20"/>
              </w:rPr>
            </w:pPr>
          </w:p>
        </w:tc>
        <w:tc>
          <w:tcPr>
            <w:tcW w:w="843" w:type="dxa"/>
            <w:tcBorders>
              <w:top w:val="single" w:sz="4" w:space="0" w:color="auto"/>
              <w:right w:val="single" w:sz="4" w:space="0" w:color="auto"/>
            </w:tcBorders>
          </w:tcPr>
          <w:p w:rsidR="00000000" w:rsidRDefault="00000000">
            <w:pPr>
              <w:spacing w:before="2" w:after="2"/>
              <w:ind w:right="113"/>
              <w:jc w:val="center"/>
              <w:rPr>
                <w:snapToGrid w:val="0"/>
                <w:sz w:val="20"/>
              </w:rPr>
            </w:pPr>
            <w:r>
              <w:rPr>
                <w:snapToGrid w:val="0"/>
                <w:sz w:val="20"/>
              </w:rPr>
              <w:t>1997</w:t>
            </w:r>
          </w:p>
        </w:tc>
        <w:tc>
          <w:tcPr>
            <w:tcW w:w="1097"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36 230</w:t>
            </w:r>
          </w:p>
        </w:tc>
        <w:tc>
          <w:tcPr>
            <w:tcW w:w="1139" w:type="dxa"/>
            <w:tcBorders>
              <w:top w:val="single" w:sz="4" w:space="0" w:color="auto"/>
              <w:right w:val="single" w:sz="4" w:space="0" w:color="auto"/>
            </w:tcBorders>
          </w:tcPr>
          <w:p w:rsidR="00000000" w:rsidRDefault="00000000">
            <w:pPr>
              <w:spacing w:before="2" w:after="2"/>
              <w:ind w:left="164" w:right="227" w:hanging="11"/>
              <w:jc w:val="right"/>
              <w:rPr>
                <w:snapToGrid w:val="0"/>
                <w:sz w:val="20"/>
              </w:rPr>
            </w:pPr>
            <w:r>
              <w:rPr>
                <w:snapToGrid w:val="0"/>
                <w:sz w:val="20"/>
              </w:rPr>
              <w:t>3 885</w:t>
            </w:r>
          </w:p>
        </w:tc>
        <w:tc>
          <w:tcPr>
            <w:tcW w:w="1092"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30 608</w:t>
            </w:r>
          </w:p>
        </w:tc>
        <w:tc>
          <w:tcPr>
            <w:tcW w:w="1107"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16 669</w:t>
            </w:r>
          </w:p>
        </w:tc>
        <w:tc>
          <w:tcPr>
            <w:tcW w:w="1109"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13 939</w:t>
            </w:r>
          </w:p>
        </w:tc>
        <w:tc>
          <w:tcPr>
            <w:tcW w:w="1070"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1 409</w:t>
            </w:r>
          </w:p>
        </w:tc>
        <w:tc>
          <w:tcPr>
            <w:tcW w:w="841"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328</w:t>
            </w:r>
          </w:p>
        </w:tc>
      </w:tr>
      <w:tr w:rsidR="00000000">
        <w:tblPrEx>
          <w:tblCellMar>
            <w:top w:w="0" w:type="dxa"/>
            <w:bottom w:w="0" w:type="dxa"/>
          </w:tblCellMar>
        </w:tblPrEx>
        <w:trPr>
          <w:trHeight w:val="139"/>
        </w:trPr>
        <w:tc>
          <w:tcPr>
            <w:tcW w:w="1058" w:type="dxa"/>
            <w:tcBorders>
              <w:left w:val="single" w:sz="4" w:space="0" w:color="auto"/>
              <w:right w:val="single" w:sz="4" w:space="0" w:color="auto"/>
            </w:tcBorders>
          </w:tcPr>
          <w:p w:rsidR="00000000" w:rsidRDefault="00000000">
            <w:pPr>
              <w:spacing w:after="2"/>
              <w:rPr>
                <w:snapToGrid w:val="0"/>
                <w:sz w:val="20"/>
              </w:rPr>
            </w:pPr>
            <w:r>
              <w:rPr>
                <w:snapToGrid w:val="0"/>
                <w:sz w:val="20"/>
              </w:rPr>
              <w:t>March</w:t>
            </w:r>
          </w:p>
        </w:tc>
        <w:tc>
          <w:tcPr>
            <w:tcW w:w="843" w:type="dxa"/>
            <w:tcBorders>
              <w:right w:val="single" w:sz="4" w:space="0" w:color="auto"/>
            </w:tcBorders>
          </w:tcPr>
          <w:p w:rsidR="00000000" w:rsidRDefault="00000000">
            <w:pPr>
              <w:spacing w:before="2" w:after="2"/>
              <w:ind w:right="113"/>
              <w:jc w:val="center"/>
              <w:rPr>
                <w:snapToGrid w:val="0"/>
                <w:sz w:val="20"/>
              </w:rPr>
            </w:pPr>
            <w:r>
              <w:rPr>
                <w:snapToGrid w:val="0"/>
                <w:sz w:val="20"/>
              </w:rPr>
              <w:t>1998</w:t>
            </w:r>
          </w:p>
        </w:tc>
        <w:tc>
          <w:tcPr>
            <w:tcW w:w="1097"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36 876</w:t>
            </w:r>
          </w:p>
        </w:tc>
        <w:tc>
          <w:tcPr>
            <w:tcW w:w="1139" w:type="dxa"/>
            <w:tcBorders>
              <w:right w:val="single" w:sz="4" w:space="0" w:color="auto"/>
            </w:tcBorders>
          </w:tcPr>
          <w:p w:rsidR="00000000" w:rsidRDefault="00000000">
            <w:pPr>
              <w:spacing w:before="2" w:after="2"/>
              <w:ind w:left="164" w:right="227" w:hanging="11"/>
              <w:jc w:val="right"/>
              <w:rPr>
                <w:snapToGrid w:val="0"/>
                <w:sz w:val="20"/>
              </w:rPr>
            </w:pPr>
            <w:r>
              <w:rPr>
                <w:snapToGrid w:val="0"/>
                <w:sz w:val="20"/>
              </w:rPr>
              <w:t>4 091</w:t>
            </w:r>
          </w:p>
        </w:tc>
        <w:tc>
          <w:tcPr>
            <w:tcW w:w="1092"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31 105</w:t>
            </w:r>
          </w:p>
        </w:tc>
        <w:tc>
          <w:tcPr>
            <w:tcW w:w="1107"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17 933</w:t>
            </w:r>
          </w:p>
        </w:tc>
        <w:tc>
          <w:tcPr>
            <w:tcW w:w="1109"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13 172</w:t>
            </w:r>
          </w:p>
        </w:tc>
        <w:tc>
          <w:tcPr>
            <w:tcW w:w="1070"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1 302</w:t>
            </w:r>
          </w:p>
        </w:tc>
        <w:tc>
          <w:tcPr>
            <w:tcW w:w="841"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378</w:t>
            </w:r>
          </w:p>
        </w:tc>
      </w:tr>
      <w:tr w:rsidR="00000000">
        <w:tblPrEx>
          <w:tblCellMar>
            <w:top w:w="0" w:type="dxa"/>
            <w:bottom w:w="0" w:type="dxa"/>
          </w:tblCellMar>
        </w:tblPrEx>
        <w:trPr>
          <w:trHeight w:val="139"/>
        </w:trPr>
        <w:tc>
          <w:tcPr>
            <w:tcW w:w="1058" w:type="dxa"/>
            <w:tcBorders>
              <w:left w:val="single" w:sz="4" w:space="0" w:color="auto"/>
              <w:bottom w:val="single" w:sz="4" w:space="0" w:color="auto"/>
              <w:right w:val="single" w:sz="4" w:space="0" w:color="auto"/>
            </w:tcBorders>
          </w:tcPr>
          <w:p w:rsidR="00000000" w:rsidRDefault="00000000">
            <w:pPr>
              <w:spacing w:after="2"/>
              <w:rPr>
                <w:snapToGrid w:val="0"/>
                <w:sz w:val="20"/>
              </w:rPr>
            </w:pPr>
          </w:p>
        </w:tc>
        <w:tc>
          <w:tcPr>
            <w:tcW w:w="843" w:type="dxa"/>
            <w:tcBorders>
              <w:bottom w:val="single" w:sz="4" w:space="0" w:color="auto"/>
              <w:right w:val="single" w:sz="4" w:space="0" w:color="auto"/>
            </w:tcBorders>
          </w:tcPr>
          <w:p w:rsidR="00000000" w:rsidRDefault="00000000">
            <w:pPr>
              <w:spacing w:before="2" w:after="2"/>
              <w:ind w:right="113"/>
              <w:jc w:val="center"/>
              <w:rPr>
                <w:snapToGrid w:val="0"/>
                <w:sz w:val="20"/>
              </w:rPr>
            </w:pPr>
            <w:r>
              <w:rPr>
                <w:snapToGrid w:val="0"/>
                <w:sz w:val="20"/>
              </w:rPr>
              <w:t>1999</w:t>
            </w:r>
          </w:p>
        </w:tc>
        <w:tc>
          <w:tcPr>
            <w:tcW w:w="1097"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35 815</w:t>
            </w:r>
          </w:p>
        </w:tc>
        <w:tc>
          <w:tcPr>
            <w:tcW w:w="1139" w:type="dxa"/>
            <w:tcBorders>
              <w:bottom w:val="single" w:sz="4" w:space="0" w:color="auto"/>
              <w:right w:val="single" w:sz="4" w:space="0" w:color="auto"/>
            </w:tcBorders>
          </w:tcPr>
          <w:p w:rsidR="00000000" w:rsidRDefault="00000000">
            <w:pPr>
              <w:spacing w:before="2" w:after="2"/>
              <w:ind w:left="164" w:right="227" w:hanging="11"/>
              <w:jc w:val="right"/>
              <w:rPr>
                <w:snapToGrid w:val="0"/>
                <w:sz w:val="20"/>
              </w:rPr>
            </w:pPr>
            <w:r>
              <w:rPr>
                <w:snapToGrid w:val="0"/>
                <w:sz w:val="20"/>
              </w:rPr>
              <w:t>4 589</w:t>
            </w:r>
          </w:p>
        </w:tc>
        <w:tc>
          <w:tcPr>
            <w:tcW w:w="1092"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29 551</w:t>
            </w:r>
          </w:p>
        </w:tc>
        <w:tc>
          <w:tcPr>
            <w:tcW w:w="1107"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17 018</w:t>
            </w:r>
          </w:p>
        </w:tc>
        <w:tc>
          <w:tcPr>
            <w:tcW w:w="1109"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12 533</w:t>
            </w:r>
          </w:p>
        </w:tc>
        <w:tc>
          <w:tcPr>
            <w:tcW w:w="1070"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1 350</w:t>
            </w:r>
          </w:p>
        </w:tc>
        <w:tc>
          <w:tcPr>
            <w:tcW w:w="841"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325</w:t>
            </w:r>
          </w:p>
        </w:tc>
      </w:tr>
      <w:tr w:rsidR="00000000">
        <w:tblPrEx>
          <w:tblCellMar>
            <w:top w:w="0" w:type="dxa"/>
            <w:bottom w:w="0" w:type="dxa"/>
          </w:tblCellMar>
        </w:tblPrEx>
        <w:trPr>
          <w:trHeight w:val="139"/>
        </w:trPr>
        <w:tc>
          <w:tcPr>
            <w:tcW w:w="1058" w:type="dxa"/>
            <w:tcBorders>
              <w:top w:val="single" w:sz="4" w:space="0" w:color="auto"/>
              <w:left w:val="single" w:sz="4" w:space="0" w:color="auto"/>
              <w:right w:val="single" w:sz="4" w:space="0" w:color="auto"/>
            </w:tcBorders>
          </w:tcPr>
          <w:p w:rsidR="00000000" w:rsidRDefault="00000000">
            <w:pPr>
              <w:spacing w:after="2"/>
              <w:rPr>
                <w:snapToGrid w:val="0"/>
                <w:sz w:val="20"/>
              </w:rPr>
            </w:pPr>
          </w:p>
        </w:tc>
        <w:tc>
          <w:tcPr>
            <w:tcW w:w="843" w:type="dxa"/>
            <w:tcBorders>
              <w:top w:val="single" w:sz="4" w:space="0" w:color="auto"/>
              <w:right w:val="single" w:sz="4" w:space="0" w:color="auto"/>
            </w:tcBorders>
          </w:tcPr>
          <w:p w:rsidR="00000000" w:rsidRDefault="00000000">
            <w:pPr>
              <w:spacing w:before="2" w:after="2"/>
              <w:ind w:right="113"/>
              <w:jc w:val="center"/>
              <w:rPr>
                <w:snapToGrid w:val="0"/>
                <w:sz w:val="20"/>
              </w:rPr>
            </w:pPr>
            <w:r>
              <w:rPr>
                <w:snapToGrid w:val="0"/>
                <w:sz w:val="20"/>
              </w:rPr>
              <w:t>1997</w:t>
            </w:r>
          </w:p>
        </w:tc>
        <w:tc>
          <w:tcPr>
            <w:tcW w:w="1097"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38 964</w:t>
            </w:r>
          </w:p>
        </w:tc>
        <w:tc>
          <w:tcPr>
            <w:tcW w:w="1139" w:type="dxa"/>
            <w:tcBorders>
              <w:top w:val="single" w:sz="4" w:space="0" w:color="auto"/>
              <w:right w:val="single" w:sz="4" w:space="0" w:color="auto"/>
            </w:tcBorders>
          </w:tcPr>
          <w:p w:rsidR="00000000" w:rsidRDefault="00000000">
            <w:pPr>
              <w:spacing w:before="2" w:after="2"/>
              <w:ind w:left="164" w:right="227" w:hanging="11"/>
              <w:jc w:val="right"/>
              <w:rPr>
                <w:snapToGrid w:val="0"/>
                <w:sz w:val="20"/>
              </w:rPr>
            </w:pPr>
            <w:r>
              <w:rPr>
                <w:snapToGrid w:val="0"/>
                <w:sz w:val="20"/>
              </w:rPr>
              <w:t>5 929</w:t>
            </w:r>
          </w:p>
        </w:tc>
        <w:tc>
          <w:tcPr>
            <w:tcW w:w="1092"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31 168</w:t>
            </w:r>
          </w:p>
        </w:tc>
        <w:tc>
          <w:tcPr>
            <w:tcW w:w="1107"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17 785</w:t>
            </w:r>
          </w:p>
        </w:tc>
        <w:tc>
          <w:tcPr>
            <w:tcW w:w="1109"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13 383</w:t>
            </w:r>
          </w:p>
        </w:tc>
        <w:tc>
          <w:tcPr>
            <w:tcW w:w="1070"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1 546</w:t>
            </w:r>
          </w:p>
        </w:tc>
        <w:tc>
          <w:tcPr>
            <w:tcW w:w="841"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321</w:t>
            </w:r>
          </w:p>
        </w:tc>
      </w:tr>
      <w:tr w:rsidR="00000000">
        <w:tblPrEx>
          <w:tblCellMar>
            <w:top w:w="0" w:type="dxa"/>
            <w:bottom w:w="0" w:type="dxa"/>
          </w:tblCellMar>
        </w:tblPrEx>
        <w:trPr>
          <w:trHeight w:val="139"/>
        </w:trPr>
        <w:tc>
          <w:tcPr>
            <w:tcW w:w="1058" w:type="dxa"/>
            <w:tcBorders>
              <w:left w:val="single" w:sz="4" w:space="0" w:color="auto"/>
              <w:right w:val="single" w:sz="4" w:space="0" w:color="auto"/>
            </w:tcBorders>
          </w:tcPr>
          <w:p w:rsidR="00000000" w:rsidRDefault="00000000">
            <w:pPr>
              <w:spacing w:after="2"/>
              <w:rPr>
                <w:snapToGrid w:val="0"/>
                <w:sz w:val="20"/>
              </w:rPr>
            </w:pPr>
            <w:r>
              <w:rPr>
                <w:snapToGrid w:val="0"/>
                <w:sz w:val="20"/>
              </w:rPr>
              <w:t>April</w:t>
            </w:r>
          </w:p>
        </w:tc>
        <w:tc>
          <w:tcPr>
            <w:tcW w:w="843" w:type="dxa"/>
            <w:tcBorders>
              <w:right w:val="single" w:sz="4" w:space="0" w:color="auto"/>
            </w:tcBorders>
          </w:tcPr>
          <w:p w:rsidR="00000000" w:rsidRDefault="00000000">
            <w:pPr>
              <w:spacing w:before="2" w:after="2"/>
              <w:ind w:right="113"/>
              <w:jc w:val="center"/>
              <w:rPr>
                <w:snapToGrid w:val="0"/>
                <w:sz w:val="20"/>
              </w:rPr>
            </w:pPr>
            <w:r>
              <w:rPr>
                <w:snapToGrid w:val="0"/>
                <w:sz w:val="20"/>
              </w:rPr>
              <w:t>1998</w:t>
            </w:r>
          </w:p>
        </w:tc>
        <w:tc>
          <w:tcPr>
            <w:tcW w:w="1097"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33 865</w:t>
            </w:r>
          </w:p>
        </w:tc>
        <w:tc>
          <w:tcPr>
            <w:tcW w:w="1139" w:type="dxa"/>
            <w:tcBorders>
              <w:right w:val="single" w:sz="4" w:space="0" w:color="auto"/>
            </w:tcBorders>
          </w:tcPr>
          <w:p w:rsidR="00000000" w:rsidRDefault="00000000">
            <w:pPr>
              <w:spacing w:before="2" w:after="2"/>
              <w:ind w:left="164" w:right="227" w:hanging="11"/>
              <w:jc w:val="right"/>
              <w:rPr>
                <w:snapToGrid w:val="0"/>
                <w:sz w:val="20"/>
              </w:rPr>
            </w:pPr>
            <w:r>
              <w:rPr>
                <w:snapToGrid w:val="0"/>
                <w:sz w:val="20"/>
              </w:rPr>
              <w:t>4 202</w:t>
            </w:r>
          </w:p>
        </w:tc>
        <w:tc>
          <w:tcPr>
            <w:tcW w:w="1092"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28 041</w:t>
            </w:r>
          </w:p>
        </w:tc>
        <w:tc>
          <w:tcPr>
            <w:tcW w:w="1107"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16 053</w:t>
            </w:r>
          </w:p>
        </w:tc>
        <w:tc>
          <w:tcPr>
            <w:tcW w:w="1109"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11 988</w:t>
            </w:r>
          </w:p>
        </w:tc>
        <w:tc>
          <w:tcPr>
            <w:tcW w:w="1070"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1 296</w:t>
            </w:r>
          </w:p>
        </w:tc>
        <w:tc>
          <w:tcPr>
            <w:tcW w:w="841"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326</w:t>
            </w:r>
          </w:p>
        </w:tc>
      </w:tr>
      <w:tr w:rsidR="00000000">
        <w:tblPrEx>
          <w:tblCellMar>
            <w:top w:w="0" w:type="dxa"/>
            <w:bottom w:w="0" w:type="dxa"/>
          </w:tblCellMar>
        </w:tblPrEx>
        <w:trPr>
          <w:trHeight w:val="139"/>
        </w:trPr>
        <w:tc>
          <w:tcPr>
            <w:tcW w:w="1058" w:type="dxa"/>
            <w:tcBorders>
              <w:left w:val="single" w:sz="4" w:space="0" w:color="auto"/>
              <w:bottom w:val="single" w:sz="4" w:space="0" w:color="auto"/>
              <w:right w:val="single" w:sz="4" w:space="0" w:color="auto"/>
            </w:tcBorders>
          </w:tcPr>
          <w:p w:rsidR="00000000" w:rsidRDefault="00000000">
            <w:pPr>
              <w:spacing w:after="2"/>
              <w:rPr>
                <w:snapToGrid w:val="0"/>
                <w:sz w:val="20"/>
              </w:rPr>
            </w:pPr>
          </w:p>
        </w:tc>
        <w:tc>
          <w:tcPr>
            <w:tcW w:w="843" w:type="dxa"/>
            <w:tcBorders>
              <w:bottom w:val="single" w:sz="4" w:space="0" w:color="auto"/>
              <w:right w:val="single" w:sz="4" w:space="0" w:color="auto"/>
            </w:tcBorders>
          </w:tcPr>
          <w:p w:rsidR="00000000" w:rsidRDefault="00000000">
            <w:pPr>
              <w:spacing w:before="2" w:after="2"/>
              <w:ind w:right="113"/>
              <w:jc w:val="center"/>
              <w:rPr>
                <w:snapToGrid w:val="0"/>
                <w:sz w:val="20"/>
              </w:rPr>
            </w:pPr>
            <w:r>
              <w:rPr>
                <w:snapToGrid w:val="0"/>
                <w:sz w:val="20"/>
              </w:rPr>
              <w:t>1999</w:t>
            </w:r>
          </w:p>
        </w:tc>
        <w:tc>
          <w:tcPr>
            <w:tcW w:w="1097"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30 737</w:t>
            </w:r>
          </w:p>
        </w:tc>
        <w:tc>
          <w:tcPr>
            <w:tcW w:w="1139" w:type="dxa"/>
            <w:tcBorders>
              <w:bottom w:val="single" w:sz="4" w:space="0" w:color="auto"/>
              <w:right w:val="single" w:sz="4" w:space="0" w:color="auto"/>
            </w:tcBorders>
          </w:tcPr>
          <w:p w:rsidR="00000000" w:rsidRDefault="00000000">
            <w:pPr>
              <w:spacing w:before="2" w:after="2"/>
              <w:ind w:left="164" w:right="227" w:hanging="11"/>
              <w:jc w:val="right"/>
              <w:rPr>
                <w:snapToGrid w:val="0"/>
                <w:sz w:val="20"/>
              </w:rPr>
            </w:pPr>
            <w:r>
              <w:rPr>
                <w:snapToGrid w:val="0"/>
                <w:sz w:val="20"/>
              </w:rPr>
              <w:t>3 617</w:t>
            </w:r>
          </w:p>
        </w:tc>
        <w:tc>
          <w:tcPr>
            <w:tcW w:w="1092"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25 465</w:t>
            </w:r>
          </w:p>
        </w:tc>
        <w:tc>
          <w:tcPr>
            <w:tcW w:w="1107"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14 450</w:t>
            </w:r>
          </w:p>
        </w:tc>
        <w:tc>
          <w:tcPr>
            <w:tcW w:w="1109"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11 015</w:t>
            </w:r>
          </w:p>
        </w:tc>
        <w:tc>
          <w:tcPr>
            <w:tcW w:w="1070"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1 322</w:t>
            </w:r>
          </w:p>
        </w:tc>
        <w:tc>
          <w:tcPr>
            <w:tcW w:w="841"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333</w:t>
            </w:r>
          </w:p>
        </w:tc>
      </w:tr>
      <w:tr w:rsidR="00000000">
        <w:tblPrEx>
          <w:tblCellMar>
            <w:top w:w="0" w:type="dxa"/>
            <w:bottom w:w="0" w:type="dxa"/>
          </w:tblCellMar>
        </w:tblPrEx>
        <w:trPr>
          <w:trHeight w:val="139"/>
        </w:trPr>
        <w:tc>
          <w:tcPr>
            <w:tcW w:w="1058" w:type="dxa"/>
            <w:tcBorders>
              <w:top w:val="single" w:sz="4" w:space="0" w:color="auto"/>
              <w:left w:val="single" w:sz="4" w:space="0" w:color="auto"/>
              <w:right w:val="single" w:sz="4" w:space="0" w:color="auto"/>
            </w:tcBorders>
          </w:tcPr>
          <w:p w:rsidR="00000000" w:rsidRDefault="00000000">
            <w:pPr>
              <w:spacing w:after="2"/>
              <w:rPr>
                <w:snapToGrid w:val="0"/>
                <w:sz w:val="20"/>
              </w:rPr>
            </w:pPr>
          </w:p>
        </w:tc>
        <w:tc>
          <w:tcPr>
            <w:tcW w:w="843" w:type="dxa"/>
            <w:tcBorders>
              <w:top w:val="single" w:sz="4" w:space="0" w:color="auto"/>
              <w:right w:val="single" w:sz="4" w:space="0" w:color="auto"/>
            </w:tcBorders>
          </w:tcPr>
          <w:p w:rsidR="00000000" w:rsidRDefault="00000000">
            <w:pPr>
              <w:spacing w:before="2" w:after="2"/>
              <w:ind w:right="113"/>
              <w:jc w:val="center"/>
              <w:rPr>
                <w:snapToGrid w:val="0"/>
                <w:sz w:val="20"/>
              </w:rPr>
            </w:pPr>
            <w:r>
              <w:rPr>
                <w:snapToGrid w:val="0"/>
                <w:sz w:val="20"/>
              </w:rPr>
              <w:t>1997</w:t>
            </w:r>
          </w:p>
        </w:tc>
        <w:tc>
          <w:tcPr>
            <w:tcW w:w="1097"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36 899</w:t>
            </w:r>
          </w:p>
        </w:tc>
        <w:tc>
          <w:tcPr>
            <w:tcW w:w="1139" w:type="dxa"/>
            <w:tcBorders>
              <w:top w:val="single" w:sz="4" w:space="0" w:color="auto"/>
              <w:right w:val="single" w:sz="4" w:space="0" w:color="auto"/>
            </w:tcBorders>
          </w:tcPr>
          <w:p w:rsidR="00000000" w:rsidRDefault="00000000">
            <w:pPr>
              <w:spacing w:before="2" w:after="2"/>
              <w:ind w:left="164" w:right="227" w:hanging="11"/>
              <w:jc w:val="right"/>
              <w:rPr>
                <w:snapToGrid w:val="0"/>
                <w:sz w:val="20"/>
              </w:rPr>
            </w:pPr>
            <w:r>
              <w:rPr>
                <w:snapToGrid w:val="0"/>
                <w:sz w:val="20"/>
              </w:rPr>
              <w:t>5 144</w:t>
            </w:r>
          </w:p>
        </w:tc>
        <w:tc>
          <w:tcPr>
            <w:tcW w:w="1092"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29 983</w:t>
            </w:r>
          </w:p>
        </w:tc>
        <w:tc>
          <w:tcPr>
            <w:tcW w:w="1107"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16 590</w:t>
            </w:r>
          </w:p>
        </w:tc>
        <w:tc>
          <w:tcPr>
            <w:tcW w:w="1109"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13 393</w:t>
            </w:r>
          </w:p>
        </w:tc>
        <w:tc>
          <w:tcPr>
            <w:tcW w:w="1070"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1 465</w:t>
            </w:r>
          </w:p>
        </w:tc>
        <w:tc>
          <w:tcPr>
            <w:tcW w:w="841"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307</w:t>
            </w:r>
          </w:p>
        </w:tc>
      </w:tr>
      <w:tr w:rsidR="00000000">
        <w:tblPrEx>
          <w:tblCellMar>
            <w:top w:w="0" w:type="dxa"/>
            <w:bottom w:w="0" w:type="dxa"/>
          </w:tblCellMar>
        </w:tblPrEx>
        <w:trPr>
          <w:trHeight w:val="139"/>
        </w:trPr>
        <w:tc>
          <w:tcPr>
            <w:tcW w:w="1058" w:type="dxa"/>
            <w:tcBorders>
              <w:left w:val="single" w:sz="4" w:space="0" w:color="auto"/>
              <w:right w:val="single" w:sz="4" w:space="0" w:color="auto"/>
            </w:tcBorders>
          </w:tcPr>
          <w:p w:rsidR="00000000" w:rsidRDefault="00000000">
            <w:pPr>
              <w:spacing w:after="2"/>
              <w:rPr>
                <w:snapToGrid w:val="0"/>
                <w:sz w:val="20"/>
              </w:rPr>
            </w:pPr>
            <w:r>
              <w:rPr>
                <w:snapToGrid w:val="0"/>
                <w:sz w:val="20"/>
              </w:rPr>
              <w:t>May</w:t>
            </w:r>
          </w:p>
        </w:tc>
        <w:tc>
          <w:tcPr>
            <w:tcW w:w="843" w:type="dxa"/>
            <w:tcBorders>
              <w:right w:val="single" w:sz="4" w:space="0" w:color="auto"/>
            </w:tcBorders>
          </w:tcPr>
          <w:p w:rsidR="00000000" w:rsidRDefault="00000000">
            <w:pPr>
              <w:spacing w:before="2" w:after="2"/>
              <w:ind w:right="113"/>
              <w:jc w:val="center"/>
              <w:rPr>
                <w:snapToGrid w:val="0"/>
                <w:sz w:val="20"/>
              </w:rPr>
            </w:pPr>
            <w:r>
              <w:rPr>
                <w:snapToGrid w:val="0"/>
                <w:sz w:val="20"/>
              </w:rPr>
              <w:t>1998</w:t>
            </w:r>
          </w:p>
        </w:tc>
        <w:tc>
          <w:tcPr>
            <w:tcW w:w="1097"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37 793</w:t>
            </w:r>
          </w:p>
        </w:tc>
        <w:tc>
          <w:tcPr>
            <w:tcW w:w="1139" w:type="dxa"/>
            <w:tcBorders>
              <w:right w:val="single" w:sz="4" w:space="0" w:color="auto"/>
            </w:tcBorders>
          </w:tcPr>
          <w:p w:rsidR="00000000" w:rsidRDefault="00000000">
            <w:pPr>
              <w:spacing w:before="2" w:after="2"/>
              <w:ind w:left="164" w:right="227" w:hanging="11"/>
              <w:jc w:val="right"/>
              <w:rPr>
                <w:snapToGrid w:val="0"/>
                <w:sz w:val="20"/>
              </w:rPr>
            </w:pPr>
            <w:r>
              <w:rPr>
                <w:snapToGrid w:val="0"/>
                <w:sz w:val="20"/>
              </w:rPr>
              <w:t>8 873</w:t>
            </w:r>
          </w:p>
        </w:tc>
        <w:tc>
          <w:tcPr>
            <w:tcW w:w="1092"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27 079</w:t>
            </w:r>
          </w:p>
        </w:tc>
        <w:tc>
          <w:tcPr>
            <w:tcW w:w="1107"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14 772</w:t>
            </w:r>
          </w:p>
        </w:tc>
        <w:tc>
          <w:tcPr>
            <w:tcW w:w="1109"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12 307</w:t>
            </w:r>
          </w:p>
        </w:tc>
        <w:tc>
          <w:tcPr>
            <w:tcW w:w="1070"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1 461</w:t>
            </w:r>
          </w:p>
        </w:tc>
        <w:tc>
          <w:tcPr>
            <w:tcW w:w="841"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380</w:t>
            </w:r>
          </w:p>
        </w:tc>
      </w:tr>
      <w:tr w:rsidR="00000000">
        <w:tblPrEx>
          <w:tblCellMar>
            <w:top w:w="0" w:type="dxa"/>
            <w:bottom w:w="0" w:type="dxa"/>
          </w:tblCellMar>
        </w:tblPrEx>
        <w:trPr>
          <w:trHeight w:val="139"/>
        </w:trPr>
        <w:tc>
          <w:tcPr>
            <w:tcW w:w="1058" w:type="dxa"/>
            <w:tcBorders>
              <w:left w:val="single" w:sz="4" w:space="0" w:color="auto"/>
              <w:bottom w:val="single" w:sz="4" w:space="0" w:color="auto"/>
              <w:right w:val="single" w:sz="4" w:space="0" w:color="auto"/>
            </w:tcBorders>
          </w:tcPr>
          <w:p w:rsidR="00000000" w:rsidRDefault="00000000">
            <w:pPr>
              <w:spacing w:after="2"/>
              <w:rPr>
                <w:snapToGrid w:val="0"/>
                <w:sz w:val="20"/>
              </w:rPr>
            </w:pPr>
          </w:p>
        </w:tc>
        <w:tc>
          <w:tcPr>
            <w:tcW w:w="843" w:type="dxa"/>
            <w:tcBorders>
              <w:bottom w:val="single" w:sz="4" w:space="0" w:color="auto"/>
              <w:right w:val="single" w:sz="4" w:space="0" w:color="auto"/>
            </w:tcBorders>
          </w:tcPr>
          <w:p w:rsidR="00000000" w:rsidRDefault="00000000">
            <w:pPr>
              <w:spacing w:before="2" w:after="2"/>
              <w:ind w:right="113"/>
              <w:jc w:val="center"/>
              <w:rPr>
                <w:snapToGrid w:val="0"/>
                <w:sz w:val="20"/>
              </w:rPr>
            </w:pPr>
            <w:r>
              <w:rPr>
                <w:snapToGrid w:val="0"/>
                <w:sz w:val="20"/>
              </w:rPr>
              <w:t>1999</w:t>
            </w:r>
          </w:p>
        </w:tc>
        <w:tc>
          <w:tcPr>
            <w:tcW w:w="1097"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34 901</w:t>
            </w:r>
          </w:p>
        </w:tc>
        <w:tc>
          <w:tcPr>
            <w:tcW w:w="1139" w:type="dxa"/>
            <w:tcBorders>
              <w:bottom w:val="single" w:sz="4" w:space="0" w:color="auto"/>
              <w:right w:val="single" w:sz="4" w:space="0" w:color="auto"/>
            </w:tcBorders>
          </w:tcPr>
          <w:p w:rsidR="00000000" w:rsidRDefault="00000000">
            <w:pPr>
              <w:spacing w:before="2" w:after="2"/>
              <w:ind w:left="164" w:right="227" w:hanging="11"/>
              <w:jc w:val="right"/>
              <w:rPr>
                <w:snapToGrid w:val="0"/>
                <w:sz w:val="20"/>
              </w:rPr>
            </w:pPr>
            <w:r>
              <w:rPr>
                <w:snapToGrid w:val="0"/>
                <w:sz w:val="20"/>
              </w:rPr>
              <w:t>4 607</w:t>
            </w:r>
          </w:p>
        </w:tc>
        <w:tc>
          <w:tcPr>
            <w:tcW w:w="1092"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28 432</w:t>
            </w:r>
          </w:p>
        </w:tc>
        <w:tc>
          <w:tcPr>
            <w:tcW w:w="1107"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16 386</w:t>
            </w:r>
          </w:p>
        </w:tc>
        <w:tc>
          <w:tcPr>
            <w:tcW w:w="1109"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12 046</w:t>
            </w:r>
          </w:p>
        </w:tc>
        <w:tc>
          <w:tcPr>
            <w:tcW w:w="1070"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1 503</w:t>
            </w:r>
          </w:p>
        </w:tc>
        <w:tc>
          <w:tcPr>
            <w:tcW w:w="841"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359</w:t>
            </w:r>
          </w:p>
        </w:tc>
      </w:tr>
      <w:tr w:rsidR="00000000">
        <w:tblPrEx>
          <w:tblCellMar>
            <w:top w:w="0" w:type="dxa"/>
            <w:bottom w:w="0" w:type="dxa"/>
          </w:tblCellMar>
        </w:tblPrEx>
        <w:trPr>
          <w:trHeight w:val="139"/>
        </w:trPr>
        <w:tc>
          <w:tcPr>
            <w:tcW w:w="1058" w:type="dxa"/>
            <w:tcBorders>
              <w:top w:val="single" w:sz="4" w:space="0" w:color="auto"/>
              <w:left w:val="single" w:sz="4" w:space="0" w:color="auto"/>
              <w:right w:val="single" w:sz="4" w:space="0" w:color="auto"/>
            </w:tcBorders>
          </w:tcPr>
          <w:p w:rsidR="00000000" w:rsidRDefault="00000000">
            <w:pPr>
              <w:spacing w:after="2"/>
              <w:rPr>
                <w:snapToGrid w:val="0"/>
                <w:sz w:val="20"/>
              </w:rPr>
            </w:pPr>
          </w:p>
        </w:tc>
        <w:tc>
          <w:tcPr>
            <w:tcW w:w="843" w:type="dxa"/>
            <w:tcBorders>
              <w:top w:val="single" w:sz="4" w:space="0" w:color="auto"/>
              <w:right w:val="single" w:sz="4" w:space="0" w:color="auto"/>
            </w:tcBorders>
          </w:tcPr>
          <w:p w:rsidR="00000000" w:rsidRDefault="00000000">
            <w:pPr>
              <w:spacing w:before="2" w:after="2"/>
              <w:ind w:right="113"/>
              <w:jc w:val="center"/>
              <w:rPr>
                <w:snapToGrid w:val="0"/>
                <w:sz w:val="20"/>
              </w:rPr>
            </w:pPr>
            <w:r>
              <w:rPr>
                <w:snapToGrid w:val="0"/>
                <w:sz w:val="20"/>
              </w:rPr>
              <w:t>1997</w:t>
            </w:r>
          </w:p>
        </w:tc>
        <w:tc>
          <w:tcPr>
            <w:tcW w:w="1097"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37 540</w:t>
            </w:r>
          </w:p>
        </w:tc>
        <w:tc>
          <w:tcPr>
            <w:tcW w:w="1139" w:type="dxa"/>
            <w:tcBorders>
              <w:top w:val="single" w:sz="4" w:space="0" w:color="auto"/>
              <w:right w:val="single" w:sz="4" w:space="0" w:color="auto"/>
            </w:tcBorders>
          </w:tcPr>
          <w:p w:rsidR="00000000" w:rsidRDefault="00000000">
            <w:pPr>
              <w:spacing w:before="2" w:after="2"/>
              <w:ind w:left="164" w:right="227" w:hanging="11"/>
              <w:jc w:val="right"/>
              <w:rPr>
                <w:snapToGrid w:val="0"/>
                <w:sz w:val="20"/>
              </w:rPr>
            </w:pPr>
            <w:r>
              <w:rPr>
                <w:snapToGrid w:val="0"/>
                <w:sz w:val="20"/>
              </w:rPr>
              <w:t>4 700</w:t>
            </w:r>
          </w:p>
        </w:tc>
        <w:tc>
          <w:tcPr>
            <w:tcW w:w="1092"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31 066</w:t>
            </w:r>
          </w:p>
        </w:tc>
        <w:tc>
          <w:tcPr>
            <w:tcW w:w="1107"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18 486</w:t>
            </w:r>
          </w:p>
        </w:tc>
        <w:tc>
          <w:tcPr>
            <w:tcW w:w="1109"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12 580</w:t>
            </w:r>
          </w:p>
        </w:tc>
        <w:tc>
          <w:tcPr>
            <w:tcW w:w="1070"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1 464</w:t>
            </w:r>
          </w:p>
        </w:tc>
        <w:tc>
          <w:tcPr>
            <w:tcW w:w="841"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310</w:t>
            </w:r>
          </w:p>
        </w:tc>
      </w:tr>
      <w:tr w:rsidR="00000000">
        <w:tblPrEx>
          <w:tblCellMar>
            <w:top w:w="0" w:type="dxa"/>
            <w:bottom w:w="0" w:type="dxa"/>
          </w:tblCellMar>
        </w:tblPrEx>
        <w:trPr>
          <w:trHeight w:val="139"/>
        </w:trPr>
        <w:tc>
          <w:tcPr>
            <w:tcW w:w="1058" w:type="dxa"/>
            <w:tcBorders>
              <w:left w:val="single" w:sz="4" w:space="0" w:color="auto"/>
              <w:right w:val="single" w:sz="4" w:space="0" w:color="auto"/>
            </w:tcBorders>
          </w:tcPr>
          <w:p w:rsidR="00000000" w:rsidRDefault="00000000">
            <w:pPr>
              <w:spacing w:after="2"/>
              <w:rPr>
                <w:snapToGrid w:val="0"/>
                <w:sz w:val="20"/>
              </w:rPr>
            </w:pPr>
            <w:r>
              <w:rPr>
                <w:snapToGrid w:val="0"/>
                <w:sz w:val="20"/>
              </w:rPr>
              <w:t>June</w:t>
            </w:r>
          </w:p>
        </w:tc>
        <w:tc>
          <w:tcPr>
            <w:tcW w:w="843" w:type="dxa"/>
            <w:tcBorders>
              <w:right w:val="single" w:sz="4" w:space="0" w:color="auto"/>
            </w:tcBorders>
          </w:tcPr>
          <w:p w:rsidR="00000000" w:rsidRDefault="00000000">
            <w:pPr>
              <w:spacing w:before="2" w:after="2"/>
              <w:ind w:right="113"/>
              <w:jc w:val="center"/>
              <w:rPr>
                <w:snapToGrid w:val="0"/>
                <w:sz w:val="20"/>
              </w:rPr>
            </w:pPr>
            <w:r>
              <w:rPr>
                <w:snapToGrid w:val="0"/>
                <w:sz w:val="20"/>
              </w:rPr>
              <w:t>1998</w:t>
            </w:r>
          </w:p>
        </w:tc>
        <w:tc>
          <w:tcPr>
            <w:tcW w:w="1097"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34 197</w:t>
            </w:r>
          </w:p>
        </w:tc>
        <w:tc>
          <w:tcPr>
            <w:tcW w:w="1139" w:type="dxa"/>
            <w:tcBorders>
              <w:right w:val="single" w:sz="4" w:space="0" w:color="auto"/>
            </w:tcBorders>
          </w:tcPr>
          <w:p w:rsidR="00000000" w:rsidRDefault="00000000">
            <w:pPr>
              <w:spacing w:before="2" w:after="2"/>
              <w:ind w:left="164" w:right="227" w:hanging="11"/>
              <w:jc w:val="right"/>
              <w:rPr>
                <w:snapToGrid w:val="0"/>
                <w:sz w:val="20"/>
              </w:rPr>
            </w:pPr>
            <w:r>
              <w:rPr>
                <w:snapToGrid w:val="0"/>
                <w:sz w:val="20"/>
              </w:rPr>
              <w:t>4 493</w:t>
            </w:r>
          </w:p>
        </w:tc>
        <w:tc>
          <w:tcPr>
            <w:tcW w:w="1092"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27 649</w:t>
            </w:r>
          </w:p>
        </w:tc>
        <w:tc>
          <w:tcPr>
            <w:tcW w:w="1107"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15 501</w:t>
            </w:r>
          </w:p>
        </w:tc>
        <w:tc>
          <w:tcPr>
            <w:tcW w:w="1109"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12 148</w:t>
            </w:r>
          </w:p>
        </w:tc>
        <w:tc>
          <w:tcPr>
            <w:tcW w:w="1070"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1 693</w:t>
            </w:r>
          </w:p>
        </w:tc>
        <w:tc>
          <w:tcPr>
            <w:tcW w:w="841"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362</w:t>
            </w:r>
          </w:p>
        </w:tc>
      </w:tr>
      <w:tr w:rsidR="00000000">
        <w:tblPrEx>
          <w:tblCellMar>
            <w:top w:w="0" w:type="dxa"/>
            <w:bottom w:w="0" w:type="dxa"/>
          </w:tblCellMar>
        </w:tblPrEx>
        <w:trPr>
          <w:trHeight w:val="139"/>
        </w:trPr>
        <w:tc>
          <w:tcPr>
            <w:tcW w:w="1058" w:type="dxa"/>
            <w:tcBorders>
              <w:left w:val="single" w:sz="4" w:space="0" w:color="auto"/>
              <w:bottom w:val="single" w:sz="4" w:space="0" w:color="auto"/>
              <w:right w:val="single" w:sz="4" w:space="0" w:color="auto"/>
            </w:tcBorders>
          </w:tcPr>
          <w:p w:rsidR="00000000" w:rsidRDefault="00000000">
            <w:pPr>
              <w:spacing w:after="2"/>
              <w:rPr>
                <w:snapToGrid w:val="0"/>
                <w:sz w:val="20"/>
              </w:rPr>
            </w:pPr>
          </w:p>
        </w:tc>
        <w:tc>
          <w:tcPr>
            <w:tcW w:w="843" w:type="dxa"/>
            <w:tcBorders>
              <w:bottom w:val="single" w:sz="4" w:space="0" w:color="auto"/>
              <w:right w:val="single" w:sz="4" w:space="0" w:color="auto"/>
            </w:tcBorders>
          </w:tcPr>
          <w:p w:rsidR="00000000" w:rsidRDefault="00000000">
            <w:pPr>
              <w:spacing w:before="2" w:after="2"/>
              <w:ind w:right="113"/>
              <w:jc w:val="center"/>
              <w:rPr>
                <w:snapToGrid w:val="0"/>
                <w:sz w:val="20"/>
              </w:rPr>
            </w:pPr>
            <w:r>
              <w:rPr>
                <w:snapToGrid w:val="0"/>
                <w:sz w:val="20"/>
              </w:rPr>
              <w:t>1999</w:t>
            </w:r>
          </w:p>
        </w:tc>
        <w:tc>
          <w:tcPr>
            <w:tcW w:w="1097"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34 561</w:t>
            </w:r>
          </w:p>
        </w:tc>
        <w:tc>
          <w:tcPr>
            <w:tcW w:w="1139" w:type="dxa"/>
            <w:tcBorders>
              <w:bottom w:val="single" w:sz="4" w:space="0" w:color="auto"/>
              <w:right w:val="single" w:sz="4" w:space="0" w:color="auto"/>
            </w:tcBorders>
          </w:tcPr>
          <w:p w:rsidR="00000000" w:rsidRDefault="00000000">
            <w:pPr>
              <w:spacing w:before="2" w:after="2"/>
              <w:ind w:left="164" w:right="227" w:hanging="11"/>
              <w:jc w:val="right"/>
              <w:rPr>
                <w:snapToGrid w:val="0"/>
                <w:sz w:val="20"/>
              </w:rPr>
            </w:pPr>
            <w:r>
              <w:rPr>
                <w:snapToGrid w:val="0"/>
                <w:sz w:val="20"/>
              </w:rPr>
              <w:t>3 853</w:t>
            </w:r>
          </w:p>
        </w:tc>
        <w:tc>
          <w:tcPr>
            <w:tcW w:w="1092"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28 849</w:t>
            </w:r>
          </w:p>
        </w:tc>
        <w:tc>
          <w:tcPr>
            <w:tcW w:w="1107"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17 096</w:t>
            </w:r>
          </w:p>
        </w:tc>
        <w:tc>
          <w:tcPr>
            <w:tcW w:w="1109"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11 753</w:t>
            </w:r>
          </w:p>
        </w:tc>
        <w:tc>
          <w:tcPr>
            <w:tcW w:w="1070"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1 542</w:t>
            </w:r>
          </w:p>
        </w:tc>
        <w:tc>
          <w:tcPr>
            <w:tcW w:w="841"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317</w:t>
            </w:r>
          </w:p>
        </w:tc>
      </w:tr>
      <w:tr w:rsidR="00000000">
        <w:tblPrEx>
          <w:tblCellMar>
            <w:top w:w="0" w:type="dxa"/>
            <w:bottom w:w="0" w:type="dxa"/>
          </w:tblCellMar>
        </w:tblPrEx>
        <w:trPr>
          <w:trHeight w:val="139"/>
        </w:trPr>
        <w:tc>
          <w:tcPr>
            <w:tcW w:w="1058" w:type="dxa"/>
            <w:tcBorders>
              <w:top w:val="single" w:sz="4" w:space="0" w:color="auto"/>
              <w:left w:val="single" w:sz="4" w:space="0" w:color="auto"/>
              <w:right w:val="single" w:sz="4" w:space="0" w:color="auto"/>
            </w:tcBorders>
          </w:tcPr>
          <w:p w:rsidR="00000000" w:rsidRDefault="00000000">
            <w:pPr>
              <w:spacing w:after="2"/>
              <w:rPr>
                <w:snapToGrid w:val="0"/>
                <w:sz w:val="20"/>
              </w:rPr>
            </w:pPr>
          </w:p>
        </w:tc>
        <w:tc>
          <w:tcPr>
            <w:tcW w:w="843" w:type="dxa"/>
            <w:tcBorders>
              <w:top w:val="single" w:sz="4" w:space="0" w:color="auto"/>
              <w:right w:val="single" w:sz="4" w:space="0" w:color="auto"/>
            </w:tcBorders>
          </w:tcPr>
          <w:p w:rsidR="00000000" w:rsidRDefault="00000000">
            <w:pPr>
              <w:spacing w:before="2" w:after="2"/>
              <w:ind w:right="113"/>
              <w:jc w:val="center"/>
              <w:rPr>
                <w:snapToGrid w:val="0"/>
                <w:sz w:val="20"/>
              </w:rPr>
            </w:pPr>
            <w:r>
              <w:rPr>
                <w:snapToGrid w:val="0"/>
                <w:sz w:val="20"/>
              </w:rPr>
              <w:t>1997</w:t>
            </w:r>
          </w:p>
        </w:tc>
        <w:tc>
          <w:tcPr>
            <w:tcW w:w="1097"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37 853</w:t>
            </w:r>
          </w:p>
        </w:tc>
        <w:tc>
          <w:tcPr>
            <w:tcW w:w="1139" w:type="dxa"/>
            <w:tcBorders>
              <w:top w:val="single" w:sz="4" w:space="0" w:color="auto"/>
              <w:right w:val="single" w:sz="4" w:space="0" w:color="auto"/>
            </w:tcBorders>
          </w:tcPr>
          <w:p w:rsidR="00000000" w:rsidRDefault="00000000">
            <w:pPr>
              <w:spacing w:before="2" w:after="2"/>
              <w:ind w:left="164" w:right="227" w:hanging="11"/>
              <w:jc w:val="right"/>
              <w:rPr>
                <w:snapToGrid w:val="0"/>
                <w:sz w:val="20"/>
              </w:rPr>
            </w:pPr>
            <w:r>
              <w:rPr>
                <w:snapToGrid w:val="0"/>
                <w:sz w:val="20"/>
              </w:rPr>
              <w:t>4 943</w:t>
            </w:r>
          </w:p>
        </w:tc>
        <w:tc>
          <w:tcPr>
            <w:tcW w:w="1092"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30 895</w:t>
            </w:r>
          </w:p>
        </w:tc>
        <w:tc>
          <w:tcPr>
            <w:tcW w:w="1107"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17 183</w:t>
            </w:r>
          </w:p>
        </w:tc>
        <w:tc>
          <w:tcPr>
            <w:tcW w:w="1109"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13 712</w:t>
            </w:r>
          </w:p>
        </w:tc>
        <w:tc>
          <w:tcPr>
            <w:tcW w:w="1070"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1 705</w:t>
            </w:r>
          </w:p>
        </w:tc>
        <w:tc>
          <w:tcPr>
            <w:tcW w:w="841"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310</w:t>
            </w:r>
          </w:p>
        </w:tc>
      </w:tr>
      <w:tr w:rsidR="00000000">
        <w:tblPrEx>
          <w:tblCellMar>
            <w:top w:w="0" w:type="dxa"/>
            <w:bottom w:w="0" w:type="dxa"/>
          </w:tblCellMar>
        </w:tblPrEx>
        <w:trPr>
          <w:trHeight w:val="139"/>
        </w:trPr>
        <w:tc>
          <w:tcPr>
            <w:tcW w:w="1058" w:type="dxa"/>
            <w:tcBorders>
              <w:left w:val="single" w:sz="4" w:space="0" w:color="auto"/>
              <w:right w:val="single" w:sz="4" w:space="0" w:color="auto"/>
            </w:tcBorders>
          </w:tcPr>
          <w:p w:rsidR="00000000" w:rsidRDefault="00000000">
            <w:pPr>
              <w:spacing w:after="2"/>
              <w:rPr>
                <w:snapToGrid w:val="0"/>
                <w:sz w:val="20"/>
              </w:rPr>
            </w:pPr>
            <w:r>
              <w:rPr>
                <w:snapToGrid w:val="0"/>
                <w:sz w:val="20"/>
              </w:rPr>
              <w:t>July</w:t>
            </w:r>
          </w:p>
        </w:tc>
        <w:tc>
          <w:tcPr>
            <w:tcW w:w="843" w:type="dxa"/>
            <w:tcBorders>
              <w:right w:val="single" w:sz="4" w:space="0" w:color="auto"/>
            </w:tcBorders>
          </w:tcPr>
          <w:p w:rsidR="00000000" w:rsidRDefault="00000000">
            <w:pPr>
              <w:spacing w:before="2" w:after="2"/>
              <w:ind w:right="113"/>
              <w:jc w:val="center"/>
              <w:rPr>
                <w:snapToGrid w:val="0"/>
                <w:sz w:val="20"/>
              </w:rPr>
            </w:pPr>
            <w:r>
              <w:rPr>
                <w:snapToGrid w:val="0"/>
                <w:sz w:val="20"/>
              </w:rPr>
              <w:t>1998</w:t>
            </w:r>
          </w:p>
        </w:tc>
        <w:tc>
          <w:tcPr>
            <w:tcW w:w="1097"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36 375</w:t>
            </w:r>
          </w:p>
        </w:tc>
        <w:tc>
          <w:tcPr>
            <w:tcW w:w="1139" w:type="dxa"/>
            <w:tcBorders>
              <w:right w:val="single" w:sz="4" w:space="0" w:color="auto"/>
            </w:tcBorders>
          </w:tcPr>
          <w:p w:rsidR="00000000" w:rsidRDefault="00000000">
            <w:pPr>
              <w:spacing w:before="2" w:after="2"/>
              <w:ind w:left="164" w:right="227" w:hanging="11"/>
              <w:jc w:val="right"/>
              <w:rPr>
                <w:snapToGrid w:val="0"/>
                <w:sz w:val="20"/>
              </w:rPr>
            </w:pPr>
            <w:r>
              <w:rPr>
                <w:snapToGrid w:val="0"/>
                <w:sz w:val="20"/>
              </w:rPr>
              <w:t>4 394</w:t>
            </w:r>
          </w:p>
        </w:tc>
        <w:tc>
          <w:tcPr>
            <w:tcW w:w="1092"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30 294</w:t>
            </w:r>
          </w:p>
        </w:tc>
        <w:tc>
          <w:tcPr>
            <w:tcW w:w="1107"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17 435</w:t>
            </w:r>
          </w:p>
        </w:tc>
        <w:tc>
          <w:tcPr>
            <w:tcW w:w="1109"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12 859</w:t>
            </w:r>
          </w:p>
        </w:tc>
        <w:tc>
          <w:tcPr>
            <w:tcW w:w="1070"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1 314</w:t>
            </w:r>
          </w:p>
        </w:tc>
        <w:tc>
          <w:tcPr>
            <w:tcW w:w="841"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373</w:t>
            </w:r>
          </w:p>
        </w:tc>
      </w:tr>
      <w:tr w:rsidR="00000000">
        <w:tblPrEx>
          <w:tblCellMar>
            <w:top w:w="0" w:type="dxa"/>
            <w:bottom w:w="0" w:type="dxa"/>
          </w:tblCellMar>
        </w:tblPrEx>
        <w:trPr>
          <w:trHeight w:val="139"/>
        </w:trPr>
        <w:tc>
          <w:tcPr>
            <w:tcW w:w="1058" w:type="dxa"/>
            <w:tcBorders>
              <w:left w:val="single" w:sz="4" w:space="0" w:color="auto"/>
              <w:bottom w:val="single" w:sz="4" w:space="0" w:color="auto"/>
              <w:right w:val="single" w:sz="4" w:space="0" w:color="auto"/>
            </w:tcBorders>
          </w:tcPr>
          <w:p w:rsidR="00000000" w:rsidRDefault="00000000">
            <w:pPr>
              <w:spacing w:after="2"/>
              <w:rPr>
                <w:snapToGrid w:val="0"/>
                <w:sz w:val="20"/>
              </w:rPr>
            </w:pPr>
          </w:p>
        </w:tc>
        <w:tc>
          <w:tcPr>
            <w:tcW w:w="843" w:type="dxa"/>
            <w:tcBorders>
              <w:bottom w:val="single" w:sz="4" w:space="0" w:color="auto"/>
              <w:right w:val="single" w:sz="4" w:space="0" w:color="auto"/>
            </w:tcBorders>
          </w:tcPr>
          <w:p w:rsidR="00000000" w:rsidRDefault="00000000">
            <w:pPr>
              <w:spacing w:before="2" w:after="2"/>
              <w:ind w:right="113"/>
              <w:jc w:val="center"/>
              <w:rPr>
                <w:snapToGrid w:val="0"/>
                <w:sz w:val="20"/>
              </w:rPr>
            </w:pPr>
            <w:r>
              <w:rPr>
                <w:snapToGrid w:val="0"/>
                <w:sz w:val="20"/>
              </w:rPr>
              <w:t>1999</w:t>
            </w:r>
          </w:p>
        </w:tc>
        <w:tc>
          <w:tcPr>
            <w:tcW w:w="1097"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35 278</w:t>
            </w:r>
          </w:p>
        </w:tc>
        <w:tc>
          <w:tcPr>
            <w:tcW w:w="1139" w:type="dxa"/>
            <w:tcBorders>
              <w:bottom w:val="single" w:sz="4" w:space="0" w:color="auto"/>
              <w:right w:val="single" w:sz="4" w:space="0" w:color="auto"/>
            </w:tcBorders>
          </w:tcPr>
          <w:p w:rsidR="00000000" w:rsidRDefault="00000000">
            <w:pPr>
              <w:spacing w:before="2" w:after="2"/>
              <w:ind w:left="164" w:right="227" w:hanging="11"/>
              <w:jc w:val="right"/>
              <w:rPr>
                <w:snapToGrid w:val="0"/>
                <w:sz w:val="20"/>
              </w:rPr>
            </w:pPr>
            <w:r>
              <w:rPr>
                <w:snapToGrid w:val="0"/>
                <w:sz w:val="20"/>
              </w:rPr>
              <w:t>5 000</w:t>
            </w:r>
          </w:p>
        </w:tc>
        <w:tc>
          <w:tcPr>
            <w:tcW w:w="1092"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28 486</w:t>
            </w:r>
          </w:p>
        </w:tc>
        <w:tc>
          <w:tcPr>
            <w:tcW w:w="1107"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16 392</w:t>
            </w:r>
          </w:p>
        </w:tc>
        <w:tc>
          <w:tcPr>
            <w:tcW w:w="1109"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12 094</w:t>
            </w:r>
          </w:p>
        </w:tc>
        <w:tc>
          <w:tcPr>
            <w:tcW w:w="1070"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1 439</w:t>
            </w:r>
          </w:p>
        </w:tc>
        <w:tc>
          <w:tcPr>
            <w:tcW w:w="841"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353</w:t>
            </w:r>
          </w:p>
        </w:tc>
      </w:tr>
      <w:tr w:rsidR="00000000">
        <w:tblPrEx>
          <w:tblCellMar>
            <w:top w:w="0" w:type="dxa"/>
            <w:bottom w:w="0" w:type="dxa"/>
          </w:tblCellMar>
        </w:tblPrEx>
        <w:trPr>
          <w:trHeight w:val="139"/>
        </w:trPr>
        <w:tc>
          <w:tcPr>
            <w:tcW w:w="1058" w:type="dxa"/>
            <w:tcBorders>
              <w:top w:val="single" w:sz="4" w:space="0" w:color="auto"/>
              <w:left w:val="single" w:sz="4" w:space="0" w:color="auto"/>
              <w:right w:val="single" w:sz="4" w:space="0" w:color="auto"/>
            </w:tcBorders>
          </w:tcPr>
          <w:p w:rsidR="00000000" w:rsidRDefault="00000000">
            <w:pPr>
              <w:spacing w:after="2"/>
              <w:rPr>
                <w:snapToGrid w:val="0"/>
                <w:sz w:val="20"/>
              </w:rPr>
            </w:pPr>
          </w:p>
        </w:tc>
        <w:tc>
          <w:tcPr>
            <w:tcW w:w="843" w:type="dxa"/>
            <w:tcBorders>
              <w:top w:val="single" w:sz="4" w:space="0" w:color="auto"/>
              <w:right w:val="single" w:sz="4" w:space="0" w:color="auto"/>
            </w:tcBorders>
          </w:tcPr>
          <w:p w:rsidR="00000000" w:rsidRDefault="00000000">
            <w:pPr>
              <w:spacing w:before="2" w:after="2"/>
              <w:ind w:right="113"/>
              <w:jc w:val="center"/>
              <w:rPr>
                <w:snapToGrid w:val="0"/>
                <w:sz w:val="20"/>
              </w:rPr>
            </w:pPr>
            <w:r>
              <w:rPr>
                <w:snapToGrid w:val="0"/>
                <w:sz w:val="20"/>
              </w:rPr>
              <w:t>1997</w:t>
            </w:r>
          </w:p>
        </w:tc>
        <w:tc>
          <w:tcPr>
            <w:tcW w:w="1097"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37 194</w:t>
            </w:r>
          </w:p>
        </w:tc>
        <w:tc>
          <w:tcPr>
            <w:tcW w:w="1139" w:type="dxa"/>
            <w:tcBorders>
              <w:top w:val="single" w:sz="4" w:space="0" w:color="auto"/>
              <w:right w:val="single" w:sz="4" w:space="0" w:color="auto"/>
            </w:tcBorders>
          </w:tcPr>
          <w:p w:rsidR="00000000" w:rsidRDefault="00000000">
            <w:pPr>
              <w:spacing w:before="2" w:after="2"/>
              <w:ind w:left="164" w:right="227" w:hanging="11"/>
              <w:jc w:val="right"/>
              <w:rPr>
                <w:snapToGrid w:val="0"/>
                <w:sz w:val="20"/>
              </w:rPr>
            </w:pPr>
            <w:r>
              <w:rPr>
                <w:snapToGrid w:val="0"/>
                <w:sz w:val="20"/>
              </w:rPr>
              <w:t>4 200</w:t>
            </w:r>
          </w:p>
        </w:tc>
        <w:tc>
          <w:tcPr>
            <w:tcW w:w="1092"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31 081</w:t>
            </w:r>
          </w:p>
        </w:tc>
        <w:tc>
          <w:tcPr>
            <w:tcW w:w="1107"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17 364</w:t>
            </w:r>
          </w:p>
        </w:tc>
        <w:tc>
          <w:tcPr>
            <w:tcW w:w="1109"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13 717</w:t>
            </w:r>
          </w:p>
        </w:tc>
        <w:tc>
          <w:tcPr>
            <w:tcW w:w="1070"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1 605</w:t>
            </w:r>
          </w:p>
        </w:tc>
        <w:tc>
          <w:tcPr>
            <w:tcW w:w="841"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308</w:t>
            </w:r>
          </w:p>
        </w:tc>
      </w:tr>
      <w:tr w:rsidR="00000000">
        <w:tblPrEx>
          <w:tblCellMar>
            <w:top w:w="0" w:type="dxa"/>
            <w:bottom w:w="0" w:type="dxa"/>
          </w:tblCellMar>
        </w:tblPrEx>
        <w:trPr>
          <w:trHeight w:val="139"/>
        </w:trPr>
        <w:tc>
          <w:tcPr>
            <w:tcW w:w="1058" w:type="dxa"/>
            <w:tcBorders>
              <w:left w:val="single" w:sz="4" w:space="0" w:color="auto"/>
              <w:right w:val="single" w:sz="4" w:space="0" w:color="auto"/>
            </w:tcBorders>
          </w:tcPr>
          <w:p w:rsidR="00000000" w:rsidRDefault="00000000">
            <w:pPr>
              <w:spacing w:after="2"/>
              <w:rPr>
                <w:snapToGrid w:val="0"/>
                <w:sz w:val="20"/>
              </w:rPr>
            </w:pPr>
            <w:r>
              <w:rPr>
                <w:snapToGrid w:val="0"/>
                <w:sz w:val="20"/>
              </w:rPr>
              <w:t>August</w:t>
            </w:r>
          </w:p>
        </w:tc>
        <w:tc>
          <w:tcPr>
            <w:tcW w:w="843" w:type="dxa"/>
            <w:tcBorders>
              <w:right w:val="single" w:sz="4" w:space="0" w:color="auto"/>
            </w:tcBorders>
          </w:tcPr>
          <w:p w:rsidR="00000000" w:rsidRDefault="00000000">
            <w:pPr>
              <w:spacing w:before="2" w:after="2"/>
              <w:ind w:right="113"/>
              <w:jc w:val="center"/>
              <w:rPr>
                <w:snapToGrid w:val="0"/>
                <w:sz w:val="20"/>
              </w:rPr>
            </w:pPr>
            <w:r>
              <w:rPr>
                <w:snapToGrid w:val="0"/>
                <w:sz w:val="20"/>
              </w:rPr>
              <w:t>1998</w:t>
            </w:r>
          </w:p>
        </w:tc>
        <w:tc>
          <w:tcPr>
            <w:tcW w:w="1097"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35 100</w:t>
            </w:r>
          </w:p>
        </w:tc>
        <w:tc>
          <w:tcPr>
            <w:tcW w:w="1139" w:type="dxa"/>
            <w:tcBorders>
              <w:right w:val="single" w:sz="4" w:space="0" w:color="auto"/>
            </w:tcBorders>
          </w:tcPr>
          <w:p w:rsidR="00000000" w:rsidRDefault="00000000">
            <w:pPr>
              <w:spacing w:before="2" w:after="2"/>
              <w:ind w:left="164" w:right="227" w:hanging="11"/>
              <w:jc w:val="right"/>
              <w:rPr>
                <w:snapToGrid w:val="0"/>
                <w:sz w:val="20"/>
              </w:rPr>
            </w:pPr>
            <w:r>
              <w:rPr>
                <w:snapToGrid w:val="0"/>
                <w:sz w:val="20"/>
              </w:rPr>
              <w:t>5 330</w:t>
            </w:r>
          </w:p>
        </w:tc>
        <w:tc>
          <w:tcPr>
            <w:tcW w:w="1092"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28 066</w:t>
            </w:r>
          </w:p>
        </w:tc>
        <w:tc>
          <w:tcPr>
            <w:tcW w:w="1107"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15 061</w:t>
            </w:r>
          </w:p>
        </w:tc>
        <w:tc>
          <w:tcPr>
            <w:tcW w:w="1109"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13 005</w:t>
            </w:r>
          </w:p>
        </w:tc>
        <w:tc>
          <w:tcPr>
            <w:tcW w:w="1070"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1 341</w:t>
            </w:r>
          </w:p>
        </w:tc>
        <w:tc>
          <w:tcPr>
            <w:tcW w:w="841"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363</w:t>
            </w:r>
          </w:p>
        </w:tc>
      </w:tr>
      <w:tr w:rsidR="00000000">
        <w:tblPrEx>
          <w:tblCellMar>
            <w:top w:w="0" w:type="dxa"/>
            <w:bottom w:w="0" w:type="dxa"/>
          </w:tblCellMar>
        </w:tblPrEx>
        <w:trPr>
          <w:trHeight w:val="139"/>
        </w:trPr>
        <w:tc>
          <w:tcPr>
            <w:tcW w:w="1058" w:type="dxa"/>
            <w:tcBorders>
              <w:left w:val="single" w:sz="4" w:space="0" w:color="auto"/>
              <w:bottom w:val="single" w:sz="4" w:space="0" w:color="auto"/>
              <w:right w:val="single" w:sz="4" w:space="0" w:color="auto"/>
            </w:tcBorders>
          </w:tcPr>
          <w:p w:rsidR="00000000" w:rsidRDefault="00000000">
            <w:pPr>
              <w:spacing w:after="2"/>
              <w:rPr>
                <w:snapToGrid w:val="0"/>
                <w:sz w:val="20"/>
              </w:rPr>
            </w:pPr>
          </w:p>
        </w:tc>
        <w:tc>
          <w:tcPr>
            <w:tcW w:w="843" w:type="dxa"/>
            <w:tcBorders>
              <w:bottom w:val="single" w:sz="4" w:space="0" w:color="auto"/>
              <w:right w:val="single" w:sz="4" w:space="0" w:color="auto"/>
            </w:tcBorders>
          </w:tcPr>
          <w:p w:rsidR="00000000" w:rsidRDefault="00000000">
            <w:pPr>
              <w:spacing w:before="2" w:after="2"/>
              <w:ind w:right="113"/>
              <w:jc w:val="center"/>
              <w:rPr>
                <w:snapToGrid w:val="0"/>
                <w:sz w:val="20"/>
              </w:rPr>
            </w:pPr>
            <w:r>
              <w:rPr>
                <w:snapToGrid w:val="0"/>
                <w:sz w:val="20"/>
              </w:rPr>
              <w:t>1999</w:t>
            </w:r>
          </w:p>
        </w:tc>
        <w:tc>
          <w:tcPr>
            <w:tcW w:w="1097"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35 388</w:t>
            </w:r>
          </w:p>
        </w:tc>
        <w:tc>
          <w:tcPr>
            <w:tcW w:w="1139" w:type="dxa"/>
            <w:tcBorders>
              <w:bottom w:val="single" w:sz="4" w:space="0" w:color="auto"/>
              <w:right w:val="single" w:sz="4" w:space="0" w:color="auto"/>
            </w:tcBorders>
          </w:tcPr>
          <w:p w:rsidR="00000000" w:rsidRDefault="00000000">
            <w:pPr>
              <w:spacing w:before="2" w:after="2"/>
              <w:ind w:left="164" w:right="227" w:hanging="11"/>
              <w:jc w:val="right"/>
              <w:rPr>
                <w:snapToGrid w:val="0"/>
                <w:sz w:val="20"/>
              </w:rPr>
            </w:pPr>
            <w:r>
              <w:rPr>
                <w:snapToGrid w:val="0"/>
                <w:sz w:val="20"/>
              </w:rPr>
              <w:t>4 375</w:t>
            </w:r>
          </w:p>
        </w:tc>
        <w:tc>
          <w:tcPr>
            <w:tcW w:w="1092"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29 342</w:t>
            </w:r>
          </w:p>
        </w:tc>
        <w:tc>
          <w:tcPr>
            <w:tcW w:w="1107"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16 814</w:t>
            </w:r>
          </w:p>
        </w:tc>
        <w:tc>
          <w:tcPr>
            <w:tcW w:w="1109"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12 528</w:t>
            </w:r>
          </w:p>
        </w:tc>
        <w:tc>
          <w:tcPr>
            <w:tcW w:w="1070"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1 336</w:t>
            </w:r>
          </w:p>
        </w:tc>
        <w:tc>
          <w:tcPr>
            <w:tcW w:w="841"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335</w:t>
            </w:r>
          </w:p>
        </w:tc>
      </w:tr>
      <w:tr w:rsidR="00000000">
        <w:tblPrEx>
          <w:tblCellMar>
            <w:top w:w="0" w:type="dxa"/>
            <w:bottom w:w="0" w:type="dxa"/>
          </w:tblCellMar>
        </w:tblPrEx>
        <w:trPr>
          <w:trHeight w:val="139"/>
        </w:trPr>
        <w:tc>
          <w:tcPr>
            <w:tcW w:w="1058" w:type="dxa"/>
            <w:tcBorders>
              <w:top w:val="single" w:sz="4" w:space="0" w:color="auto"/>
              <w:left w:val="single" w:sz="4" w:space="0" w:color="auto"/>
              <w:right w:val="single" w:sz="4" w:space="0" w:color="auto"/>
            </w:tcBorders>
          </w:tcPr>
          <w:p w:rsidR="00000000" w:rsidRDefault="00000000">
            <w:pPr>
              <w:spacing w:after="2"/>
              <w:rPr>
                <w:snapToGrid w:val="0"/>
                <w:sz w:val="20"/>
              </w:rPr>
            </w:pPr>
          </w:p>
        </w:tc>
        <w:tc>
          <w:tcPr>
            <w:tcW w:w="843" w:type="dxa"/>
            <w:tcBorders>
              <w:top w:val="single" w:sz="4" w:space="0" w:color="auto"/>
              <w:right w:val="single" w:sz="4" w:space="0" w:color="auto"/>
            </w:tcBorders>
          </w:tcPr>
          <w:p w:rsidR="00000000" w:rsidRDefault="00000000">
            <w:pPr>
              <w:spacing w:before="2" w:after="2"/>
              <w:ind w:right="113"/>
              <w:jc w:val="center"/>
              <w:rPr>
                <w:snapToGrid w:val="0"/>
                <w:sz w:val="20"/>
              </w:rPr>
            </w:pPr>
            <w:r>
              <w:rPr>
                <w:snapToGrid w:val="0"/>
                <w:sz w:val="20"/>
              </w:rPr>
              <w:t>1997</w:t>
            </w:r>
          </w:p>
        </w:tc>
        <w:tc>
          <w:tcPr>
            <w:tcW w:w="1097"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39 893</w:t>
            </w:r>
          </w:p>
        </w:tc>
        <w:tc>
          <w:tcPr>
            <w:tcW w:w="1139" w:type="dxa"/>
            <w:tcBorders>
              <w:top w:val="single" w:sz="4" w:space="0" w:color="auto"/>
              <w:right w:val="single" w:sz="4" w:space="0" w:color="auto"/>
            </w:tcBorders>
          </w:tcPr>
          <w:p w:rsidR="00000000" w:rsidRDefault="00000000">
            <w:pPr>
              <w:spacing w:before="2" w:after="2"/>
              <w:ind w:left="164" w:right="227" w:hanging="11"/>
              <w:jc w:val="right"/>
              <w:rPr>
                <w:snapToGrid w:val="0"/>
                <w:sz w:val="20"/>
              </w:rPr>
            </w:pPr>
            <w:r>
              <w:rPr>
                <w:snapToGrid w:val="0"/>
                <w:sz w:val="20"/>
              </w:rPr>
              <w:t>5 902</w:t>
            </w:r>
          </w:p>
        </w:tc>
        <w:tc>
          <w:tcPr>
            <w:tcW w:w="1092"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32 254</w:t>
            </w:r>
          </w:p>
        </w:tc>
        <w:tc>
          <w:tcPr>
            <w:tcW w:w="1107"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19 189</w:t>
            </w:r>
          </w:p>
        </w:tc>
        <w:tc>
          <w:tcPr>
            <w:tcW w:w="1109"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13 065</w:t>
            </w:r>
          </w:p>
        </w:tc>
        <w:tc>
          <w:tcPr>
            <w:tcW w:w="1070"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1 496</w:t>
            </w:r>
          </w:p>
        </w:tc>
        <w:tc>
          <w:tcPr>
            <w:tcW w:w="841"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241</w:t>
            </w:r>
          </w:p>
        </w:tc>
      </w:tr>
      <w:tr w:rsidR="00000000">
        <w:tblPrEx>
          <w:tblCellMar>
            <w:top w:w="0" w:type="dxa"/>
            <w:bottom w:w="0" w:type="dxa"/>
          </w:tblCellMar>
        </w:tblPrEx>
        <w:trPr>
          <w:trHeight w:val="139"/>
        </w:trPr>
        <w:tc>
          <w:tcPr>
            <w:tcW w:w="1058" w:type="dxa"/>
            <w:tcBorders>
              <w:left w:val="single" w:sz="4" w:space="0" w:color="auto"/>
              <w:right w:val="single" w:sz="4" w:space="0" w:color="auto"/>
            </w:tcBorders>
          </w:tcPr>
          <w:p w:rsidR="00000000" w:rsidRDefault="00000000">
            <w:pPr>
              <w:spacing w:after="2"/>
              <w:rPr>
                <w:snapToGrid w:val="0"/>
                <w:sz w:val="20"/>
              </w:rPr>
            </w:pPr>
            <w:r>
              <w:rPr>
                <w:snapToGrid w:val="0"/>
                <w:sz w:val="20"/>
              </w:rPr>
              <w:t>September</w:t>
            </w:r>
          </w:p>
        </w:tc>
        <w:tc>
          <w:tcPr>
            <w:tcW w:w="843" w:type="dxa"/>
            <w:tcBorders>
              <w:right w:val="single" w:sz="4" w:space="0" w:color="auto"/>
            </w:tcBorders>
          </w:tcPr>
          <w:p w:rsidR="00000000" w:rsidRDefault="00000000">
            <w:pPr>
              <w:spacing w:before="2" w:after="2"/>
              <w:ind w:right="113"/>
              <w:jc w:val="center"/>
              <w:rPr>
                <w:snapToGrid w:val="0"/>
                <w:sz w:val="20"/>
              </w:rPr>
            </w:pPr>
            <w:r>
              <w:rPr>
                <w:snapToGrid w:val="0"/>
                <w:sz w:val="20"/>
              </w:rPr>
              <w:t>1998</w:t>
            </w:r>
          </w:p>
        </w:tc>
        <w:tc>
          <w:tcPr>
            <w:tcW w:w="1097"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33 997</w:t>
            </w:r>
          </w:p>
        </w:tc>
        <w:tc>
          <w:tcPr>
            <w:tcW w:w="1139" w:type="dxa"/>
            <w:tcBorders>
              <w:right w:val="single" w:sz="4" w:space="0" w:color="auto"/>
            </w:tcBorders>
          </w:tcPr>
          <w:p w:rsidR="00000000" w:rsidRDefault="00000000">
            <w:pPr>
              <w:spacing w:before="2" w:after="2"/>
              <w:ind w:left="164" w:right="227" w:hanging="11"/>
              <w:jc w:val="right"/>
              <w:rPr>
                <w:snapToGrid w:val="0"/>
                <w:sz w:val="20"/>
              </w:rPr>
            </w:pPr>
            <w:r>
              <w:rPr>
                <w:snapToGrid w:val="0"/>
                <w:sz w:val="20"/>
              </w:rPr>
              <w:t>4 395</w:t>
            </w:r>
          </w:p>
        </w:tc>
        <w:tc>
          <w:tcPr>
            <w:tcW w:w="1092"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28 023</w:t>
            </w:r>
          </w:p>
        </w:tc>
        <w:tc>
          <w:tcPr>
            <w:tcW w:w="1107"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15 716</w:t>
            </w:r>
          </w:p>
        </w:tc>
        <w:tc>
          <w:tcPr>
            <w:tcW w:w="1109"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12 307</w:t>
            </w:r>
          </w:p>
        </w:tc>
        <w:tc>
          <w:tcPr>
            <w:tcW w:w="1070"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1 235</w:t>
            </w:r>
          </w:p>
        </w:tc>
        <w:tc>
          <w:tcPr>
            <w:tcW w:w="841"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344</w:t>
            </w:r>
          </w:p>
        </w:tc>
      </w:tr>
      <w:tr w:rsidR="00000000">
        <w:tblPrEx>
          <w:tblCellMar>
            <w:top w:w="0" w:type="dxa"/>
            <w:bottom w:w="0" w:type="dxa"/>
          </w:tblCellMar>
        </w:tblPrEx>
        <w:trPr>
          <w:trHeight w:val="139"/>
        </w:trPr>
        <w:tc>
          <w:tcPr>
            <w:tcW w:w="1058" w:type="dxa"/>
            <w:tcBorders>
              <w:left w:val="single" w:sz="4" w:space="0" w:color="auto"/>
              <w:bottom w:val="single" w:sz="4" w:space="0" w:color="auto"/>
              <w:right w:val="single" w:sz="4" w:space="0" w:color="auto"/>
            </w:tcBorders>
          </w:tcPr>
          <w:p w:rsidR="00000000" w:rsidRDefault="00000000">
            <w:pPr>
              <w:spacing w:after="2"/>
              <w:rPr>
                <w:snapToGrid w:val="0"/>
                <w:sz w:val="20"/>
              </w:rPr>
            </w:pPr>
          </w:p>
        </w:tc>
        <w:tc>
          <w:tcPr>
            <w:tcW w:w="843" w:type="dxa"/>
            <w:tcBorders>
              <w:bottom w:val="single" w:sz="4" w:space="0" w:color="auto"/>
              <w:right w:val="single" w:sz="4" w:space="0" w:color="auto"/>
            </w:tcBorders>
          </w:tcPr>
          <w:p w:rsidR="00000000" w:rsidRDefault="00000000">
            <w:pPr>
              <w:spacing w:before="2" w:after="2"/>
              <w:ind w:right="113"/>
              <w:jc w:val="center"/>
              <w:rPr>
                <w:snapToGrid w:val="0"/>
                <w:sz w:val="20"/>
              </w:rPr>
            </w:pPr>
            <w:r>
              <w:rPr>
                <w:snapToGrid w:val="0"/>
                <w:sz w:val="20"/>
              </w:rPr>
              <w:t>1999</w:t>
            </w:r>
          </w:p>
        </w:tc>
        <w:tc>
          <w:tcPr>
            <w:tcW w:w="1097"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35 269</w:t>
            </w:r>
          </w:p>
        </w:tc>
        <w:tc>
          <w:tcPr>
            <w:tcW w:w="1139" w:type="dxa"/>
            <w:tcBorders>
              <w:bottom w:val="single" w:sz="4" w:space="0" w:color="auto"/>
              <w:right w:val="single" w:sz="4" w:space="0" w:color="auto"/>
            </w:tcBorders>
          </w:tcPr>
          <w:p w:rsidR="00000000" w:rsidRDefault="00000000">
            <w:pPr>
              <w:spacing w:before="2" w:after="2"/>
              <w:ind w:left="164" w:right="227" w:hanging="11"/>
              <w:jc w:val="right"/>
              <w:rPr>
                <w:snapToGrid w:val="0"/>
                <w:sz w:val="20"/>
              </w:rPr>
            </w:pPr>
            <w:r>
              <w:rPr>
                <w:snapToGrid w:val="0"/>
                <w:sz w:val="20"/>
              </w:rPr>
              <w:t>4 650</w:t>
            </w:r>
          </w:p>
        </w:tc>
        <w:tc>
          <w:tcPr>
            <w:tcW w:w="1092"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28 927</w:t>
            </w:r>
          </w:p>
        </w:tc>
        <w:tc>
          <w:tcPr>
            <w:tcW w:w="1107"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17 250</w:t>
            </w:r>
          </w:p>
        </w:tc>
        <w:tc>
          <w:tcPr>
            <w:tcW w:w="1109"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11 677</w:t>
            </w:r>
          </w:p>
        </w:tc>
        <w:tc>
          <w:tcPr>
            <w:tcW w:w="1070"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1 363</w:t>
            </w:r>
          </w:p>
        </w:tc>
        <w:tc>
          <w:tcPr>
            <w:tcW w:w="841"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329</w:t>
            </w:r>
          </w:p>
        </w:tc>
      </w:tr>
      <w:tr w:rsidR="00000000">
        <w:tblPrEx>
          <w:tblCellMar>
            <w:top w:w="0" w:type="dxa"/>
            <w:bottom w:w="0" w:type="dxa"/>
          </w:tblCellMar>
        </w:tblPrEx>
        <w:trPr>
          <w:trHeight w:val="139"/>
        </w:trPr>
        <w:tc>
          <w:tcPr>
            <w:tcW w:w="1058" w:type="dxa"/>
            <w:tcBorders>
              <w:top w:val="single" w:sz="4" w:space="0" w:color="auto"/>
              <w:left w:val="single" w:sz="4" w:space="0" w:color="auto"/>
              <w:right w:val="single" w:sz="4" w:space="0" w:color="auto"/>
            </w:tcBorders>
          </w:tcPr>
          <w:p w:rsidR="00000000" w:rsidRDefault="00000000">
            <w:pPr>
              <w:spacing w:after="2"/>
              <w:rPr>
                <w:snapToGrid w:val="0"/>
                <w:sz w:val="20"/>
              </w:rPr>
            </w:pPr>
          </w:p>
        </w:tc>
        <w:tc>
          <w:tcPr>
            <w:tcW w:w="843" w:type="dxa"/>
            <w:tcBorders>
              <w:top w:val="single" w:sz="4" w:space="0" w:color="auto"/>
              <w:right w:val="single" w:sz="4" w:space="0" w:color="auto"/>
            </w:tcBorders>
          </w:tcPr>
          <w:p w:rsidR="00000000" w:rsidRDefault="00000000">
            <w:pPr>
              <w:spacing w:before="2" w:after="2"/>
              <w:ind w:right="113"/>
              <w:jc w:val="center"/>
              <w:rPr>
                <w:snapToGrid w:val="0"/>
                <w:sz w:val="20"/>
              </w:rPr>
            </w:pPr>
            <w:r>
              <w:rPr>
                <w:snapToGrid w:val="0"/>
                <w:sz w:val="20"/>
              </w:rPr>
              <w:t>1997</w:t>
            </w:r>
          </w:p>
        </w:tc>
        <w:tc>
          <w:tcPr>
            <w:tcW w:w="1097"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40 979</w:t>
            </w:r>
          </w:p>
        </w:tc>
        <w:tc>
          <w:tcPr>
            <w:tcW w:w="1139" w:type="dxa"/>
            <w:tcBorders>
              <w:top w:val="single" w:sz="4" w:space="0" w:color="auto"/>
              <w:right w:val="single" w:sz="4" w:space="0" w:color="auto"/>
            </w:tcBorders>
          </w:tcPr>
          <w:p w:rsidR="00000000" w:rsidRDefault="00000000">
            <w:pPr>
              <w:spacing w:before="2" w:after="2"/>
              <w:ind w:left="164" w:right="227" w:hanging="11"/>
              <w:jc w:val="right"/>
              <w:rPr>
                <w:snapToGrid w:val="0"/>
                <w:sz w:val="20"/>
              </w:rPr>
            </w:pPr>
            <w:r>
              <w:rPr>
                <w:snapToGrid w:val="0"/>
                <w:sz w:val="20"/>
              </w:rPr>
              <w:t>5 046</w:t>
            </w:r>
          </w:p>
        </w:tc>
        <w:tc>
          <w:tcPr>
            <w:tcW w:w="1092"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34 142</w:t>
            </w:r>
          </w:p>
        </w:tc>
        <w:tc>
          <w:tcPr>
            <w:tcW w:w="1107"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20 016</w:t>
            </w:r>
          </w:p>
        </w:tc>
        <w:tc>
          <w:tcPr>
            <w:tcW w:w="1109"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14 126</w:t>
            </w:r>
          </w:p>
        </w:tc>
        <w:tc>
          <w:tcPr>
            <w:tcW w:w="1070"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1 569</w:t>
            </w:r>
          </w:p>
        </w:tc>
        <w:tc>
          <w:tcPr>
            <w:tcW w:w="841"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222</w:t>
            </w:r>
          </w:p>
        </w:tc>
      </w:tr>
      <w:tr w:rsidR="00000000">
        <w:tblPrEx>
          <w:tblCellMar>
            <w:top w:w="0" w:type="dxa"/>
            <w:bottom w:w="0" w:type="dxa"/>
          </w:tblCellMar>
        </w:tblPrEx>
        <w:trPr>
          <w:trHeight w:val="139"/>
        </w:trPr>
        <w:tc>
          <w:tcPr>
            <w:tcW w:w="1058" w:type="dxa"/>
            <w:tcBorders>
              <w:left w:val="single" w:sz="4" w:space="0" w:color="auto"/>
              <w:right w:val="single" w:sz="4" w:space="0" w:color="auto"/>
            </w:tcBorders>
          </w:tcPr>
          <w:p w:rsidR="00000000" w:rsidRDefault="00000000">
            <w:pPr>
              <w:spacing w:after="2"/>
              <w:rPr>
                <w:snapToGrid w:val="0"/>
                <w:sz w:val="20"/>
              </w:rPr>
            </w:pPr>
            <w:r>
              <w:rPr>
                <w:snapToGrid w:val="0"/>
                <w:sz w:val="20"/>
              </w:rPr>
              <w:t>October</w:t>
            </w:r>
          </w:p>
        </w:tc>
        <w:tc>
          <w:tcPr>
            <w:tcW w:w="843" w:type="dxa"/>
            <w:tcBorders>
              <w:right w:val="single" w:sz="4" w:space="0" w:color="auto"/>
            </w:tcBorders>
          </w:tcPr>
          <w:p w:rsidR="00000000" w:rsidRDefault="00000000">
            <w:pPr>
              <w:spacing w:before="2" w:after="2"/>
              <w:ind w:right="113"/>
              <w:jc w:val="center"/>
              <w:rPr>
                <w:snapToGrid w:val="0"/>
                <w:sz w:val="20"/>
              </w:rPr>
            </w:pPr>
            <w:r>
              <w:rPr>
                <w:snapToGrid w:val="0"/>
                <w:sz w:val="20"/>
              </w:rPr>
              <w:t>1998</w:t>
            </w:r>
          </w:p>
        </w:tc>
        <w:tc>
          <w:tcPr>
            <w:tcW w:w="1097"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36 115</w:t>
            </w:r>
          </w:p>
        </w:tc>
        <w:tc>
          <w:tcPr>
            <w:tcW w:w="1139" w:type="dxa"/>
            <w:tcBorders>
              <w:right w:val="single" w:sz="4" w:space="0" w:color="auto"/>
            </w:tcBorders>
          </w:tcPr>
          <w:p w:rsidR="00000000" w:rsidRDefault="00000000">
            <w:pPr>
              <w:spacing w:before="2" w:after="2"/>
              <w:ind w:left="164" w:right="227" w:hanging="11"/>
              <w:jc w:val="right"/>
              <w:rPr>
                <w:snapToGrid w:val="0"/>
                <w:sz w:val="20"/>
              </w:rPr>
            </w:pPr>
            <w:r>
              <w:rPr>
                <w:snapToGrid w:val="0"/>
                <w:sz w:val="20"/>
              </w:rPr>
              <w:t>4 836</w:t>
            </w:r>
          </w:p>
        </w:tc>
        <w:tc>
          <w:tcPr>
            <w:tcW w:w="1092"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29 578</w:t>
            </w:r>
          </w:p>
        </w:tc>
        <w:tc>
          <w:tcPr>
            <w:tcW w:w="1107"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17 291</w:t>
            </w:r>
          </w:p>
        </w:tc>
        <w:tc>
          <w:tcPr>
            <w:tcW w:w="1109"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12 287</w:t>
            </w:r>
          </w:p>
        </w:tc>
        <w:tc>
          <w:tcPr>
            <w:tcW w:w="1070"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1 331</w:t>
            </w:r>
          </w:p>
        </w:tc>
        <w:tc>
          <w:tcPr>
            <w:tcW w:w="841"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370</w:t>
            </w:r>
          </w:p>
        </w:tc>
      </w:tr>
      <w:tr w:rsidR="00000000">
        <w:tblPrEx>
          <w:tblCellMar>
            <w:top w:w="0" w:type="dxa"/>
            <w:bottom w:w="0" w:type="dxa"/>
          </w:tblCellMar>
        </w:tblPrEx>
        <w:trPr>
          <w:trHeight w:val="139"/>
        </w:trPr>
        <w:tc>
          <w:tcPr>
            <w:tcW w:w="1058" w:type="dxa"/>
            <w:tcBorders>
              <w:left w:val="single" w:sz="4" w:space="0" w:color="auto"/>
              <w:bottom w:val="single" w:sz="4" w:space="0" w:color="auto"/>
              <w:right w:val="single" w:sz="4" w:space="0" w:color="auto"/>
            </w:tcBorders>
          </w:tcPr>
          <w:p w:rsidR="00000000" w:rsidRDefault="00000000">
            <w:pPr>
              <w:spacing w:after="2"/>
              <w:rPr>
                <w:snapToGrid w:val="0"/>
                <w:sz w:val="20"/>
              </w:rPr>
            </w:pPr>
          </w:p>
        </w:tc>
        <w:tc>
          <w:tcPr>
            <w:tcW w:w="843" w:type="dxa"/>
            <w:tcBorders>
              <w:bottom w:val="single" w:sz="4" w:space="0" w:color="auto"/>
              <w:right w:val="single" w:sz="4" w:space="0" w:color="auto"/>
            </w:tcBorders>
          </w:tcPr>
          <w:p w:rsidR="00000000" w:rsidRDefault="00000000">
            <w:pPr>
              <w:spacing w:before="2" w:after="2"/>
              <w:ind w:right="113"/>
              <w:jc w:val="center"/>
              <w:rPr>
                <w:snapToGrid w:val="0"/>
                <w:sz w:val="20"/>
              </w:rPr>
            </w:pPr>
            <w:r>
              <w:rPr>
                <w:snapToGrid w:val="0"/>
                <w:sz w:val="20"/>
              </w:rPr>
              <w:t>1999</w:t>
            </w:r>
          </w:p>
        </w:tc>
        <w:tc>
          <w:tcPr>
            <w:tcW w:w="1097"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32 259</w:t>
            </w:r>
          </w:p>
        </w:tc>
        <w:tc>
          <w:tcPr>
            <w:tcW w:w="1139" w:type="dxa"/>
            <w:tcBorders>
              <w:bottom w:val="single" w:sz="4" w:space="0" w:color="auto"/>
              <w:right w:val="single" w:sz="4" w:space="0" w:color="auto"/>
            </w:tcBorders>
          </w:tcPr>
          <w:p w:rsidR="00000000" w:rsidRDefault="00000000">
            <w:pPr>
              <w:spacing w:before="2" w:after="2"/>
              <w:ind w:left="164" w:right="227" w:hanging="11"/>
              <w:jc w:val="right"/>
              <w:rPr>
                <w:snapToGrid w:val="0"/>
                <w:sz w:val="20"/>
              </w:rPr>
            </w:pPr>
            <w:r>
              <w:rPr>
                <w:snapToGrid w:val="0"/>
                <w:sz w:val="20"/>
              </w:rPr>
              <w:t>4 233</w:t>
            </w:r>
          </w:p>
        </w:tc>
        <w:tc>
          <w:tcPr>
            <w:tcW w:w="1092"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26 369</w:t>
            </w:r>
          </w:p>
        </w:tc>
        <w:tc>
          <w:tcPr>
            <w:tcW w:w="1107"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14 920</w:t>
            </w:r>
          </w:p>
        </w:tc>
        <w:tc>
          <w:tcPr>
            <w:tcW w:w="1109"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11 449</w:t>
            </w:r>
          </w:p>
        </w:tc>
        <w:tc>
          <w:tcPr>
            <w:tcW w:w="1070"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1 337</w:t>
            </w:r>
          </w:p>
        </w:tc>
        <w:tc>
          <w:tcPr>
            <w:tcW w:w="841"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320</w:t>
            </w:r>
          </w:p>
        </w:tc>
      </w:tr>
      <w:tr w:rsidR="00000000">
        <w:tblPrEx>
          <w:tblCellMar>
            <w:top w:w="0" w:type="dxa"/>
            <w:bottom w:w="0" w:type="dxa"/>
          </w:tblCellMar>
        </w:tblPrEx>
        <w:trPr>
          <w:trHeight w:val="139"/>
        </w:trPr>
        <w:tc>
          <w:tcPr>
            <w:tcW w:w="1058" w:type="dxa"/>
            <w:tcBorders>
              <w:top w:val="single" w:sz="4" w:space="0" w:color="auto"/>
              <w:left w:val="single" w:sz="4" w:space="0" w:color="auto"/>
              <w:right w:val="single" w:sz="4" w:space="0" w:color="auto"/>
            </w:tcBorders>
          </w:tcPr>
          <w:p w:rsidR="00000000" w:rsidRDefault="00000000">
            <w:pPr>
              <w:spacing w:after="2"/>
              <w:rPr>
                <w:snapToGrid w:val="0"/>
                <w:sz w:val="20"/>
              </w:rPr>
            </w:pPr>
          </w:p>
        </w:tc>
        <w:tc>
          <w:tcPr>
            <w:tcW w:w="843" w:type="dxa"/>
            <w:tcBorders>
              <w:top w:val="single" w:sz="4" w:space="0" w:color="auto"/>
              <w:right w:val="single" w:sz="4" w:space="0" w:color="auto"/>
            </w:tcBorders>
          </w:tcPr>
          <w:p w:rsidR="00000000" w:rsidRDefault="00000000">
            <w:pPr>
              <w:spacing w:before="2" w:after="2"/>
              <w:ind w:right="113"/>
              <w:jc w:val="center"/>
              <w:rPr>
                <w:snapToGrid w:val="0"/>
                <w:sz w:val="20"/>
              </w:rPr>
            </w:pPr>
            <w:r>
              <w:rPr>
                <w:snapToGrid w:val="0"/>
                <w:sz w:val="20"/>
              </w:rPr>
              <w:t>1997</w:t>
            </w:r>
          </w:p>
        </w:tc>
        <w:tc>
          <w:tcPr>
            <w:tcW w:w="1097"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37 240</w:t>
            </w:r>
          </w:p>
        </w:tc>
        <w:tc>
          <w:tcPr>
            <w:tcW w:w="1139" w:type="dxa"/>
            <w:tcBorders>
              <w:top w:val="single" w:sz="4" w:space="0" w:color="auto"/>
              <w:right w:val="single" w:sz="4" w:space="0" w:color="auto"/>
            </w:tcBorders>
          </w:tcPr>
          <w:p w:rsidR="00000000" w:rsidRDefault="00000000">
            <w:pPr>
              <w:spacing w:before="2" w:after="2"/>
              <w:ind w:left="164" w:right="227" w:hanging="11"/>
              <w:jc w:val="right"/>
              <w:rPr>
                <w:snapToGrid w:val="0"/>
                <w:sz w:val="20"/>
              </w:rPr>
            </w:pPr>
            <w:r>
              <w:rPr>
                <w:snapToGrid w:val="0"/>
                <w:sz w:val="20"/>
              </w:rPr>
              <w:t>4 387</w:t>
            </w:r>
          </w:p>
        </w:tc>
        <w:tc>
          <w:tcPr>
            <w:tcW w:w="1092"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31 097</w:t>
            </w:r>
          </w:p>
        </w:tc>
        <w:tc>
          <w:tcPr>
            <w:tcW w:w="1107"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17 916</w:t>
            </w:r>
          </w:p>
        </w:tc>
        <w:tc>
          <w:tcPr>
            <w:tcW w:w="1109"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13 181</w:t>
            </w:r>
          </w:p>
        </w:tc>
        <w:tc>
          <w:tcPr>
            <w:tcW w:w="1070"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1 500</w:t>
            </w:r>
          </w:p>
        </w:tc>
        <w:tc>
          <w:tcPr>
            <w:tcW w:w="841"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256</w:t>
            </w:r>
          </w:p>
        </w:tc>
      </w:tr>
      <w:tr w:rsidR="00000000">
        <w:tblPrEx>
          <w:tblCellMar>
            <w:top w:w="0" w:type="dxa"/>
            <w:bottom w:w="0" w:type="dxa"/>
          </w:tblCellMar>
        </w:tblPrEx>
        <w:trPr>
          <w:trHeight w:val="139"/>
        </w:trPr>
        <w:tc>
          <w:tcPr>
            <w:tcW w:w="1058" w:type="dxa"/>
            <w:tcBorders>
              <w:left w:val="single" w:sz="4" w:space="0" w:color="auto"/>
              <w:right w:val="single" w:sz="4" w:space="0" w:color="auto"/>
            </w:tcBorders>
          </w:tcPr>
          <w:p w:rsidR="00000000" w:rsidRDefault="00000000">
            <w:pPr>
              <w:spacing w:after="2"/>
              <w:rPr>
                <w:snapToGrid w:val="0"/>
                <w:sz w:val="20"/>
              </w:rPr>
            </w:pPr>
            <w:r>
              <w:rPr>
                <w:snapToGrid w:val="0"/>
                <w:sz w:val="20"/>
              </w:rPr>
              <w:t>November</w:t>
            </w:r>
          </w:p>
        </w:tc>
        <w:tc>
          <w:tcPr>
            <w:tcW w:w="843" w:type="dxa"/>
            <w:tcBorders>
              <w:right w:val="single" w:sz="4" w:space="0" w:color="auto"/>
            </w:tcBorders>
          </w:tcPr>
          <w:p w:rsidR="00000000" w:rsidRDefault="00000000">
            <w:pPr>
              <w:spacing w:before="2" w:after="2"/>
              <w:ind w:right="113"/>
              <w:jc w:val="center"/>
              <w:rPr>
                <w:snapToGrid w:val="0"/>
                <w:sz w:val="20"/>
              </w:rPr>
            </w:pPr>
            <w:r>
              <w:rPr>
                <w:snapToGrid w:val="0"/>
                <w:sz w:val="20"/>
              </w:rPr>
              <w:t>1998</w:t>
            </w:r>
          </w:p>
        </w:tc>
        <w:tc>
          <w:tcPr>
            <w:tcW w:w="1097"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33 687</w:t>
            </w:r>
          </w:p>
        </w:tc>
        <w:tc>
          <w:tcPr>
            <w:tcW w:w="1139" w:type="dxa"/>
            <w:tcBorders>
              <w:right w:val="single" w:sz="4" w:space="0" w:color="auto"/>
            </w:tcBorders>
          </w:tcPr>
          <w:p w:rsidR="00000000" w:rsidRDefault="00000000">
            <w:pPr>
              <w:spacing w:before="2" w:after="2"/>
              <w:ind w:left="164" w:right="227" w:hanging="11"/>
              <w:jc w:val="right"/>
              <w:rPr>
                <w:snapToGrid w:val="0"/>
                <w:sz w:val="20"/>
              </w:rPr>
            </w:pPr>
            <w:r>
              <w:rPr>
                <w:snapToGrid w:val="0"/>
                <w:sz w:val="20"/>
              </w:rPr>
              <w:t>3 916</w:t>
            </w:r>
          </w:p>
        </w:tc>
        <w:tc>
          <w:tcPr>
            <w:tcW w:w="1092"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28 225</w:t>
            </w:r>
          </w:p>
        </w:tc>
        <w:tc>
          <w:tcPr>
            <w:tcW w:w="1107"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16 393</w:t>
            </w:r>
          </w:p>
        </w:tc>
        <w:tc>
          <w:tcPr>
            <w:tcW w:w="1109"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11 832</w:t>
            </w:r>
          </w:p>
        </w:tc>
        <w:tc>
          <w:tcPr>
            <w:tcW w:w="1070"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1 212</w:t>
            </w:r>
          </w:p>
        </w:tc>
        <w:tc>
          <w:tcPr>
            <w:tcW w:w="841"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334</w:t>
            </w:r>
          </w:p>
        </w:tc>
      </w:tr>
      <w:tr w:rsidR="00000000">
        <w:tblPrEx>
          <w:tblCellMar>
            <w:top w:w="0" w:type="dxa"/>
            <w:bottom w:w="0" w:type="dxa"/>
          </w:tblCellMar>
        </w:tblPrEx>
        <w:trPr>
          <w:trHeight w:val="139"/>
        </w:trPr>
        <w:tc>
          <w:tcPr>
            <w:tcW w:w="1058" w:type="dxa"/>
            <w:tcBorders>
              <w:left w:val="single" w:sz="4" w:space="0" w:color="auto"/>
              <w:bottom w:val="single" w:sz="4" w:space="0" w:color="auto"/>
              <w:right w:val="single" w:sz="4" w:space="0" w:color="auto"/>
            </w:tcBorders>
          </w:tcPr>
          <w:p w:rsidR="00000000" w:rsidRDefault="00000000">
            <w:pPr>
              <w:spacing w:after="2"/>
              <w:rPr>
                <w:snapToGrid w:val="0"/>
                <w:sz w:val="20"/>
              </w:rPr>
            </w:pPr>
          </w:p>
        </w:tc>
        <w:tc>
          <w:tcPr>
            <w:tcW w:w="843" w:type="dxa"/>
            <w:tcBorders>
              <w:bottom w:val="single" w:sz="4" w:space="0" w:color="auto"/>
              <w:right w:val="single" w:sz="4" w:space="0" w:color="auto"/>
            </w:tcBorders>
          </w:tcPr>
          <w:p w:rsidR="00000000" w:rsidRDefault="00000000">
            <w:pPr>
              <w:spacing w:before="2" w:after="2"/>
              <w:ind w:right="113"/>
              <w:jc w:val="center"/>
              <w:rPr>
                <w:snapToGrid w:val="0"/>
                <w:sz w:val="20"/>
              </w:rPr>
            </w:pPr>
            <w:r>
              <w:rPr>
                <w:snapToGrid w:val="0"/>
                <w:sz w:val="20"/>
              </w:rPr>
              <w:t>1999</w:t>
            </w:r>
          </w:p>
        </w:tc>
        <w:tc>
          <w:tcPr>
            <w:tcW w:w="1097"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31 159</w:t>
            </w:r>
          </w:p>
        </w:tc>
        <w:tc>
          <w:tcPr>
            <w:tcW w:w="1139" w:type="dxa"/>
            <w:tcBorders>
              <w:bottom w:val="single" w:sz="4" w:space="0" w:color="auto"/>
              <w:right w:val="single" w:sz="4" w:space="0" w:color="auto"/>
            </w:tcBorders>
          </w:tcPr>
          <w:p w:rsidR="00000000" w:rsidRDefault="00000000">
            <w:pPr>
              <w:spacing w:before="2" w:after="2"/>
              <w:ind w:left="164" w:right="227" w:hanging="11"/>
              <w:jc w:val="right"/>
              <w:rPr>
                <w:snapToGrid w:val="0"/>
                <w:sz w:val="20"/>
              </w:rPr>
            </w:pPr>
            <w:r>
              <w:rPr>
                <w:snapToGrid w:val="0"/>
                <w:sz w:val="20"/>
              </w:rPr>
              <w:t>4 120</w:t>
            </w:r>
          </w:p>
        </w:tc>
        <w:tc>
          <w:tcPr>
            <w:tcW w:w="1092"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25 545</w:t>
            </w:r>
          </w:p>
        </w:tc>
        <w:tc>
          <w:tcPr>
            <w:tcW w:w="1107"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14 484</w:t>
            </w:r>
          </w:p>
        </w:tc>
        <w:tc>
          <w:tcPr>
            <w:tcW w:w="1109"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11 061</w:t>
            </w:r>
          </w:p>
        </w:tc>
        <w:tc>
          <w:tcPr>
            <w:tcW w:w="1070"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1 228</w:t>
            </w:r>
          </w:p>
        </w:tc>
        <w:tc>
          <w:tcPr>
            <w:tcW w:w="841"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266</w:t>
            </w:r>
          </w:p>
        </w:tc>
      </w:tr>
      <w:tr w:rsidR="00000000">
        <w:tblPrEx>
          <w:tblCellMar>
            <w:top w:w="0" w:type="dxa"/>
            <w:bottom w:w="0" w:type="dxa"/>
          </w:tblCellMar>
        </w:tblPrEx>
        <w:trPr>
          <w:trHeight w:val="139"/>
        </w:trPr>
        <w:tc>
          <w:tcPr>
            <w:tcW w:w="1058" w:type="dxa"/>
            <w:tcBorders>
              <w:top w:val="single" w:sz="4" w:space="0" w:color="auto"/>
              <w:left w:val="single" w:sz="4" w:space="0" w:color="auto"/>
              <w:right w:val="single" w:sz="4" w:space="0" w:color="auto"/>
            </w:tcBorders>
          </w:tcPr>
          <w:p w:rsidR="00000000" w:rsidRDefault="00000000">
            <w:pPr>
              <w:spacing w:after="2"/>
              <w:rPr>
                <w:snapToGrid w:val="0"/>
                <w:sz w:val="20"/>
              </w:rPr>
            </w:pPr>
          </w:p>
        </w:tc>
        <w:tc>
          <w:tcPr>
            <w:tcW w:w="843" w:type="dxa"/>
            <w:tcBorders>
              <w:top w:val="single" w:sz="4" w:space="0" w:color="auto"/>
              <w:right w:val="single" w:sz="4" w:space="0" w:color="auto"/>
            </w:tcBorders>
          </w:tcPr>
          <w:p w:rsidR="00000000" w:rsidRDefault="00000000">
            <w:pPr>
              <w:spacing w:before="2" w:after="2"/>
              <w:ind w:right="113"/>
              <w:jc w:val="center"/>
              <w:rPr>
                <w:snapToGrid w:val="0"/>
                <w:sz w:val="20"/>
              </w:rPr>
            </w:pPr>
            <w:r>
              <w:rPr>
                <w:snapToGrid w:val="0"/>
                <w:sz w:val="20"/>
              </w:rPr>
              <w:t>1997</w:t>
            </w:r>
          </w:p>
        </w:tc>
        <w:tc>
          <w:tcPr>
            <w:tcW w:w="1097"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32 873</w:t>
            </w:r>
          </w:p>
        </w:tc>
        <w:tc>
          <w:tcPr>
            <w:tcW w:w="1139" w:type="dxa"/>
            <w:tcBorders>
              <w:top w:val="single" w:sz="4" w:space="0" w:color="auto"/>
              <w:right w:val="single" w:sz="4" w:space="0" w:color="auto"/>
            </w:tcBorders>
          </w:tcPr>
          <w:p w:rsidR="00000000" w:rsidRDefault="00000000">
            <w:pPr>
              <w:spacing w:before="2" w:after="2"/>
              <w:ind w:left="164" w:right="227" w:hanging="11"/>
              <w:jc w:val="right"/>
              <w:rPr>
                <w:snapToGrid w:val="0"/>
                <w:sz w:val="20"/>
              </w:rPr>
            </w:pPr>
            <w:r>
              <w:rPr>
                <w:snapToGrid w:val="0"/>
                <w:sz w:val="20"/>
              </w:rPr>
              <w:t>3 960</w:t>
            </w:r>
          </w:p>
        </w:tc>
        <w:tc>
          <w:tcPr>
            <w:tcW w:w="1092"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27 423</w:t>
            </w:r>
          </w:p>
        </w:tc>
        <w:tc>
          <w:tcPr>
            <w:tcW w:w="1107"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15 261</w:t>
            </w:r>
          </w:p>
        </w:tc>
        <w:tc>
          <w:tcPr>
            <w:tcW w:w="1109"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12 162</w:t>
            </w:r>
          </w:p>
        </w:tc>
        <w:tc>
          <w:tcPr>
            <w:tcW w:w="1070"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1 248</w:t>
            </w:r>
          </w:p>
        </w:tc>
        <w:tc>
          <w:tcPr>
            <w:tcW w:w="841" w:type="dxa"/>
            <w:tcBorders>
              <w:top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242</w:t>
            </w:r>
          </w:p>
        </w:tc>
      </w:tr>
      <w:tr w:rsidR="00000000">
        <w:tblPrEx>
          <w:tblCellMar>
            <w:top w:w="0" w:type="dxa"/>
            <w:bottom w:w="0" w:type="dxa"/>
          </w:tblCellMar>
        </w:tblPrEx>
        <w:trPr>
          <w:trHeight w:val="139"/>
        </w:trPr>
        <w:tc>
          <w:tcPr>
            <w:tcW w:w="1058" w:type="dxa"/>
            <w:tcBorders>
              <w:left w:val="single" w:sz="4" w:space="0" w:color="auto"/>
              <w:right w:val="single" w:sz="4" w:space="0" w:color="auto"/>
            </w:tcBorders>
          </w:tcPr>
          <w:p w:rsidR="00000000" w:rsidRDefault="00000000">
            <w:pPr>
              <w:spacing w:after="2"/>
              <w:rPr>
                <w:snapToGrid w:val="0"/>
                <w:sz w:val="20"/>
              </w:rPr>
            </w:pPr>
            <w:r>
              <w:rPr>
                <w:snapToGrid w:val="0"/>
                <w:sz w:val="20"/>
              </w:rPr>
              <w:t>December</w:t>
            </w:r>
          </w:p>
        </w:tc>
        <w:tc>
          <w:tcPr>
            <w:tcW w:w="843" w:type="dxa"/>
            <w:tcBorders>
              <w:right w:val="single" w:sz="4" w:space="0" w:color="auto"/>
            </w:tcBorders>
          </w:tcPr>
          <w:p w:rsidR="00000000" w:rsidRDefault="00000000">
            <w:pPr>
              <w:spacing w:before="2" w:after="2"/>
              <w:ind w:right="113"/>
              <w:jc w:val="center"/>
              <w:rPr>
                <w:snapToGrid w:val="0"/>
                <w:sz w:val="20"/>
              </w:rPr>
            </w:pPr>
            <w:r>
              <w:rPr>
                <w:snapToGrid w:val="0"/>
                <w:sz w:val="20"/>
              </w:rPr>
              <w:t>1998</w:t>
            </w:r>
          </w:p>
        </w:tc>
        <w:tc>
          <w:tcPr>
            <w:tcW w:w="1097"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29 599</w:t>
            </w:r>
          </w:p>
        </w:tc>
        <w:tc>
          <w:tcPr>
            <w:tcW w:w="1139" w:type="dxa"/>
            <w:tcBorders>
              <w:right w:val="single" w:sz="4" w:space="0" w:color="auto"/>
            </w:tcBorders>
          </w:tcPr>
          <w:p w:rsidR="00000000" w:rsidRDefault="00000000">
            <w:pPr>
              <w:spacing w:before="2" w:after="2"/>
              <w:ind w:left="164" w:right="227" w:hanging="11"/>
              <w:jc w:val="right"/>
              <w:rPr>
                <w:snapToGrid w:val="0"/>
                <w:sz w:val="20"/>
              </w:rPr>
            </w:pPr>
            <w:r>
              <w:rPr>
                <w:snapToGrid w:val="0"/>
                <w:sz w:val="20"/>
              </w:rPr>
              <w:t>3 317</w:t>
            </w:r>
          </w:p>
        </w:tc>
        <w:tc>
          <w:tcPr>
            <w:tcW w:w="1092"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24 687</w:t>
            </w:r>
          </w:p>
        </w:tc>
        <w:tc>
          <w:tcPr>
            <w:tcW w:w="1107"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14 313</w:t>
            </w:r>
          </w:p>
        </w:tc>
        <w:tc>
          <w:tcPr>
            <w:tcW w:w="1109"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10 374</w:t>
            </w:r>
          </w:p>
        </w:tc>
        <w:tc>
          <w:tcPr>
            <w:tcW w:w="1070"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1 296</w:t>
            </w:r>
          </w:p>
        </w:tc>
        <w:tc>
          <w:tcPr>
            <w:tcW w:w="841" w:type="dxa"/>
            <w:tcBorders>
              <w:right w:val="single" w:sz="4" w:space="0" w:color="auto"/>
            </w:tcBorders>
          </w:tcPr>
          <w:p w:rsidR="00000000" w:rsidRDefault="00000000">
            <w:pPr>
              <w:spacing w:before="2" w:after="2"/>
              <w:ind w:left="164" w:right="170" w:hanging="11"/>
              <w:jc w:val="right"/>
              <w:rPr>
                <w:snapToGrid w:val="0"/>
                <w:sz w:val="20"/>
              </w:rPr>
            </w:pPr>
            <w:r>
              <w:rPr>
                <w:snapToGrid w:val="0"/>
                <w:sz w:val="20"/>
              </w:rPr>
              <w:t>299</w:t>
            </w:r>
          </w:p>
        </w:tc>
      </w:tr>
      <w:tr w:rsidR="00000000">
        <w:tblPrEx>
          <w:tblCellMar>
            <w:top w:w="0" w:type="dxa"/>
            <w:bottom w:w="0" w:type="dxa"/>
          </w:tblCellMar>
        </w:tblPrEx>
        <w:trPr>
          <w:trHeight w:val="139"/>
        </w:trPr>
        <w:tc>
          <w:tcPr>
            <w:tcW w:w="1058" w:type="dxa"/>
            <w:tcBorders>
              <w:left w:val="single" w:sz="4" w:space="0" w:color="auto"/>
              <w:bottom w:val="single" w:sz="4" w:space="0" w:color="auto"/>
              <w:right w:val="single" w:sz="4" w:space="0" w:color="auto"/>
            </w:tcBorders>
          </w:tcPr>
          <w:p w:rsidR="00000000" w:rsidRDefault="00000000">
            <w:pPr>
              <w:spacing w:after="2"/>
              <w:rPr>
                <w:snapToGrid w:val="0"/>
                <w:sz w:val="20"/>
              </w:rPr>
            </w:pPr>
          </w:p>
        </w:tc>
        <w:tc>
          <w:tcPr>
            <w:tcW w:w="843" w:type="dxa"/>
            <w:tcBorders>
              <w:bottom w:val="single" w:sz="4" w:space="0" w:color="auto"/>
              <w:right w:val="single" w:sz="4" w:space="0" w:color="auto"/>
            </w:tcBorders>
          </w:tcPr>
          <w:p w:rsidR="00000000" w:rsidRDefault="00000000">
            <w:pPr>
              <w:spacing w:before="2" w:after="2"/>
              <w:ind w:right="113"/>
              <w:jc w:val="center"/>
              <w:rPr>
                <w:snapToGrid w:val="0"/>
                <w:sz w:val="20"/>
              </w:rPr>
            </w:pPr>
            <w:r>
              <w:rPr>
                <w:snapToGrid w:val="0"/>
                <w:sz w:val="20"/>
              </w:rPr>
              <w:t>1999</w:t>
            </w:r>
          </w:p>
        </w:tc>
        <w:tc>
          <w:tcPr>
            <w:tcW w:w="1097"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28 886</w:t>
            </w:r>
          </w:p>
        </w:tc>
        <w:tc>
          <w:tcPr>
            <w:tcW w:w="1139" w:type="dxa"/>
            <w:tcBorders>
              <w:bottom w:val="single" w:sz="4" w:space="0" w:color="auto"/>
              <w:right w:val="single" w:sz="4" w:space="0" w:color="auto"/>
            </w:tcBorders>
          </w:tcPr>
          <w:p w:rsidR="00000000" w:rsidRDefault="00000000">
            <w:pPr>
              <w:spacing w:before="2" w:after="2"/>
              <w:ind w:left="164" w:right="227" w:hanging="11"/>
              <w:jc w:val="right"/>
              <w:rPr>
                <w:snapToGrid w:val="0"/>
                <w:sz w:val="20"/>
              </w:rPr>
            </w:pPr>
            <w:r>
              <w:rPr>
                <w:snapToGrid w:val="0"/>
                <w:sz w:val="20"/>
              </w:rPr>
              <w:t>3 377</w:t>
            </w:r>
          </w:p>
        </w:tc>
        <w:tc>
          <w:tcPr>
            <w:tcW w:w="1092"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23 950</w:t>
            </w:r>
          </w:p>
        </w:tc>
        <w:tc>
          <w:tcPr>
            <w:tcW w:w="1107"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13 407</w:t>
            </w:r>
          </w:p>
        </w:tc>
        <w:tc>
          <w:tcPr>
            <w:tcW w:w="1109"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10 543</w:t>
            </w:r>
          </w:p>
        </w:tc>
        <w:tc>
          <w:tcPr>
            <w:tcW w:w="1070"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1 269</w:t>
            </w:r>
          </w:p>
        </w:tc>
        <w:tc>
          <w:tcPr>
            <w:tcW w:w="841" w:type="dxa"/>
            <w:tcBorders>
              <w:bottom w:val="single" w:sz="4" w:space="0" w:color="auto"/>
              <w:right w:val="single" w:sz="4" w:space="0" w:color="auto"/>
            </w:tcBorders>
          </w:tcPr>
          <w:p w:rsidR="00000000" w:rsidRDefault="00000000">
            <w:pPr>
              <w:spacing w:before="2" w:after="2"/>
              <w:ind w:left="164" w:right="170" w:hanging="11"/>
              <w:jc w:val="right"/>
              <w:rPr>
                <w:snapToGrid w:val="0"/>
                <w:sz w:val="20"/>
              </w:rPr>
            </w:pPr>
            <w:r>
              <w:rPr>
                <w:snapToGrid w:val="0"/>
                <w:sz w:val="20"/>
              </w:rPr>
              <w:t>290</w:t>
            </w:r>
          </w:p>
        </w:tc>
      </w:tr>
    </w:tbl>
    <w:p w:rsidR="00000000" w:rsidRDefault="00000000">
      <w:pPr>
        <w:rPr>
          <w:snapToGrid w:val="0"/>
          <w:sz w:val="18"/>
        </w:rPr>
      </w:pPr>
    </w:p>
    <w:p w:rsidR="00000000" w:rsidRDefault="00000000">
      <w:pPr>
        <w:rPr>
          <w:snapToGrid w:val="0"/>
          <w:sz w:val="18"/>
        </w:rPr>
      </w:pPr>
    </w:p>
    <w:p w:rsidR="00000000" w:rsidRDefault="00000000">
      <w:pPr>
        <w:rPr>
          <w:snapToGrid w:val="0"/>
          <w:sz w:val="18"/>
        </w:rPr>
      </w:pPr>
      <w:r>
        <w:rPr>
          <w:snapToGrid w:val="0"/>
          <w:sz w:val="18"/>
        </w:rPr>
        <w:tab/>
      </w:r>
      <w:r>
        <w:rPr>
          <w:snapToGrid w:val="0"/>
          <w:sz w:val="18"/>
          <w:u w:val="single"/>
        </w:rPr>
        <w:t>Source</w:t>
      </w:r>
      <w:r>
        <w:rPr>
          <w:snapToGrid w:val="0"/>
          <w:sz w:val="18"/>
        </w:rPr>
        <w:t>:  DATAPREV, SUB and CAT.</w:t>
      </w:r>
    </w:p>
    <w:p w:rsidR="00000000" w:rsidRDefault="00000000">
      <w:pPr>
        <w:rPr>
          <w:snapToGrid w:val="0"/>
          <w:sz w:val="18"/>
        </w:rPr>
      </w:pPr>
    </w:p>
    <w:p w:rsidR="00000000" w:rsidRDefault="00000000">
      <w:pPr>
        <w:rPr>
          <w:snapToGrid w:val="0"/>
          <w:sz w:val="18"/>
          <w:u w:val="words"/>
        </w:rPr>
      </w:pPr>
      <w:r>
        <w:rPr>
          <w:snapToGrid w:val="0"/>
          <w:sz w:val="18"/>
        </w:rPr>
        <w:tab/>
        <w:t>Please note:  The data are incomplete and are subject to corrections.</w:t>
      </w:r>
    </w:p>
    <w:p w:rsidR="00000000" w:rsidRDefault="00000000">
      <w:pPr>
        <w:rPr>
          <w:snapToGrid w:val="0"/>
          <w:sz w:val="18"/>
          <w:u w:val="words"/>
        </w:rPr>
      </w:pPr>
    </w:p>
    <w:p w:rsidR="00000000" w:rsidRDefault="00000000">
      <w:pPr>
        <w:pStyle w:val="Heading1"/>
        <w:rPr>
          <w:snapToGrid w:val="0"/>
          <w:sz w:val="18"/>
        </w:rPr>
      </w:pPr>
      <w:r>
        <w:rPr>
          <w:snapToGrid w:val="0"/>
        </w:rPr>
        <w:br w:type="page"/>
      </w:r>
      <w:r>
        <w:rPr>
          <w:snapToGrid w:val="0"/>
          <w:sz w:val="18"/>
        </w:rPr>
        <w:t>Table 32</w:t>
      </w:r>
    </w:p>
    <w:p w:rsidR="00000000" w:rsidRDefault="00000000">
      <w:pPr>
        <w:pStyle w:val="Heading1"/>
        <w:rPr>
          <w:snapToGrid w:val="0"/>
          <w:sz w:val="18"/>
        </w:rPr>
      </w:pPr>
    </w:p>
    <w:p w:rsidR="00000000" w:rsidRDefault="00000000">
      <w:pPr>
        <w:pStyle w:val="Heading1"/>
        <w:rPr>
          <w:snapToGrid w:val="0"/>
          <w:sz w:val="18"/>
        </w:rPr>
      </w:pPr>
      <w:r>
        <w:rPr>
          <w:snapToGrid w:val="0"/>
          <w:sz w:val="18"/>
        </w:rPr>
        <w:t>Number of workplace accidents settled, by major region and state, 1997</w:t>
      </w:r>
      <w:r>
        <w:rPr>
          <w:snapToGrid w:val="0"/>
          <w:sz w:val="18"/>
        </w:rPr>
        <w:noBreakHyphen/>
        <w:t>1999</w:t>
      </w:r>
    </w:p>
    <w:p w:rsidR="00000000" w:rsidRDefault="00000000">
      <w:pPr>
        <w:rPr>
          <w:sz w:val="18"/>
        </w:rPr>
      </w:pPr>
    </w:p>
    <w:tbl>
      <w:tblPr>
        <w:tblW w:w="0" w:type="auto"/>
        <w:jc w:val="center"/>
        <w:tblInd w:w="5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892"/>
        <w:gridCol w:w="683"/>
        <w:gridCol w:w="850"/>
        <w:gridCol w:w="999"/>
        <w:gridCol w:w="865"/>
        <w:gridCol w:w="992"/>
        <w:gridCol w:w="1134"/>
        <w:gridCol w:w="992"/>
        <w:gridCol w:w="710"/>
      </w:tblGrid>
      <w:tr w:rsidR="00000000">
        <w:tblPrEx>
          <w:tblCellMar>
            <w:top w:w="0" w:type="dxa"/>
            <w:bottom w:w="0" w:type="dxa"/>
          </w:tblCellMar>
        </w:tblPrEx>
        <w:trPr>
          <w:cantSplit/>
          <w:trHeight w:val="216"/>
          <w:tblHeader/>
          <w:jc w:val="center"/>
        </w:trPr>
        <w:tc>
          <w:tcPr>
            <w:tcW w:w="1892" w:type="dxa"/>
            <w:vMerge w:val="restart"/>
            <w:vAlign w:val="center"/>
          </w:tcPr>
          <w:p w:rsidR="00000000" w:rsidRDefault="00000000">
            <w:pPr>
              <w:jc w:val="center"/>
              <w:rPr>
                <w:bCs/>
                <w:snapToGrid w:val="0"/>
                <w:sz w:val="18"/>
              </w:rPr>
            </w:pPr>
            <w:r>
              <w:rPr>
                <w:bCs/>
                <w:snapToGrid w:val="0"/>
                <w:sz w:val="18"/>
              </w:rPr>
              <w:t>Regions and states</w:t>
            </w:r>
          </w:p>
        </w:tc>
        <w:tc>
          <w:tcPr>
            <w:tcW w:w="683" w:type="dxa"/>
            <w:vMerge w:val="restart"/>
            <w:vAlign w:val="center"/>
          </w:tcPr>
          <w:p w:rsidR="00000000" w:rsidRDefault="00000000">
            <w:pPr>
              <w:jc w:val="center"/>
              <w:rPr>
                <w:bCs/>
                <w:snapToGrid w:val="0"/>
                <w:sz w:val="18"/>
              </w:rPr>
            </w:pPr>
            <w:r>
              <w:rPr>
                <w:bCs/>
                <w:snapToGrid w:val="0"/>
                <w:sz w:val="18"/>
              </w:rPr>
              <w:t>Years</w:t>
            </w:r>
          </w:p>
        </w:tc>
        <w:tc>
          <w:tcPr>
            <w:tcW w:w="6542" w:type="dxa"/>
            <w:gridSpan w:val="7"/>
            <w:tcBorders>
              <w:top w:val="single" w:sz="4" w:space="0" w:color="auto"/>
              <w:bottom w:val="single" w:sz="4" w:space="0" w:color="auto"/>
            </w:tcBorders>
            <w:vAlign w:val="center"/>
          </w:tcPr>
          <w:p w:rsidR="00000000" w:rsidRDefault="00000000">
            <w:pPr>
              <w:jc w:val="center"/>
              <w:rPr>
                <w:bCs/>
                <w:snapToGrid w:val="0"/>
                <w:sz w:val="18"/>
              </w:rPr>
            </w:pPr>
            <w:r>
              <w:rPr>
                <w:bCs/>
                <w:snapToGrid w:val="0"/>
                <w:sz w:val="18"/>
              </w:rPr>
              <w:t>Number of workplace accidents settled</w:t>
            </w:r>
          </w:p>
        </w:tc>
      </w:tr>
      <w:tr w:rsidR="00000000">
        <w:tblPrEx>
          <w:tblCellMar>
            <w:top w:w="0" w:type="dxa"/>
            <w:bottom w:w="0" w:type="dxa"/>
          </w:tblCellMar>
        </w:tblPrEx>
        <w:trPr>
          <w:cantSplit/>
          <w:trHeight w:val="216"/>
          <w:tblHeader/>
          <w:jc w:val="center"/>
        </w:trPr>
        <w:tc>
          <w:tcPr>
            <w:tcW w:w="1892" w:type="dxa"/>
            <w:vMerge/>
          </w:tcPr>
          <w:p w:rsidR="00000000" w:rsidRDefault="00000000">
            <w:pPr>
              <w:rPr>
                <w:bCs/>
                <w:snapToGrid w:val="0"/>
                <w:sz w:val="18"/>
              </w:rPr>
            </w:pPr>
          </w:p>
        </w:tc>
        <w:tc>
          <w:tcPr>
            <w:tcW w:w="683" w:type="dxa"/>
            <w:vMerge/>
          </w:tcPr>
          <w:p w:rsidR="00000000" w:rsidRDefault="00000000">
            <w:pPr>
              <w:jc w:val="center"/>
              <w:rPr>
                <w:bCs/>
                <w:snapToGrid w:val="0"/>
                <w:sz w:val="18"/>
              </w:rPr>
            </w:pPr>
          </w:p>
        </w:tc>
        <w:tc>
          <w:tcPr>
            <w:tcW w:w="850" w:type="dxa"/>
            <w:vMerge w:val="restart"/>
            <w:tcBorders>
              <w:top w:val="single" w:sz="4" w:space="0" w:color="auto"/>
            </w:tcBorders>
            <w:vAlign w:val="center"/>
          </w:tcPr>
          <w:p w:rsidR="00000000" w:rsidRDefault="00000000">
            <w:pPr>
              <w:jc w:val="center"/>
              <w:rPr>
                <w:bCs/>
                <w:snapToGrid w:val="0"/>
                <w:sz w:val="18"/>
              </w:rPr>
            </w:pPr>
            <w:r>
              <w:rPr>
                <w:bCs/>
                <w:snapToGrid w:val="0"/>
                <w:sz w:val="18"/>
              </w:rPr>
              <w:t>Total</w:t>
            </w:r>
          </w:p>
        </w:tc>
        <w:tc>
          <w:tcPr>
            <w:tcW w:w="5692" w:type="dxa"/>
            <w:gridSpan w:val="6"/>
            <w:tcBorders>
              <w:top w:val="single" w:sz="4" w:space="0" w:color="auto"/>
              <w:bottom w:val="single" w:sz="4" w:space="0" w:color="auto"/>
            </w:tcBorders>
            <w:vAlign w:val="center"/>
          </w:tcPr>
          <w:p w:rsidR="00000000" w:rsidRDefault="00000000">
            <w:pPr>
              <w:jc w:val="center"/>
              <w:rPr>
                <w:bCs/>
                <w:snapToGrid w:val="0"/>
                <w:sz w:val="18"/>
              </w:rPr>
            </w:pPr>
            <w:r>
              <w:rPr>
                <w:bCs/>
                <w:snapToGrid w:val="0"/>
                <w:sz w:val="18"/>
              </w:rPr>
              <w:t>Results</w:t>
            </w:r>
          </w:p>
        </w:tc>
      </w:tr>
      <w:tr w:rsidR="00000000">
        <w:tblPrEx>
          <w:tblCellMar>
            <w:top w:w="0" w:type="dxa"/>
            <w:bottom w:w="0" w:type="dxa"/>
          </w:tblCellMar>
        </w:tblPrEx>
        <w:trPr>
          <w:cantSplit/>
          <w:trHeight w:val="216"/>
          <w:tblHeader/>
          <w:jc w:val="center"/>
        </w:trPr>
        <w:tc>
          <w:tcPr>
            <w:tcW w:w="1892" w:type="dxa"/>
            <w:vMerge/>
          </w:tcPr>
          <w:p w:rsidR="00000000" w:rsidRDefault="00000000">
            <w:pPr>
              <w:rPr>
                <w:bCs/>
                <w:snapToGrid w:val="0"/>
                <w:sz w:val="18"/>
              </w:rPr>
            </w:pPr>
          </w:p>
        </w:tc>
        <w:tc>
          <w:tcPr>
            <w:tcW w:w="683" w:type="dxa"/>
            <w:vMerge/>
          </w:tcPr>
          <w:p w:rsidR="00000000" w:rsidRDefault="00000000">
            <w:pPr>
              <w:jc w:val="center"/>
              <w:rPr>
                <w:bCs/>
                <w:snapToGrid w:val="0"/>
                <w:sz w:val="18"/>
              </w:rPr>
            </w:pPr>
          </w:p>
        </w:tc>
        <w:tc>
          <w:tcPr>
            <w:tcW w:w="850" w:type="dxa"/>
            <w:vMerge/>
          </w:tcPr>
          <w:p w:rsidR="00000000" w:rsidRDefault="00000000">
            <w:pPr>
              <w:rPr>
                <w:bCs/>
                <w:snapToGrid w:val="0"/>
                <w:sz w:val="18"/>
              </w:rPr>
            </w:pPr>
          </w:p>
        </w:tc>
        <w:tc>
          <w:tcPr>
            <w:tcW w:w="999" w:type="dxa"/>
            <w:vMerge w:val="restart"/>
            <w:vAlign w:val="center"/>
          </w:tcPr>
          <w:p w:rsidR="00000000" w:rsidRDefault="00000000">
            <w:pPr>
              <w:jc w:val="center"/>
              <w:rPr>
                <w:bCs/>
                <w:snapToGrid w:val="0"/>
                <w:sz w:val="18"/>
              </w:rPr>
            </w:pPr>
            <w:r>
              <w:rPr>
                <w:bCs/>
                <w:snapToGrid w:val="0"/>
                <w:sz w:val="18"/>
              </w:rPr>
              <w:t>Medical assistance</w:t>
            </w:r>
          </w:p>
        </w:tc>
        <w:tc>
          <w:tcPr>
            <w:tcW w:w="2991" w:type="dxa"/>
            <w:gridSpan w:val="3"/>
            <w:tcBorders>
              <w:top w:val="nil"/>
              <w:bottom w:val="single" w:sz="4" w:space="0" w:color="auto"/>
            </w:tcBorders>
            <w:vAlign w:val="center"/>
          </w:tcPr>
          <w:p w:rsidR="00000000" w:rsidRDefault="00000000">
            <w:pPr>
              <w:jc w:val="center"/>
              <w:rPr>
                <w:bCs/>
                <w:snapToGrid w:val="0"/>
                <w:sz w:val="18"/>
              </w:rPr>
            </w:pPr>
            <w:r>
              <w:rPr>
                <w:bCs/>
                <w:snapToGrid w:val="0"/>
                <w:sz w:val="18"/>
              </w:rPr>
              <w:t>Temporary disability</w:t>
            </w:r>
          </w:p>
        </w:tc>
        <w:tc>
          <w:tcPr>
            <w:tcW w:w="992" w:type="dxa"/>
            <w:vMerge w:val="restart"/>
            <w:vAlign w:val="center"/>
          </w:tcPr>
          <w:p w:rsidR="00000000" w:rsidRDefault="00000000">
            <w:pPr>
              <w:rPr>
                <w:bCs/>
                <w:snapToGrid w:val="0"/>
                <w:sz w:val="18"/>
              </w:rPr>
            </w:pPr>
            <w:r>
              <w:rPr>
                <w:bCs/>
                <w:snapToGrid w:val="0"/>
                <w:sz w:val="18"/>
              </w:rPr>
              <w:t>Permanent disability</w:t>
            </w:r>
          </w:p>
        </w:tc>
        <w:tc>
          <w:tcPr>
            <w:tcW w:w="710" w:type="dxa"/>
            <w:vMerge w:val="restart"/>
            <w:vAlign w:val="center"/>
          </w:tcPr>
          <w:p w:rsidR="00000000" w:rsidRDefault="00000000">
            <w:pPr>
              <w:rPr>
                <w:bCs/>
                <w:snapToGrid w:val="0"/>
                <w:sz w:val="18"/>
              </w:rPr>
            </w:pPr>
            <w:r>
              <w:rPr>
                <w:bCs/>
                <w:snapToGrid w:val="0"/>
                <w:sz w:val="18"/>
              </w:rPr>
              <w:t>Death</w:t>
            </w:r>
          </w:p>
        </w:tc>
      </w:tr>
      <w:tr w:rsidR="00000000">
        <w:tblPrEx>
          <w:tblCellMar>
            <w:top w:w="0" w:type="dxa"/>
            <w:bottom w:w="0" w:type="dxa"/>
          </w:tblCellMar>
        </w:tblPrEx>
        <w:trPr>
          <w:cantSplit/>
          <w:trHeight w:val="216"/>
          <w:tblHeader/>
          <w:jc w:val="center"/>
        </w:trPr>
        <w:tc>
          <w:tcPr>
            <w:tcW w:w="1892" w:type="dxa"/>
            <w:vMerge/>
            <w:tcBorders>
              <w:bottom w:val="single" w:sz="4" w:space="0" w:color="auto"/>
            </w:tcBorders>
          </w:tcPr>
          <w:p w:rsidR="00000000" w:rsidRDefault="00000000">
            <w:pPr>
              <w:rPr>
                <w:bCs/>
                <w:snapToGrid w:val="0"/>
                <w:sz w:val="18"/>
              </w:rPr>
            </w:pPr>
          </w:p>
        </w:tc>
        <w:tc>
          <w:tcPr>
            <w:tcW w:w="683" w:type="dxa"/>
            <w:vMerge/>
            <w:tcBorders>
              <w:bottom w:val="single" w:sz="4" w:space="0" w:color="auto"/>
            </w:tcBorders>
          </w:tcPr>
          <w:p w:rsidR="00000000" w:rsidRDefault="00000000">
            <w:pPr>
              <w:jc w:val="center"/>
              <w:rPr>
                <w:bCs/>
                <w:snapToGrid w:val="0"/>
                <w:sz w:val="18"/>
              </w:rPr>
            </w:pPr>
          </w:p>
        </w:tc>
        <w:tc>
          <w:tcPr>
            <w:tcW w:w="850" w:type="dxa"/>
            <w:vMerge/>
            <w:tcBorders>
              <w:bottom w:val="single" w:sz="4" w:space="0" w:color="auto"/>
            </w:tcBorders>
          </w:tcPr>
          <w:p w:rsidR="00000000" w:rsidRDefault="00000000">
            <w:pPr>
              <w:rPr>
                <w:bCs/>
                <w:snapToGrid w:val="0"/>
                <w:sz w:val="18"/>
              </w:rPr>
            </w:pPr>
          </w:p>
        </w:tc>
        <w:tc>
          <w:tcPr>
            <w:tcW w:w="999" w:type="dxa"/>
            <w:vMerge/>
            <w:tcBorders>
              <w:bottom w:val="single" w:sz="4" w:space="0" w:color="auto"/>
            </w:tcBorders>
          </w:tcPr>
          <w:p w:rsidR="00000000" w:rsidRDefault="00000000">
            <w:pPr>
              <w:rPr>
                <w:bCs/>
                <w:snapToGrid w:val="0"/>
                <w:sz w:val="18"/>
              </w:rPr>
            </w:pPr>
          </w:p>
        </w:tc>
        <w:tc>
          <w:tcPr>
            <w:tcW w:w="865" w:type="dxa"/>
            <w:tcBorders>
              <w:bottom w:val="single" w:sz="4" w:space="0" w:color="auto"/>
            </w:tcBorders>
            <w:vAlign w:val="center"/>
          </w:tcPr>
          <w:p w:rsidR="00000000" w:rsidRDefault="00000000">
            <w:pPr>
              <w:rPr>
                <w:bCs/>
                <w:snapToGrid w:val="0"/>
                <w:sz w:val="18"/>
              </w:rPr>
            </w:pPr>
            <w:r>
              <w:rPr>
                <w:bCs/>
                <w:snapToGrid w:val="0"/>
                <w:sz w:val="18"/>
              </w:rPr>
              <w:t>Total</w:t>
            </w:r>
          </w:p>
        </w:tc>
        <w:tc>
          <w:tcPr>
            <w:tcW w:w="992" w:type="dxa"/>
            <w:tcBorders>
              <w:bottom w:val="single" w:sz="4" w:space="0" w:color="auto"/>
            </w:tcBorders>
            <w:vAlign w:val="center"/>
          </w:tcPr>
          <w:p w:rsidR="00000000" w:rsidRDefault="00000000">
            <w:pPr>
              <w:rPr>
                <w:bCs/>
                <w:snapToGrid w:val="0"/>
                <w:sz w:val="18"/>
              </w:rPr>
            </w:pPr>
            <w:r>
              <w:rPr>
                <w:bCs/>
                <w:snapToGrid w:val="0"/>
                <w:sz w:val="18"/>
              </w:rPr>
              <w:t>Less than 15 days</w:t>
            </w:r>
          </w:p>
        </w:tc>
        <w:tc>
          <w:tcPr>
            <w:tcW w:w="1134" w:type="dxa"/>
            <w:tcBorders>
              <w:bottom w:val="single" w:sz="4" w:space="0" w:color="auto"/>
            </w:tcBorders>
            <w:vAlign w:val="center"/>
          </w:tcPr>
          <w:p w:rsidR="00000000" w:rsidRDefault="00000000">
            <w:pPr>
              <w:rPr>
                <w:bCs/>
                <w:snapToGrid w:val="0"/>
                <w:sz w:val="18"/>
              </w:rPr>
            </w:pPr>
            <w:r>
              <w:rPr>
                <w:bCs/>
                <w:snapToGrid w:val="0"/>
                <w:sz w:val="18"/>
              </w:rPr>
              <w:t>More than 15 days</w:t>
            </w:r>
          </w:p>
        </w:tc>
        <w:tc>
          <w:tcPr>
            <w:tcW w:w="992" w:type="dxa"/>
            <w:vMerge/>
            <w:tcBorders>
              <w:bottom w:val="single" w:sz="4" w:space="0" w:color="auto"/>
            </w:tcBorders>
          </w:tcPr>
          <w:p w:rsidR="00000000" w:rsidRDefault="00000000">
            <w:pPr>
              <w:rPr>
                <w:bCs/>
                <w:snapToGrid w:val="0"/>
                <w:sz w:val="18"/>
              </w:rPr>
            </w:pPr>
          </w:p>
        </w:tc>
        <w:tc>
          <w:tcPr>
            <w:tcW w:w="710" w:type="dxa"/>
            <w:vMerge/>
            <w:tcBorders>
              <w:bottom w:val="single" w:sz="4" w:space="0" w:color="auto"/>
            </w:tcBorders>
          </w:tcPr>
          <w:p w:rsidR="00000000" w:rsidRDefault="00000000">
            <w:pPr>
              <w:rPr>
                <w:bCs/>
                <w:snapToGrid w:val="0"/>
                <w:sz w:val="18"/>
              </w:rPr>
            </w:pPr>
          </w:p>
        </w:tc>
      </w:tr>
      <w:tr w:rsidR="00000000">
        <w:tblPrEx>
          <w:tblCellMar>
            <w:top w:w="0" w:type="dxa"/>
            <w:bottom w:w="0" w:type="dxa"/>
          </w:tblCellMar>
        </w:tblPrEx>
        <w:trPr>
          <w:cantSplit/>
          <w:trHeight w:val="216"/>
          <w:jc w:val="center"/>
        </w:trPr>
        <w:tc>
          <w:tcPr>
            <w:tcW w:w="1892" w:type="dxa"/>
            <w:tcBorders>
              <w:top w:val="single" w:sz="4" w:space="0" w:color="auto"/>
              <w:bottom w:val="nil"/>
            </w:tcBorders>
          </w:tcPr>
          <w:p w:rsidR="00000000" w:rsidRDefault="00000000">
            <w:pPr>
              <w:rPr>
                <w:b/>
                <w:snapToGrid w:val="0"/>
                <w:sz w:val="18"/>
              </w:rPr>
            </w:pPr>
          </w:p>
        </w:tc>
        <w:tc>
          <w:tcPr>
            <w:tcW w:w="683" w:type="dxa"/>
            <w:tcBorders>
              <w:top w:val="single" w:sz="4" w:space="0" w:color="auto"/>
              <w:bottom w:val="nil"/>
            </w:tcBorders>
          </w:tcPr>
          <w:p w:rsidR="00000000" w:rsidRDefault="00000000">
            <w:pPr>
              <w:jc w:val="center"/>
              <w:rPr>
                <w:b/>
                <w:snapToGrid w:val="0"/>
                <w:sz w:val="18"/>
              </w:rPr>
            </w:pPr>
            <w:r>
              <w:rPr>
                <w:b/>
                <w:snapToGrid w:val="0"/>
                <w:sz w:val="18"/>
              </w:rPr>
              <w:t>1997</w:t>
            </w:r>
          </w:p>
        </w:tc>
        <w:tc>
          <w:tcPr>
            <w:tcW w:w="850" w:type="dxa"/>
            <w:tcBorders>
              <w:top w:val="single" w:sz="4" w:space="0" w:color="auto"/>
              <w:bottom w:val="nil"/>
            </w:tcBorders>
          </w:tcPr>
          <w:p w:rsidR="00000000" w:rsidRDefault="00000000">
            <w:pPr>
              <w:jc w:val="right"/>
              <w:rPr>
                <w:b/>
                <w:snapToGrid w:val="0"/>
                <w:sz w:val="18"/>
              </w:rPr>
            </w:pPr>
            <w:r>
              <w:rPr>
                <w:b/>
                <w:snapToGrid w:val="0"/>
                <w:sz w:val="18"/>
              </w:rPr>
              <w:t>440 281</w:t>
            </w:r>
          </w:p>
        </w:tc>
        <w:tc>
          <w:tcPr>
            <w:tcW w:w="999" w:type="dxa"/>
            <w:tcBorders>
              <w:top w:val="single" w:sz="4" w:space="0" w:color="auto"/>
              <w:bottom w:val="nil"/>
            </w:tcBorders>
          </w:tcPr>
          <w:p w:rsidR="00000000" w:rsidRDefault="00000000">
            <w:pPr>
              <w:ind w:right="113"/>
              <w:jc w:val="right"/>
              <w:rPr>
                <w:b/>
                <w:snapToGrid w:val="0"/>
                <w:sz w:val="18"/>
              </w:rPr>
            </w:pPr>
            <w:r>
              <w:rPr>
                <w:b/>
                <w:snapToGrid w:val="0"/>
                <w:sz w:val="18"/>
              </w:rPr>
              <w:t>56 431</w:t>
            </w:r>
          </w:p>
        </w:tc>
        <w:tc>
          <w:tcPr>
            <w:tcW w:w="865" w:type="dxa"/>
            <w:tcBorders>
              <w:top w:val="single" w:sz="4" w:space="0" w:color="auto"/>
              <w:bottom w:val="nil"/>
            </w:tcBorders>
          </w:tcPr>
          <w:p w:rsidR="00000000" w:rsidRDefault="00000000">
            <w:pPr>
              <w:ind w:right="57"/>
              <w:jc w:val="right"/>
              <w:rPr>
                <w:b/>
                <w:snapToGrid w:val="0"/>
                <w:sz w:val="18"/>
              </w:rPr>
            </w:pPr>
            <w:r>
              <w:rPr>
                <w:b/>
                <w:snapToGrid w:val="0"/>
                <w:sz w:val="18"/>
              </w:rPr>
              <w:t>362 712</w:t>
            </w:r>
          </w:p>
        </w:tc>
        <w:tc>
          <w:tcPr>
            <w:tcW w:w="992" w:type="dxa"/>
            <w:tcBorders>
              <w:top w:val="single" w:sz="4" w:space="0" w:color="auto"/>
              <w:bottom w:val="nil"/>
            </w:tcBorders>
          </w:tcPr>
          <w:p w:rsidR="00000000" w:rsidRDefault="00000000">
            <w:pPr>
              <w:ind w:right="113"/>
              <w:jc w:val="right"/>
              <w:rPr>
                <w:b/>
                <w:snapToGrid w:val="0"/>
                <w:sz w:val="18"/>
              </w:rPr>
            </w:pPr>
            <w:r>
              <w:rPr>
                <w:b/>
                <w:snapToGrid w:val="0"/>
                <w:sz w:val="18"/>
              </w:rPr>
              <w:t>206 608</w:t>
            </w:r>
          </w:p>
        </w:tc>
        <w:tc>
          <w:tcPr>
            <w:tcW w:w="1134" w:type="dxa"/>
            <w:tcBorders>
              <w:top w:val="single" w:sz="4" w:space="0" w:color="auto"/>
              <w:bottom w:val="nil"/>
            </w:tcBorders>
          </w:tcPr>
          <w:p w:rsidR="00000000" w:rsidRDefault="00000000">
            <w:pPr>
              <w:ind w:right="113"/>
              <w:jc w:val="right"/>
              <w:rPr>
                <w:b/>
                <w:snapToGrid w:val="0"/>
                <w:sz w:val="18"/>
              </w:rPr>
            </w:pPr>
            <w:r>
              <w:rPr>
                <w:b/>
                <w:snapToGrid w:val="0"/>
                <w:sz w:val="18"/>
              </w:rPr>
              <w:t>156 104</w:t>
            </w:r>
          </w:p>
        </w:tc>
        <w:tc>
          <w:tcPr>
            <w:tcW w:w="992" w:type="dxa"/>
            <w:tcBorders>
              <w:top w:val="single" w:sz="4" w:space="0" w:color="auto"/>
              <w:bottom w:val="nil"/>
            </w:tcBorders>
          </w:tcPr>
          <w:p w:rsidR="00000000" w:rsidRDefault="00000000">
            <w:pPr>
              <w:ind w:right="113"/>
              <w:jc w:val="right"/>
              <w:rPr>
                <w:b/>
                <w:snapToGrid w:val="0"/>
                <w:sz w:val="18"/>
              </w:rPr>
            </w:pPr>
            <w:r>
              <w:rPr>
                <w:b/>
                <w:snapToGrid w:val="0"/>
                <w:sz w:val="18"/>
              </w:rPr>
              <w:t>17 669</w:t>
            </w:r>
          </w:p>
        </w:tc>
        <w:tc>
          <w:tcPr>
            <w:tcW w:w="710" w:type="dxa"/>
            <w:tcBorders>
              <w:top w:val="single" w:sz="4" w:space="0" w:color="auto"/>
              <w:bottom w:val="nil"/>
            </w:tcBorders>
          </w:tcPr>
          <w:p w:rsidR="00000000" w:rsidRDefault="00000000">
            <w:pPr>
              <w:ind w:right="57"/>
              <w:jc w:val="right"/>
              <w:rPr>
                <w:b/>
                <w:snapToGrid w:val="0"/>
                <w:sz w:val="18"/>
              </w:rPr>
            </w:pPr>
            <w:r>
              <w:rPr>
                <w:b/>
                <w:snapToGrid w:val="0"/>
                <w:sz w:val="18"/>
              </w:rPr>
              <w:t>3 469</w:t>
            </w:r>
          </w:p>
        </w:tc>
      </w:tr>
      <w:tr w:rsidR="00000000">
        <w:tblPrEx>
          <w:tblCellMar>
            <w:top w:w="0" w:type="dxa"/>
            <w:bottom w:w="0" w:type="dxa"/>
          </w:tblCellMar>
        </w:tblPrEx>
        <w:trPr>
          <w:trHeight w:val="187"/>
          <w:jc w:val="center"/>
        </w:trPr>
        <w:tc>
          <w:tcPr>
            <w:tcW w:w="1892" w:type="dxa"/>
            <w:tcBorders>
              <w:top w:val="nil"/>
              <w:bottom w:val="nil"/>
            </w:tcBorders>
          </w:tcPr>
          <w:p w:rsidR="00000000" w:rsidRDefault="00000000">
            <w:pPr>
              <w:rPr>
                <w:b/>
                <w:snapToGrid w:val="0"/>
                <w:sz w:val="18"/>
              </w:rPr>
            </w:pPr>
            <w:r>
              <w:rPr>
                <w:b/>
                <w:snapToGrid w:val="0"/>
                <w:sz w:val="18"/>
              </w:rPr>
              <w:t>Brazil</w:t>
            </w:r>
          </w:p>
        </w:tc>
        <w:tc>
          <w:tcPr>
            <w:tcW w:w="683" w:type="dxa"/>
            <w:tcBorders>
              <w:top w:val="nil"/>
              <w:bottom w:val="nil"/>
            </w:tcBorders>
          </w:tcPr>
          <w:p w:rsidR="00000000" w:rsidRDefault="00000000">
            <w:pPr>
              <w:jc w:val="center"/>
              <w:rPr>
                <w:b/>
                <w:snapToGrid w:val="0"/>
                <w:sz w:val="18"/>
              </w:rPr>
            </w:pPr>
            <w:r>
              <w:rPr>
                <w:b/>
                <w:snapToGrid w:val="0"/>
                <w:sz w:val="18"/>
              </w:rPr>
              <w:t>1998</w:t>
            </w:r>
          </w:p>
        </w:tc>
        <w:tc>
          <w:tcPr>
            <w:tcW w:w="850" w:type="dxa"/>
            <w:tcBorders>
              <w:top w:val="nil"/>
              <w:bottom w:val="nil"/>
            </w:tcBorders>
          </w:tcPr>
          <w:p w:rsidR="00000000" w:rsidRDefault="00000000">
            <w:pPr>
              <w:jc w:val="right"/>
              <w:rPr>
                <w:b/>
                <w:snapToGrid w:val="0"/>
                <w:sz w:val="18"/>
              </w:rPr>
            </w:pPr>
            <w:r>
              <w:rPr>
                <w:b/>
                <w:snapToGrid w:val="0"/>
                <w:sz w:val="18"/>
              </w:rPr>
              <w:t>408 987</w:t>
            </w:r>
          </w:p>
        </w:tc>
        <w:tc>
          <w:tcPr>
            <w:tcW w:w="999" w:type="dxa"/>
            <w:tcBorders>
              <w:top w:val="nil"/>
              <w:bottom w:val="nil"/>
            </w:tcBorders>
          </w:tcPr>
          <w:p w:rsidR="00000000" w:rsidRDefault="00000000">
            <w:pPr>
              <w:ind w:right="113"/>
              <w:jc w:val="right"/>
              <w:rPr>
                <w:b/>
                <w:snapToGrid w:val="0"/>
                <w:sz w:val="18"/>
              </w:rPr>
            </w:pPr>
            <w:r>
              <w:rPr>
                <w:b/>
                <w:snapToGrid w:val="0"/>
                <w:sz w:val="18"/>
              </w:rPr>
              <w:t>55 686</w:t>
            </w:r>
          </w:p>
        </w:tc>
        <w:tc>
          <w:tcPr>
            <w:tcW w:w="865" w:type="dxa"/>
            <w:tcBorders>
              <w:top w:val="nil"/>
              <w:bottom w:val="nil"/>
            </w:tcBorders>
          </w:tcPr>
          <w:p w:rsidR="00000000" w:rsidRDefault="00000000">
            <w:pPr>
              <w:ind w:right="57"/>
              <w:jc w:val="right"/>
              <w:rPr>
                <w:b/>
                <w:snapToGrid w:val="0"/>
                <w:sz w:val="18"/>
              </w:rPr>
            </w:pPr>
            <w:r>
              <w:rPr>
                <w:b/>
                <w:snapToGrid w:val="0"/>
                <w:sz w:val="18"/>
              </w:rPr>
              <w:t>333 234</w:t>
            </w:r>
          </w:p>
        </w:tc>
        <w:tc>
          <w:tcPr>
            <w:tcW w:w="992" w:type="dxa"/>
            <w:tcBorders>
              <w:top w:val="nil"/>
              <w:bottom w:val="nil"/>
            </w:tcBorders>
          </w:tcPr>
          <w:p w:rsidR="00000000" w:rsidRDefault="00000000">
            <w:pPr>
              <w:ind w:right="113"/>
              <w:jc w:val="right"/>
              <w:rPr>
                <w:b/>
                <w:snapToGrid w:val="0"/>
                <w:sz w:val="18"/>
              </w:rPr>
            </w:pPr>
            <w:r>
              <w:rPr>
                <w:b/>
                <w:snapToGrid w:val="0"/>
                <w:sz w:val="18"/>
              </w:rPr>
              <w:t>188 221</w:t>
            </w:r>
          </w:p>
        </w:tc>
        <w:tc>
          <w:tcPr>
            <w:tcW w:w="1134" w:type="dxa"/>
            <w:tcBorders>
              <w:top w:val="nil"/>
              <w:bottom w:val="nil"/>
            </w:tcBorders>
          </w:tcPr>
          <w:p w:rsidR="00000000" w:rsidRDefault="00000000">
            <w:pPr>
              <w:ind w:right="113"/>
              <w:jc w:val="right"/>
              <w:rPr>
                <w:b/>
                <w:snapToGrid w:val="0"/>
                <w:sz w:val="18"/>
              </w:rPr>
            </w:pPr>
            <w:r>
              <w:rPr>
                <w:b/>
                <w:snapToGrid w:val="0"/>
                <w:sz w:val="18"/>
              </w:rPr>
              <w:t>145 013</w:t>
            </w:r>
          </w:p>
        </w:tc>
        <w:tc>
          <w:tcPr>
            <w:tcW w:w="992" w:type="dxa"/>
            <w:tcBorders>
              <w:top w:val="nil"/>
              <w:bottom w:val="nil"/>
            </w:tcBorders>
          </w:tcPr>
          <w:p w:rsidR="00000000" w:rsidRDefault="00000000">
            <w:pPr>
              <w:ind w:right="113"/>
              <w:jc w:val="right"/>
              <w:rPr>
                <w:b/>
                <w:snapToGrid w:val="0"/>
                <w:sz w:val="18"/>
              </w:rPr>
            </w:pPr>
            <w:r>
              <w:rPr>
                <w:b/>
                <w:snapToGrid w:val="0"/>
                <w:sz w:val="18"/>
              </w:rPr>
              <w:t>15 923</w:t>
            </w:r>
          </w:p>
        </w:tc>
        <w:tc>
          <w:tcPr>
            <w:tcW w:w="710" w:type="dxa"/>
            <w:tcBorders>
              <w:top w:val="nil"/>
              <w:bottom w:val="nil"/>
            </w:tcBorders>
          </w:tcPr>
          <w:p w:rsidR="00000000" w:rsidRDefault="00000000">
            <w:pPr>
              <w:ind w:right="57"/>
              <w:jc w:val="right"/>
              <w:rPr>
                <w:b/>
                <w:snapToGrid w:val="0"/>
                <w:sz w:val="18"/>
              </w:rPr>
            </w:pPr>
            <w:r>
              <w:rPr>
                <w:b/>
                <w:snapToGrid w:val="0"/>
                <w:sz w:val="18"/>
              </w:rPr>
              <w:t>4 144</w:t>
            </w:r>
          </w:p>
        </w:tc>
      </w:tr>
      <w:tr w:rsidR="00000000">
        <w:tblPrEx>
          <w:tblCellMar>
            <w:top w:w="0" w:type="dxa"/>
            <w:bottom w:w="0" w:type="dxa"/>
          </w:tblCellMar>
        </w:tblPrEx>
        <w:trPr>
          <w:trHeight w:val="187"/>
          <w:jc w:val="center"/>
        </w:trPr>
        <w:tc>
          <w:tcPr>
            <w:tcW w:w="1892" w:type="dxa"/>
            <w:tcBorders>
              <w:top w:val="nil"/>
              <w:bottom w:val="single" w:sz="4" w:space="0" w:color="auto"/>
            </w:tcBorders>
          </w:tcPr>
          <w:p w:rsidR="00000000" w:rsidRDefault="00000000">
            <w:pPr>
              <w:rPr>
                <w:b/>
                <w:snapToGrid w:val="0"/>
                <w:sz w:val="18"/>
              </w:rPr>
            </w:pPr>
          </w:p>
        </w:tc>
        <w:tc>
          <w:tcPr>
            <w:tcW w:w="683" w:type="dxa"/>
            <w:tcBorders>
              <w:top w:val="nil"/>
              <w:bottom w:val="single" w:sz="4" w:space="0" w:color="auto"/>
            </w:tcBorders>
          </w:tcPr>
          <w:p w:rsidR="00000000" w:rsidRDefault="00000000">
            <w:pPr>
              <w:jc w:val="center"/>
              <w:rPr>
                <w:b/>
                <w:snapToGrid w:val="0"/>
                <w:sz w:val="18"/>
              </w:rPr>
            </w:pPr>
            <w:r>
              <w:rPr>
                <w:b/>
                <w:snapToGrid w:val="0"/>
                <w:sz w:val="18"/>
              </w:rPr>
              <w:t>1999</w:t>
            </w:r>
          </w:p>
        </w:tc>
        <w:tc>
          <w:tcPr>
            <w:tcW w:w="850" w:type="dxa"/>
            <w:tcBorders>
              <w:top w:val="nil"/>
              <w:bottom w:val="single" w:sz="4" w:space="0" w:color="auto"/>
            </w:tcBorders>
          </w:tcPr>
          <w:p w:rsidR="00000000" w:rsidRDefault="00000000">
            <w:pPr>
              <w:jc w:val="right"/>
              <w:rPr>
                <w:b/>
                <w:snapToGrid w:val="0"/>
                <w:sz w:val="18"/>
              </w:rPr>
            </w:pPr>
            <w:r>
              <w:rPr>
                <w:b/>
                <w:snapToGrid w:val="0"/>
                <w:sz w:val="18"/>
              </w:rPr>
              <w:t>393 946</w:t>
            </w:r>
          </w:p>
        </w:tc>
        <w:tc>
          <w:tcPr>
            <w:tcW w:w="999" w:type="dxa"/>
            <w:tcBorders>
              <w:top w:val="nil"/>
              <w:bottom w:val="single" w:sz="4" w:space="0" w:color="auto"/>
            </w:tcBorders>
          </w:tcPr>
          <w:p w:rsidR="00000000" w:rsidRDefault="00000000">
            <w:pPr>
              <w:ind w:right="113"/>
              <w:jc w:val="right"/>
              <w:rPr>
                <w:b/>
                <w:snapToGrid w:val="0"/>
                <w:sz w:val="18"/>
              </w:rPr>
            </w:pPr>
            <w:r>
              <w:rPr>
                <w:b/>
                <w:snapToGrid w:val="0"/>
                <w:sz w:val="18"/>
              </w:rPr>
              <w:t>48 948</w:t>
            </w:r>
          </w:p>
        </w:tc>
        <w:tc>
          <w:tcPr>
            <w:tcW w:w="865" w:type="dxa"/>
            <w:tcBorders>
              <w:top w:val="nil"/>
              <w:bottom w:val="single" w:sz="4" w:space="0" w:color="auto"/>
            </w:tcBorders>
          </w:tcPr>
          <w:p w:rsidR="00000000" w:rsidRDefault="00000000">
            <w:pPr>
              <w:ind w:right="57"/>
              <w:jc w:val="right"/>
              <w:rPr>
                <w:b/>
                <w:snapToGrid w:val="0"/>
                <w:sz w:val="18"/>
              </w:rPr>
            </w:pPr>
            <w:r>
              <w:rPr>
                <w:b/>
                <w:snapToGrid w:val="0"/>
                <w:sz w:val="18"/>
              </w:rPr>
              <w:t>324 728</w:t>
            </w:r>
          </w:p>
        </w:tc>
        <w:tc>
          <w:tcPr>
            <w:tcW w:w="992" w:type="dxa"/>
            <w:tcBorders>
              <w:top w:val="nil"/>
              <w:bottom w:val="single" w:sz="4" w:space="0" w:color="auto"/>
            </w:tcBorders>
          </w:tcPr>
          <w:p w:rsidR="00000000" w:rsidRDefault="00000000">
            <w:pPr>
              <w:ind w:right="113"/>
              <w:jc w:val="right"/>
              <w:rPr>
                <w:b/>
                <w:snapToGrid w:val="0"/>
                <w:sz w:val="18"/>
              </w:rPr>
            </w:pPr>
            <w:r>
              <w:rPr>
                <w:b/>
                <w:snapToGrid w:val="0"/>
                <w:sz w:val="18"/>
              </w:rPr>
              <w:t>187 211</w:t>
            </w:r>
          </w:p>
        </w:tc>
        <w:tc>
          <w:tcPr>
            <w:tcW w:w="1134" w:type="dxa"/>
            <w:tcBorders>
              <w:top w:val="nil"/>
              <w:bottom w:val="single" w:sz="4" w:space="0" w:color="auto"/>
            </w:tcBorders>
          </w:tcPr>
          <w:p w:rsidR="00000000" w:rsidRDefault="00000000">
            <w:pPr>
              <w:ind w:right="113"/>
              <w:jc w:val="right"/>
              <w:rPr>
                <w:b/>
                <w:snapToGrid w:val="0"/>
                <w:sz w:val="18"/>
              </w:rPr>
            </w:pPr>
            <w:r>
              <w:rPr>
                <w:b/>
                <w:snapToGrid w:val="0"/>
                <w:sz w:val="18"/>
              </w:rPr>
              <w:t>137 517</w:t>
            </w:r>
          </w:p>
        </w:tc>
        <w:tc>
          <w:tcPr>
            <w:tcW w:w="992" w:type="dxa"/>
            <w:tcBorders>
              <w:top w:val="nil"/>
              <w:bottom w:val="single" w:sz="4" w:space="0" w:color="auto"/>
            </w:tcBorders>
          </w:tcPr>
          <w:p w:rsidR="00000000" w:rsidRDefault="00000000">
            <w:pPr>
              <w:ind w:right="113"/>
              <w:jc w:val="right"/>
              <w:rPr>
                <w:b/>
                <w:snapToGrid w:val="0"/>
                <w:sz w:val="18"/>
              </w:rPr>
            </w:pPr>
            <w:r>
              <w:rPr>
                <w:b/>
                <w:snapToGrid w:val="0"/>
                <w:sz w:val="18"/>
              </w:rPr>
              <w:t>16 347</w:t>
            </w:r>
          </w:p>
        </w:tc>
        <w:tc>
          <w:tcPr>
            <w:tcW w:w="710" w:type="dxa"/>
            <w:tcBorders>
              <w:top w:val="nil"/>
              <w:bottom w:val="single" w:sz="4" w:space="0" w:color="auto"/>
            </w:tcBorders>
          </w:tcPr>
          <w:p w:rsidR="00000000" w:rsidRDefault="00000000">
            <w:pPr>
              <w:ind w:right="57"/>
              <w:jc w:val="right"/>
              <w:rPr>
                <w:b/>
                <w:snapToGrid w:val="0"/>
                <w:sz w:val="18"/>
              </w:rPr>
            </w:pPr>
            <w:r>
              <w:rPr>
                <w:b/>
                <w:snapToGrid w:val="0"/>
                <w:sz w:val="18"/>
              </w:rPr>
              <w:t>3 923</w:t>
            </w:r>
          </w:p>
        </w:tc>
      </w:tr>
      <w:tr w:rsidR="00000000">
        <w:tblPrEx>
          <w:tblCellMar>
            <w:top w:w="0" w:type="dxa"/>
            <w:bottom w:w="0" w:type="dxa"/>
          </w:tblCellMar>
        </w:tblPrEx>
        <w:trPr>
          <w:trHeight w:val="187"/>
          <w:jc w:val="center"/>
        </w:trPr>
        <w:tc>
          <w:tcPr>
            <w:tcW w:w="1892" w:type="dxa"/>
            <w:tcBorders>
              <w:top w:val="single" w:sz="4" w:space="0" w:color="auto"/>
            </w:tcBorders>
          </w:tcPr>
          <w:p w:rsidR="00000000" w:rsidRDefault="00000000">
            <w:pPr>
              <w:rPr>
                <w:b/>
                <w:snapToGrid w:val="0"/>
                <w:sz w:val="18"/>
              </w:rPr>
            </w:pPr>
            <w:r>
              <w:rPr>
                <w:b/>
                <w:snapToGrid w:val="0"/>
                <w:sz w:val="18"/>
              </w:rPr>
              <w:t>Northern</w:t>
            </w:r>
          </w:p>
        </w:tc>
        <w:tc>
          <w:tcPr>
            <w:tcW w:w="683" w:type="dxa"/>
            <w:tcBorders>
              <w:top w:val="single" w:sz="4" w:space="0" w:color="auto"/>
            </w:tcBorders>
          </w:tcPr>
          <w:p w:rsidR="00000000" w:rsidRDefault="00000000">
            <w:pPr>
              <w:jc w:val="center"/>
              <w:rPr>
                <w:b/>
                <w:snapToGrid w:val="0"/>
                <w:sz w:val="18"/>
              </w:rPr>
            </w:pPr>
            <w:r>
              <w:rPr>
                <w:b/>
                <w:snapToGrid w:val="0"/>
                <w:sz w:val="18"/>
              </w:rPr>
              <w:t>1997</w:t>
            </w:r>
          </w:p>
        </w:tc>
        <w:tc>
          <w:tcPr>
            <w:tcW w:w="850" w:type="dxa"/>
            <w:tcBorders>
              <w:top w:val="single" w:sz="4" w:space="0" w:color="auto"/>
            </w:tcBorders>
          </w:tcPr>
          <w:p w:rsidR="00000000" w:rsidRDefault="00000000">
            <w:pPr>
              <w:jc w:val="right"/>
              <w:rPr>
                <w:b/>
                <w:snapToGrid w:val="0"/>
                <w:sz w:val="18"/>
              </w:rPr>
            </w:pPr>
            <w:r>
              <w:rPr>
                <w:b/>
                <w:snapToGrid w:val="0"/>
                <w:sz w:val="18"/>
              </w:rPr>
              <w:t>5 849</w:t>
            </w:r>
          </w:p>
        </w:tc>
        <w:tc>
          <w:tcPr>
            <w:tcW w:w="999" w:type="dxa"/>
            <w:tcBorders>
              <w:top w:val="single" w:sz="4" w:space="0" w:color="auto"/>
            </w:tcBorders>
          </w:tcPr>
          <w:p w:rsidR="00000000" w:rsidRDefault="00000000">
            <w:pPr>
              <w:ind w:right="113"/>
              <w:jc w:val="right"/>
              <w:rPr>
                <w:b/>
                <w:snapToGrid w:val="0"/>
                <w:sz w:val="18"/>
              </w:rPr>
            </w:pPr>
            <w:r>
              <w:rPr>
                <w:b/>
                <w:snapToGrid w:val="0"/>
                <w:sz w:val="18"/>
              </w:rPr>
              <w:t>601</w:t>
            </w:r>
          </w:p>
        </w:tc>
        <w:tc>
          <w:tcPr>
            <w:tcW w:w="865" w:type="dxa"/>
            <w:tcBorders>
              <w:top w:val="single" w:sz="4" w:space="0" w:color="auto"/>
            </w:tcBorders>
          </w:tcPr>
          <w:p w:rsidR="00000000" w:rsidRDefault="00000000">
            <w:pPr>
              <w:ind w:right="57"/>
              <w:jc w:val="right"/>
              <w:rPr>
                <w:b/>
                <w:snapToGrid w:val="0"/>
                <w:sz w:val="18"/>
              </w:rPr>
            </w:pPr>
            <w:r>
              <w:rPr>
                <w:b/>
                <w:snapToGrid w:val="0"/>
                <w:sz w:val="18"/>
              </w:rPr>
              <w:t>4 623</w:t>
            </w:r>
          </w:p>
        </w:tc>
        <w:tc>
          <w:tcPr>
            <w:tcW w:w="992" w:type="dxa"/>
            <w:tcBorders>
              <w:top w:val="single" w:sz="4" w:space="0" w:color="auto"/>
            </w:tcBorders>
          </w:tcPr>
          <w:p w:rsidR="00000000" w:rsidRDefault="00000000">
            <w:pPr>
              <w:ind w:right="113"/>
              <w:jc w:val="right"/>
              <w:rPr>
                <w:b/>
                <w:snapToGrid w:val="0"/>
                <w:sz w:val="18"/>
              </w:rPr>
            </w:pPr>
            <w:r>
              <w:rPr>
                <w:b/>
                <w:snapToGrid w:val="0"/>
                <w:sz w:val="18"/>
              </w:rPr>
              <w:t>1 234</w:t>
            </w:r>
          </w:p>
        </w:tc>
        <w:tc>
          <w:tcPr>
            <w:tcW w:w="1134" w:type="dxa"/>
            <w:tcBorders>
              <w:top w:val="single" w:sz="4" w:space="0" w:color="auto"/>
            </w:tcBorders>
          </w:tcPr>
          <w:p w:rsidR="00000000" w:rsidRDefault="00000000">
            <w:pPr>
              <w:ind w:right="113"/>
              <w:jc w:val="right"/>
              <w:rPr>
                <w:b/>
                <w:snapToGrid w:val="0"/>
                <w:sz w:val="18"/>
              </w:rPr>
            </w:pPr>
            <w:r>
              <w:rPr>
                <w:b/>
                <w:snapToGrid w:val="0"/>
                <w:sz w:val="18"/>
              </w:rPr>
              <w:t>3 389</w:t>
            </w:r>
          </w:p>
        </w:tc>
        <w:tc>
          <w:tcPr>
            <w:tcW w:w="992" w:type="dxa"/>
            <w:tcBorders>
              <w:top w:val="single" w:sz="4" w:space="0" w:color="auto"/>
            </w:tcBorders>
          </w:tcPr>
          <w:p w:rsidR="00000000" w:rsidRDefault="00000000">
            <w:pPr>
              <w:ind w:right="113"/>
              <w:jc w:val="right"/>
              <w:rPr>
                <w:b/>
                <w:snapToGrid w:val="0"/>
                <w:sz w:val="18"/>
              </w:rPr>
            </w:pPr>
            <w:r>
              <w:rPr>
                <w:b/>
                <w:snapToGrid w:val="0"/>
                <w:sz w:val="18"/>
              </w:rPr>
              <w:t>492</w:t>
            </w:r>
          </w:p>
        </w:tc>
        <w:tc>
          <w:tcPr>
            <w:tcW w:w="710" w:type="dxa"/>
            <w:tcBorders>
              <w:top w:val="single" w:sz="4" w:space="0" w:color="auto"/>
            </w:tcBorders>
          </w:tcPr>
          <w:p w:rsidR="00000000" w:rsidRDefault="00000000">
            <w:pPr>
              <w:ind w:right="57"/>
              <w:jc w:val="right"/>
              <w:rPr>
                <w:b/>
                <w:snapToGrid w:val="0"/>
                <w:sz w:val="18"/>
              </w:rPr>
            </w:pPr>
            <w:r>
              <w:rPr>
                <w:b/>
                <w:snapToGrid w:val="0"/>
                <w:sz w:val="18"/>
              </w:rPr>
              <w:t>133</w:t>
            </w:r>
          </w:p>
        </w:tc>
      </w:tr>
      <w:tr w:rsidR="00000000">
        <w:tblPrEx>
          <w:tblCellMar>
            <w:top w:w="0" w:type="dxa"/>
            <w:bottom w:w="0" w:type="dxa"/>
          </w:tblCellMar>
        </w:tblPrEx>
        <w:trPr>
          <w:trHeight w:val="187"/>
          <w:jc w:val="center"/>
        </w:trPr>
        <w:tc>
          <w:tcPr>
            <w:tcW w:w="1892" w:type="dxa"/>
            <w:tcBorders>
              <w:bottom w:val="nil"/>
            </w:tcBorders>
          </w:tcPr>
          <w:p w:rsidR="00000000" w:rsidRDefault="00000000">
            <w:pPr>
              <w:rPr>
                <w:b/>
                <w:snapToGrid w:val="0"/>
                <w:sz w:val="18"/>
              </w:rPr>
            </w:pPr>
            <w:r>
              <w:rPr>
                <w:b/>
                <w:snapToGrid w:val="0"/>
                <w:sz w:val="18"/>
              </w:rPr>
              <w:t>Region</w:t>
            </w:r>
          </w:p>
        </w:tc>
        <w:tc>
          <w:tcPr>
            <w:tcW w:w="683" w:type="dxa"/>
            <w:tcBorders>
              <w:bottom w:val="nil"/>
            </w:tcBorders>
          </w:tcPr>
          <w:p w:rsidR="00000000" w:rsidRDefault="00000000">
            <w:pPr>
              <w:jc w:val="center"/>
              <w:rPr>
                <w:b/>
                <w:snapToGrid w:val="0"/>
                <w:sz w:val="18"/>
              </w:rPr>
            </w:pPr>
            <w:r>
              <w:rPr>
                <w:b/>
                <w:snapToGrid w:val="0"/>
                <w:sz w:val="18"/>
              </w:rPr>
              <w:t>1998</w:t>
            </w:r>
          </w:p>
        </w:tc>
        <w:tc>
          <w:tcPr>
            <w:tcW w:w="850" w:type="dxa"/>
            <w:tcBorders>
              <w:bottom w:val="nil"/>
            </w:tcBorders>
          </w:tcPr>
          <w:p w:rsidR="00000000" w:rsidRDefault="00000000">
            <w:pPr>
              <w:jc w:val="right"/>
              <w:rPr>
                <w:b/>
                <w:snapToGrid w:val="0"/>
                <w:sz w:val="18"/>
              </w:rPr>
            </w:pPr>
            <w:r>
              <w:rPr>
                <w:b/>
                <w:snapToGrid w:val="0"/>
                <w:sz w:val="18"/>
              </w:rPr>
              <w:t>6 396</w:t>
            </w:r>
          </w:p>
        </w:tc>
        <w:tc>
          <w:tcPr>
            <w:tcW w:w="999" w:type="dxa"/>
            <w:tcBorders>
              <w:bottom w:val="nil"/>
            </w:tcBorders>
          </w:tcPr>
          <w:p w:rsidR="00000000" w:rsidRDefault="00000000">
            <w:pPr>
              <w:ind w:right="113"/>
              <w:jc w:val="right"/>
              <w:rPr>
                <w:b/>
                <w:snapToGrid w:val="0"/>
                <w:sz w:val="18"/>
              </w:rPr>
            </w:pPr>
            <w:r>
              <w:rPr>
                <w:b/>
                <w:snapToGrid w:val="0"/>
                <w:sz w:val="18"/>
              </w:rPr>
              <w:t>755</w:t>
            </w:r>
          </w:p>
        </w:tc>
        <w:tc>
          <w:tcPr>
            <w:tcW w:w="865" w:type="dxa"/>
            <w:tcBorders>
              <w:bottom w:val="nil"/>
            </w:tcBorders>
          </w:tcPr>
          <w:p w:rsidR="00000000" w:rsidRDefault="00000000">
            <w:pPr>
              <w:ind w:right="57"/>
              <w:jc w:val="right"/>
              <w:rPr>
                <w:b/>
                <w:snapToGrid w:val="0"/>
                <w:sz w:val="18"/>
              </w:rPr>
            </w:pPr>
            <w:r>
              <w:rPr>
                <w:b/>
                <w:snapToGrid w:val="0"/>
                <w:sz w:val="18"/>
              </w:rPr>
              <w:t>4 995</w:t>
            </w:r>
          </w:p>
        </w:tc>
        <w:tc>
          <w:tcPr>
            <w:tcW w:w="992" w:type="dxa"/>
            <w:tcBorders>
              <w:bottom w:val="nil"/>
            </w:tcBorders>
          </w:tcPr>
          <w:p w:rsidR="00000000" w:rsidRDefault="00000000">
            <w:pPr>
              <w:ind w:right="113"/>
              <w:jc w:val="right"/>
              <w:rPr>
                <w:b/>
                <w:snapToGrid w:val="0"/>
                <w:sz w:val="18"/>
              </w:rPr>
            </w:pPr>
            <w:r>
              <w:rPr>
                <w:b/>
                <w:snapToGrid w:val="0"/>
                <w:sz w:val="18"/>
              </w:rPr>
              <w:t>1 211</w:t>
            </w:r>
          </w:p>
        </w:tc>
        <w:tc>
          <w:tcPr>
            <w:tcW w:w="1134" w:type="dxa"/>
            <w:tcBorders>
              <w:bottom w:val="nil"/>
            </w:tcBorders>
          </w:tcPr>
          <w:p w:rsidR="00000000" w:rsidRDefault="00000000">
            <w:pPr>
              <w:ind w:right="113"/>
              <w:jc w:val="right"/>
              <w:rPr>
                <w:b/>
                <w:snapToGrid w:val="0"/>
                <w:sz w:val="18"/>
              </w:rPr>
            </w:pPr>
            <w:r>
              <w:rPr>
                <w:b/>
                <w:snapToGrid w:val="0"/>
                <w:sz w:val="18"/>
              </w:rPr>
              <w:t>3 784</w:t>
            </w:r>
          </w:p>
        </w:tc>
        <w:tc>
          <w:tcPr>
            <w:tcW w:w="992" w:type="dxa"/>
            <w:tcBorders>
              <w:bottom w:val="nil"/>
            </w:tcBorders>
          </w:tcPr>
          <w:p w:rsidR="00000000" w:rsidRDefault="00000000">
            <w:pPr>
              <w:ind w:right="113"/>
              <w:jc w:val="right"/>
              <w:rPr>
                <w:b/>
                <w:snapToGrid w:val="0"/>
                <w:sz w:val="18"/>
              </w:rPr>
            </w:pPr>
            <w:r>
              <w:rPr>
                <w:b/>
                <w:snapToGrid w:val="0"/>
                <w:sz w:val="18"/>
              </w:rPr>
              <w:t>437</w:t>
            </w:r>
          </w:p>
        </w:tc>
        <w:tc>
          <w:tcPr>
            <w:tcW w:w="710" w:type="dxa"/>
            <w:tcBorders>
              <w:bottom w:val="nil"/>
            </w:tcBorders>
          </w:tcPr>
          <w:p w:rsidR="00000000" w:rsidRDefault="00000000">
            <w:pPr>
              <w:ind w:right="57"/>
              <w:jc w:val="right"/>
              <w:rPr>
                <w:b/>
                <w:snapToGrid w:val="0"/>
                <w:sz w:val="18"/>
              </w:rPr>
            </w:pPr>
            <w:r>
              <w:rPr>
                <w:b/>
                <w:snapToGrid w:val="0"/>
                <w:sz w:val="18"/>
              </w:rPr>
              <w:t>209</w:t>
            </w:r>
          </w:p>
        </w:tc>
      </w:tr>
      <w:tr w:rsidR="00000000">
        <w:tblPrEx>
          <w:tblCellMar>
            <w:top w:w="0" w:type="dxa"/>
            <w:bottom w:w="0" w:type="dxa"/>
          </w:tblCellMar>
        </w:tblPrEx>
        <w:trPr>
          <w:trHeight w:val="187"/>
          <w:jc w:val="center"/>
        </w:trPr>
        <w:tc>
          <w:tcPr>
            <w:tcW w:w="1892" w:type="dxa"/>
            <w:tcBorders>
              <w:top w:val="nil"/>
              <w:bottom w:val="single" w:sz="4" w:space="0" w:color="auto"/>
            </w:tcBorders>
          </w:tcPr>
          <w:p w:rsidR="00000000" w:rsidRDefault="00000000">
            <w:pPr>
              <w:rPr>
                <w:b/>
                <w:snapToGrid w:val="0"/>
                <w:sz w:val="18"/>
              </w:rPr>
            </w:pPr>
          </w:p>
        </w:tc>
        <w:tc>
          <w:tcPr>
            <w:tcW w:w="683" w:type="dxa"/>
            <w:tcBorders>
              <w:top w:val="nil"/>
              <w:bottom w:val="single" w:sz="4" w:space="0" w:color="auto"/>
            </w:tcBorders>
          </w:tcPr>
          <w:p w:rsidR="00000000" w:rsidRDefault="00000000">
            <w:pPr>
              <w:jc w:val="center"/>
              <w:rPr>
                <w:b/>
                <w:snapToGrid w:val="0"/>
                <w:sz w:val="18"/>
              </w:rPr>
            </w:pPr>
            <w:r>
              <w:rPr>
                <w:b/>
                <w:snapToGrid w:val="0"/>
                <w:sz w:val="18"/>
              </w:rPr>
              <w:t>1999</w:t>
            </w:r>
          </w:p>
        </w:tc>
        <w:tc>
          <w:tcPr>
            <w:tcW w:w="850" w:type="dxa"/>
            <w:tcBorders>
              <w:top w:val="nil"/>
              <w:bottom w:val="single" w:sz="4" w:space="0" w:color="auto"/>
            </w:tcBorders>
          </w:tcPr>
          <w:p w:rsidR="00000000" w:rsidRDefault="00000000">
            <w:pPr>
              <w:jc w:val="right"/>
              <w:rPr>
                <w:b/>
                <w:snapToGrid w:val="0"/>
                <w:sz w:val="18"/>
              </w:rPr>
            </w:pPr>
            <w:r>
              <w:rPr>
                <w:b/>
                <w:snapToGrid w:val="0"/>
                <w:sz w:val="18"/>
              </w:rPr>
              <w:t>7 007</w:t>
            </w:r>
          </w:p>
        </w:tc>
        <w:tc>
          <w:tcPr>
            <w:tcW w:w="999" w:type="dxa"/>
            <w:tcBorders>
              <w:top w:val="nil"/>
              <w:bottom w:val="single" w:sz="4" w:space="0" w:color="auto"/>
            </w:tcBorders>
          </w:tcPr>
          <w:p w:rsidR="00000000" w:rsidRDefault="00000000">
            <w:pPr>
              <w:ind w:right="113"/>
              <w:jc w:val="right"/>
              <w:rPr>
                <w:b/>
                <w:snapToGrid w:val="0"/>
                <w:sz w:val="18"/>
              </w:rPr>
            </w:pPr>
            <w:r>
              <w:rPr>
                <w:b/>
                <w:snapToGrid w:val="0"/>
                <w:sz w:val="18"/>
              </w:rPr>
              <w:t>1 088</w:t>
            </w:r>
          </w:p>
        </w:tc>
        <w:tc>
          <w:tcPr>
            <w:tcW w:w="865" w:type="dxa"/>
            <w:tcBorders>
              <w:top w:val="nil"/>
              <w:bottom w:val="single" w:sz="4" w:space="0" w:color="auto"/>
            </w:tcBorders>
          </w:tcPr>
          <w:p w:rsidR="00000000" w:rsidRDefault="00000000">
            <w:pPr>
              <w:ind w:right="57"/>
              <w:jc w:val="right"/>
              <w:rPr>
                <w:b/>
                <w:snapToGrid w:val="0"/>
                <w:sz w:val="18"/>
              </w:rPr>
            </w:pPr>
            <w:r>
              <w:rPr>
                <w:b/>
                <w:snapToGrid w:val="0"/>
                <w:sz w:val="18"/>
              </w:rPr>
              <w:t>5 269</w:t>
            </w:r>
          </w:p>
        </w:tc>
        <w:tc>
          <w:tcPr>
            <w:tcW w:w="992" w:type="dxa"/>
            <w:tcBorders>
              <w:top w:val="nil"/>
              <w:bottom w:val="single" w:sz="4" w:space="0" w:color="auto"/>
            </w:tcBorders>
          </w:tcPr>
          <w:p w:rsidR="00000000" w:rsidRDefault="00000000">
            <w:pPr>
              <w:ind w:right="113"/>
              <w:jc w:val="right"/>
              <w:rPr>
                <w:b/>
                <w:snapToGrid w:val="0"/>
                <w:sz w:val="18"/>
              </w:rPr>
            </w:pPr>
            <w:r>
              <w:rPr>
                <w:b/>
                <w:snapToGrid w:val="0"/>
                <w:sz w:val="18"/>
              </w:rPr>
              <w:t>1 481</w:t>
            </w:r>
          </w:p>
        </w:tc>
        <w:tc>
          <w:tcPr>
            <w:tcW w:w="1134" w:type="dxa"/>
            <w:tcBorders>
              <w:top w:val="nil"/>
              <w:bottom w:val="single" w:sz="4" w:space="0" w:color="auto"/>
            </w:tcBorders>
          </w:tcPr>
          <w:p w:rsidR="00000000" w:rsidRDefault="00000000">
            <w:pPr>
              <w:ind w:right="113"/>
              <w:jc w:val="right"/>
              <w:rPr>
                <w:b/>
                <w:snapToGrid w:val="0"/>
                <w:sz w:val="18"/>
              </w:rPr>
            </w:pPr>
            <w:r>
              <w:rPr>
                <w:b/>
                <w:snapToGrid w:val="0"/>
                <w:sz w:val="18"/>
              </w:rPr>
              <w:t>3 788</w:t>
            </w:r>
          </w:p>
        </w:tc>
        <w:tc>
          <w:tcPr>
            <w:tcW w:w="992" w:type="dxa"/>
            <w:tcBorders>
              <w:top w:val="nil"/>
              <w:bottom w:val="single" w:sz="4" w:space="0" w:color="auto"/>
            </w:tcBorders>
          </w:tcPr>
          <w:p w:rsidR="00000000" w:rsidRDefault="00000000">
            <w:pPr>
              <w:ind w:right="113"/>
              <w:jc w:val="right"/>
              <w:rPr>
                <w:b/>
                <w:snapToGrid w:val="0"/>
                <w:sz w:val="18"/>
              </w:rPr>
            </w:pPr>
            <w:r>
              <w:rPr>
                <w:b/>
                <w:snapToGrid w:val="0"/>
                <w:sz w:val="18"/>
              </w:rPr>
              <w:t>464</w:t>
            </w:r>
          </w:p>
        </w:tc>
        <w:tc>
          <w:tcPr>
            <w:tcW w:w="710" w:type="dxa"/>
            <w:tcBorders>
              <w:top w:val="nil"/>
              <w:bottom w:val="single" w:sz="4" w:space="0" w:color="auto"/>
            </w:tcBorders>
          </w:tcPr>
          <w:p w:rsidR="00000000" w:rsidRDefault="00000000">
            <w:pPr>
              <w:ind w:right="57"/>
              <w:jc w:val="right"/>
              <w:rPr>
                <w:b/>
                <w:snapToGrid w:val="0"/>
                <w:sz w:val="18"/>
              </w:rPr>
            </w:pPr>
            <w:r>
              <w:rPr>
                <w:b/>
                <w:snapToGrid w:val="0"/>
                <w:sz w:val="18"/>
              </w:rPr>
              <w:t>186</w:t>
            </w:r>
          </w:p>
        </w:tc>
      </w:tr>
      <w:tr w:rsidR="00000000">
        <w:tblPrEx>
          <w:tblCellMar>
            <w:top w:w="0" w:type="dxa"/>
            <w:bottom w:w="0" w:type="dxa"/>
          </w:tblCellMar>
        </w:tblPrEx>
        <w:trPr>
          <w:trHeight w:val="187"/>
          <w:jc w:val="center"/>
        </w:trPr>
        <w:tc>
          <w:tcPr>
            <w:tcW w:w="1892" w:type="dxa"/>
            <w:tcBorders>
              <w:top w:val="single" w:sz="4" w:space="0" w:color="auto"/>
            </w:tcBorders>
          </w:tcPr>
          <w:p w:rsidR="00000000" w:rsidRDefault="00000000">
            <w:pPr>
              <w:rPr>
                <w:b/>
                <w:snapToGrid w:val="0"/>
                <w:sz w:val="18"/>
              </w:rPr>
            </w:pPr>
          </w:p>
        </w:tc>
        <w:tc>
          <w:tcPr>
            <w:tcW w:w="683" w:type="dxa"/>
            <w:tcBorders>
              <w:top w:val="single" w:sz="4" w:space="0" w:color="auto"/>
            </w:tcBorders>
          </w:tcPr>
          <w:p w:rsidR="00000000" w:rsidRDefault="00000000">
            <w:pPr>
              <w:jc w:val="center"/>
              <w:rPr>
                <w:snapToGrid w:val="0"/>
                <w:sz w:val="18"/>
              </w:rPr>
            </w:pPr>
            <w:r>
              <w:rPr>
                <w:snapToGrid w:val="0"/>
                <w:sz w:val="18"/>
              </w:rPr>
              <w:t>1997</w:t>
            </w:r>
          </w:p>
        </w:tc>
        <w:tc>
          <w:tcPr>
            <w:tcW w:w="850" w:type="dxa"/>
            <w:tcBorders>
              <w:top w:val="single" w:sz="4" w:space="0" w:color="auto"/>
            </w:tcBorders>
          </w:tcPr>
          <w:p w:rsidR="00000000" w:rsidRDefault="00000000">
            <w:pPr>
              <w:jc w:val="right"/>
              <w:rPr>
                <w:snapToGrid w:val="0"/>
                <w:sz w:val="18"/>
              </w:rPr>
            </w:pPr>
            <w:r>
              <w:rPr>
                <w:snapToGrid w:val="0"/>
                <w:sz w:val="18"/>
              </w:rPr>
              <w:t>1 060</w:t>
            </w:r>
          </w:p>
        </w:tc>
        <w:tc>
          <w:tcPr>
            <w:tcW w:w="999" w:type="dxa"/>
            <w:tcBorders>
              <w:top w:val="single" w:sz="4" w:space="0" w:color="auto"/>
            </w:tcBorders>
          </w:tcPr>
          <w:p w:rsidR="00000000" w:rsidRDefault="00000000">
            <w:pPr>
              <w:ind w:right="113"/>
              <w:jc w:val="right"/>
              <w:rPr>
                <w:snapToGrid w:val="0"/>
                <w:sz w:val="18"/>
              </w:rPr>
            </w:pPr>
            <w:r>
              <w:rPr>
                <w:snapToGrid w:val="0"/>
                <w:sz w:val="18"/>
              </w:rPr>
              <w:t>16</w:t>
            </w:r>
          </w:p>
        </w:tc>
        <w:tc>
          <w:tcPr>
            <w:tcW w:w="865" w:type="dxa"/>
            <w:tcBorders>
              <w:top w:val="single" w:sz="4" w:space="0" w:color="auto"/>
            </w:tcBorders>
          </w:tcPr>
          <w:p w:rsidR="00000000" w:rsidRDefault="00000000">
            <w:pPr>
              <w:ind w:right="57"/>
              <w:jc w:val="right"/>
              <w:rPr>
                <w:snapToGrid w:val="0"/>
                <w:sz w:val="18"/>
              </w:rPr>
            </w:pPr>
            <w:r>
              <w:rPr>
                <w:snapToGrid w:val="0"/>
                <w:sz w:val="18"/>
              </w:rPr>
              <w:t>939</w:t>
            </w:r>
          </w:p>
        </w:tc>
        <w:tc>
          <w:tcPr>
            <w:tcW w:w="992" w:type="dxa"/>
            <w:tcBorders>
              <w:top w:val="single" w:sz="4" w:space="0" w:color="auto"/>
            </w:tcBorders>
          </w:tcPr>
          <w:p w:rsidR="00000000" w:rsidRDefault="00000000">
            <w:pPr>
              <w:ind w:right="113"/>
              <w:jc w:val="right"/>
              <w:rPr>
                <w:snapToGrid w:val="0"/>
                <w:sz w:val="18"/>
              </w:rPr>
            </w:pPr>
            <w:r>
              <w:rPr>
                <w:snapToGrid w:val="0"/>
                <w:sz w:val="18"/>
              </w:rPr>
              <w:t>371</w:t>
            </w:r>
          </w:p>
        </w:tc>
        <w:tc>
          <w:tcPr>
            <w:tcW w:w="1134" w:type="dxa"/>
            <w:tcBorders>
              <w:top w:val="single" w:sz="4" w:space="0" w:color="auto"/>
            </w:tcBorders>
          </w:tcPr>
          <w:p w:rsidR="00000000" w:rsidRDefault="00000000">
            <w:pPr>
              <w:ind w:right="113"/>
              <w:jc w:val="right"/>
              <w:rPr>
                <w:snapToGrid w:val="0"/>
                <w:sz w:val="18"/>
              </w:rPr>
            </w:pPr>
            <w:r>
              <w:rPr>
                <w:snapToGrid w:val="0"/>
                <w:sz w:val="18"/>
              </w:rPr>
              <w:t>568</w:t>
            </w:r>
          </w:p>
        </w:tc>
        <w:tc>
          <w:tcPr>
            <w:tcW w:w="992" w:type="dxa"/>
            <w:tcBorders>
              <w:top w:val="single" w:sz="4" w:space="0" w:color="auto"/>
            </w:tcBorders>
          </w:tcPr>
          <w:p w:rsidR="00000000" w:rsidRDefault="00000000">
            <w:pPr>
              <w:ind w:right="113"/>
              <w:jc w:val="right"/>
              <w:rPr>
                <w:snapToGrid w:val="0"/>
                <w:sz w:val="18"/>
              </w:rPr>
            </w:pPr>
            <w:r>
              <w:rPr>
                <w:snapToGrid w:val="0"/>
                <w:sz w:val="18"/>
              </w:rPr>
              <w:t>71</w:t>
            </w:r>
          </w:p>
        </w:tc>
        <w:tc>
          <w:tcPr>
            <w:tcW w:w="710" w:type="dxa"/>
            <w:tcBorders>
              <w:top w:val="single" w:sz="4" w:space="0" w:color="auto"/>
            </w:tcBorders>
          </w:tcPr>
          <w:p w:rsidR="00000000" w:rsidRDefault="00000000">
            <w:pPr>
              <w:ind w:right="57"/>
              <w:jc w:val="right"/>
              <w:rPr>
                <w:snapToGrid w:val="0"/>
                <w:sz w:val="18"/>
              </w:rPr>
            </w:pPr>
            <w:r>
              <w:rPr>
                <w:snapToGrid w:val="0"/>
                <w:sz w:val="18"/>
              </w:rPr>
              <w:t>34</w:t>
            </w:r>
          </w:p>
        </w:tc>
      </w:tr>
      <w:tr w:rsidR="00000000">
        <w:tblPrEx>
          <w:tblCellMar>
            <w:top w:w="0" w:type="dxa"/>
            <w:bottom w:w="0" w:type="dxa"/>
          </w:tblCellMar>
        </w:tblPrEx>
        <w:trPr>
          <w:trHeight w:val="187"/>
          <w:jc w:val="center"/>
        </w:trPr>
        <w:tc>
          <w:tcPr>
            <w:tcW w:w="1892" w:type="dxa"/>
            <w:tcBorders>
              <w:bottom w:val="nil"/>
            </w:tcBorders>
          </w:tcPr>
          <w:p w:rsidR="00000000" w:rsidRDefault="00000000">
            <w:pPr>
              <w:rPr>
                <w:snapToGrid w:val="0"/>
                <w:sz w:val="18"/>
              </w:rPr>
            </w:pPr>
            <w:r>
              <w:rPr>
                <w:snapToGrid w:val="0"/>
                <w:sz w:val="18"/>
              </w:rPr>
              <w:t>Rondônia</w:t>
            </w:r>
          </w:p>
        </w:tc>
        <w:tc>
          <w:tcPr>
            <w:tcW w:w="683" w:type="dxa"/>
            <w:tcBorders>
              <w:bottom w:val="nil"/>
            </w:tcBorders>
          </w:tcPr>
          <w:p w:rsidR="00000000" w:rsidRDefault="00000000">
            <w:pPr>
              <w:jc w:val="center"/>
              <w:rPr>
                <w:snapToGrid w:val="0"/>
                <w:sz w:val="18"/>
              </w:rPr>
            </w:pPr>
            <w:r>
              <w:rPr>
                <w:snapToGrid w:val="0"/>
                <w:sz w:val="18"/>
              </w:rPr>
              <w:t>1998</w:t>
            </w:r>
          </w:p>
        </w:tc>
        <w:tc>
          <w:tcPr>
            <w:tcW w:w="850" w:type="dxa"/>
            <w:tcBorders>
              <w:bottom w:val="nil"/>
            </w:tcBorders>
          </w:tcPr>
          <w:p w:rsidR="00000000" w:rsidRDefault="00000000">
            <w:pPr>
              <w:jc w:val="right"/>
              <w:rPr>
                <w:snapToGrid w:val="0"/>
                <w:sz w:val="18"/>
              </w:rPr>
            </w:pPr>
            <w:r>
              <w:rPr>
                <w:snapToGrid w:val="0"/>
                <w:sz w:val="18"/>
              </w:rPr>
              <w:t>1 311</w:t>
            </w:r>
          </w:p>
        </w:tc>
        <w:tc>
          <w:tcPr>
            <w:tcW w:w="999" w:type="dxa"/>
            <w:tcBorders>
              <w:bottom w:val="nil"/>
            </w:tcBorders>
          </w:tcPr>
          <w:p w:rsidR="00000000" w:rsidRDefault="00000000">
            <w:pPr>
              <w:ind w:right="113"/>
              <w:jc w:val="right"/>
              <w:rPr>
                <w:snapToGrid w:val="0"/>
                <w:sz w:val="18"/>
              </w:rPr>
            </w:pPr>
            <w:r>
              <w:rPr>
                <w:snapToGrid w:val="0"/>
                <w:sz w:val="18"/>
              </w:rPr>
              <w:t>15</w:t>
            </w:r>
          </w:p>
        </w:tc>
        <w:tc>
          <w:tcPr>
            <w:tcW w:w="865" w:type="dxa"/>
            <w:tcBorders>
              <w:bottom w:val="nil"/>
            </w:tcBorders>
          </w:tcPr>
          <w:p w:rsidR="00000000" w:rsidRDefault="00000000">
            <w:pPr>
              <w:ind w:right="57"/>
              <w:jc w:val="right"/>
              <w:rPr>
                <w:snapToGrid w:val="0"/>
                <w:sz w:val="18"/>
              </w:rPr>
            </w:pPr>
            <w:r>
              <w:rPr>
                <w:snapToGrid w:val="0"/>
                <w:sz w:val="18"/>
              </w:rPr>
              <w:t>1 160</w:t>
            </w:r>
          </w:p>
        </w:tc>
        <w:tc>
          <w:tcPr>
            <w:tcW w:w="992" w:type="dxa"/>
            <w:tcBorders>
              <w:bottom w:val="nil"/>
            </w:tcBorders>
          </w:tcPr>
          <w:p w:rsidR="00000000" w:rsidRDefault="00000000">
            <w:pPr>
              <w:ind w:right="113"/>
              <w:jc w:val="right"/>
              <w:rPr>
                <w:snapToGrid w:val="0"/>
                <w:sz w:val="18"/>
              </w:rPr>
            </w:pPr>
            <w:r>
              <w:rPr>
                <w:snapToGrid w:val="0"/>
                <w:sz w:val="18"/>
              </w:rPr>
              <w:t>377</w:t>
            </w:r>
          </w:p>
        </w:tc>
        <w:tc>
          <w:tcPr>
            <w:tcW w:w="1134" w:type="dxa"/>
            <w:tcBorders>
              <w:bottom w:val="nil"/>
            </w:tcBorders>
          </w:tcPr>
          <w:p w:rsidR="00000000" w:rsidRDefault="00000000">
            <w:pPr>
              <w:ind w:right="113"/>
              <w:jc w:val="right"/>
              <w:rPr>
                <w:snapToGrid w:val="0"/>
                <w:sz w:val="18"/>
              </w:rPr>
            </w:pPr>
            <w:r>
              <w:rPr>
                <w:snapToGrid w:val="0"/>
                <w:sz w:val="18"/>
              </w:rPr>
              <w:t>783</w:t>
            </w:r>
          </w:p>
        </w:tc>
        <w:tc>
          <w:tcPr>
            <w:tcW w:w="992" w:type="dxa"/>
            <w:tcBorders>
              <w:bottom w:val="nil"/>
            </w:tcBorders>
          </w:tcPr>
          <w:p w:rsidR="00000000" w:rsidRDefault="00000000">
            <w:pPr>
              <w:ind w:right="113"/>
              <w:jc w:val="right"/>
              <w:rPr>
                <w:snapToGrid w:val="0"/>
                <w:sz w:val="18"/>
              </w:rPr>
            </w:pPr>
            <w:r>
              <w:rPr>
                <w:snapToGrid w:val="0"/>
                <w:sz w:val="18"/>
              </w:rPr>
              <w:t>84</w:t>
            </w:r>
          </w:p>
        </w:tc>
        <w:tc>
          <w:tcPr>
            <w:tcW w:w="710" w:type="dxa"/>
            <w:tcBorders>
              <w:bottom w:val="nil"/>
            </w:tcBorders>
          </w:tcPr>
          <w:p w:rsidR="00000000" w:rsidRDefault="00000000">
            <w:pPr>
              <w:ind w:right="57"/>
              <w:jc w:val="right"/>
              <w:rPr>
                <w:snapToGrid w:val="0"/>
                <w:sz w:val="18"/>
              </w:rPr>
            </w:pPr>
            <w:r>
              <w:rPr>
                <w:snapToGrid w:val="0"/>
                <w:sz w:val="18"/>
              </w:rPr>
              <w:t>52</w:t>
            </w:r>
          </w:p>
        </w:tc>
      </w:tr>
      <w:tr w:rsidR="00000000">
        <w:tblPrEx>
          <w:tblCellMar>
            <w:top w:w="0" w:type="dxa"/>
            <w:bottom w:w="0" w:type="dxa"/>
          </w:tblCellMar>
        </w:tblPrEx>
        <w:trPr>
          <w:trHeight w:val="187"/>
          <w:jc w:val="center"/>
        </w:trPr>
        <w:tc>
          <w:tcPr>
            <w:tcW w:w="1892" w:type="dxa"/>
            <w:tcBorders>
              <w:top w:val="nil"/>
              <w:bottom w:val="single" w:sz="4" w:space="0" w:color="auto"/>
            </w:tcBorders>
          </w:tcPr>
          <w:p w:rsidR="00000000" w:rsidRDefault="00000000">
            <w:pPr>
              <w:rPr>
                <w:b/>
                <w:snapToGrid w:val="0"/>
                <w:sz w:val="18"/>
              </w:rPr>
            </w:pPr>
          </w:p>
        </w:tc>
        <w:tc>
          <w:tcPr>
            <w:tcW w:w="683" w:type="dxa"/>
            <w:tcBorders>
              <w:top w:val="nil"/>
              <w:bottom w:val="single" w:sz="4" w:space="0" w:color="auto"/>
            </w:tcBorders>
          </w:tcPr>
          <w:p w:rsidR="00000000" w:rsidRDefault="00000000">
            <w:pPr>
              <w:jc w:val="center"/>
              <w:rPr>
                <w:snapToGrid w:val="0"/>
                <w:sz w:val="18"/>
              </w:rPr>
            </w:pPr>
            <w:r>
              <w:rPr>
                <w:snapToGrid w:val="0"/>
                <w:sz w:val="18"/>
              </w:rPr>
              <w:t>1999</w:t>
            </w:r>
          </w:p>
        </w:tc>
        <w:tc>
          <w:tcPr>
            <w:tcW w:w="850" w:type="dxa"/>
            <w:tcBorders>
              <w:top w:val="nil"/>
              <w:bottom w:val="single" w:sz="4" w:space="0" w:color="auto"/>
            </w:tcBorders>
          </w:tcPr>
          <w:p w:rsidR="00000000" w:rsidRDefault="00000000">
            <w:pPr>
              <w:jc w:val="right"/>
              <w:rPr>
                <w:snapToGrid w:val="0"/>
                <w:sz w:val="18"/>
              </w:rPr>
            </w:pPr>
            <w:r>
              <w:rPr>
                <w:snapToGrid w:val="0"/>
                <w:sz w:val="18"/>
              </w:rPr>
              <w:t>1 430</w:t>
            </w:r>
          </w:p>
        </w:tc>
        <w:tc>
          <w:tcPr>
            <w:tcW w:w="999" w:type="dxa"/>
            <w:tcBorders>
              <w:top w:val="nil"/>
              <w:bottom w:val="single" w:sz="4" w:space="0" w:color="auto"/>
            </w:tcBorders>
          </w:tcPr>
          <w:p w:rsidR="00000000" w:rsidRDefault="00000000">
            <w:pPr>
              <w:ind w:right="113"/>
              <w:jc w:val="right"/>
              <w:rPr>
                <w:snapToGrid w:val="0"/>
                <w:sz w:val="18"/>
              </w:rPr>
            </w:pPr>
            <w:r>
              <w:rPr>
                <w:snapToGrid w:val="0"/>
                <w:sz w:val="18"/>
              </w:rPr>
              <w:t>26</w:t>
            </w:r>
          </w:p>
        </w:tc>
        <w:tc>
          <w:tcPr>
            <w:tcW w:w="865" w:type="dxa"/>
            <w:tcBorders>
              <w:top w:val="nil"/>
              <w:bottom w:val="single" w:sz="4" w:space="0" w:color="auto"/>
            </w:tcBorders>
          </w:tcPr>
          <w:p w:rsidR="00000000" w:rsidRDefault="00000000">
            <w:pPr>
              <w:ind w:right="57"/>
              <w:jc w:val="right"/>
              <w:rPr>
                <w:snapToGrid w:val="0"/>
                <w:sz w:val="18"/>
              </w:rPr>
            </w:pPr>
            <w:r>
              <w:rPr>
                <w:snapToGrid w:val="0"/>
                <w:sz w:val="18"/>
              </w:rPr>
              <w:t>1 253</w:t>
            </w:r>
          </w:p>
        </w:tc>
        <w:tc>
          <w:tcPr>
            <w:tcW w:w="992" w:type="dxa"/>
            <w:tcBorders>
              <w:top w:val="nil"/>
              <w:bottom w:val="single" w:sz="4" w:space="0" w:color="auto"/>
            </w:tcBorders>
          </w:tcPr>
          <w:p w:rsidR="00000000" w:rsidRDefault="00000000">
            <w:pPr>
              <w:ind w:right="113"/>
              <w:jc w:val="right"/>
              <w:rPr>
                <w:snapToGrid w:val="0"/>
                <w:sz w:val="18"/>
              </w:rPr>
            </w:pPr>
            <w:r>
              <w:rPr>
                <w:snapToGrid w:val="0"/>
                <w:sz w:val="18"/>
              </w:rPr>
              <w:t>424</w:t>
            </w:r>
          </w:p>
        </w:tc>
        <w:tc>
          <w:tcPr>
            <w:tcW w:w="1134" w:type="dxa"/>
            <w:tcBorders>
              <w:top w:val="nil"/>
              <w:bottom w:val="single" w:sz="4" w:space="0" w:color="auto"/>
            </w:tcBorders>
          </w:tcPr>
          <w:p w:rsidR="00000000" w:rsidRDefault="00000000">
            <w:pPr>
              <w:ind w:right="113"/>
              <w:jc w:val="right"/>
              <w:rPr>
                <w:snapToGrid w:val="0"/>
                <w:sz w:val="18"/>
              </w:rPr>
            </w:pPr>
            <w:r>
              <w:rPr>
                <w:snapToGrid w:val="0"/>
                <w:sz w:val="18"/>
              </w:rPr>
              <w:t>829</w:t>
            </w:r>
          </w:p>
        </w:tc>
        <w:tc>
          <w:tcPr>
            <w:tcW w:w="992" w:type="dxa"/>
            <w:tcBorders>
              <w:top w:val="nil"/>
              <w:bottom w:val="single" w:sz="4" w:space="0" w:color="auto"/>
            </w:tcBorders>
          </w:tcPr>
          <w:p w:rsidR="00000000" w:rsidRDefault="00000000">
            <w:pPr>
              <w:ind w:right="113"/>
              <w:jc w:val="right"/>
              <w:rPr>
                <w:snapToGrid w:val="0"/>
                <w:sz w:val="18"/>
              </w:rPr>
            </w:pPr>
            <w:r>
              <w:rPr>
                <w:snapToGrid w:val="0"/>
                <w:sz w:val="18"/>
              </w:rPr>
              <w:t>118</w:t>
            </w:r>
          </w:p>
        </w:tc>
        <w:tc>
          <w:tcPr>
            <w:tcW w:w="710" w:type="dxa"/>
            <w:tcBorders>
              <w:top w:val="nil"/>
              <w:bottom w:val="single" w:sz="4" w:space="0" w:color="auto"/>
            </w:tcBorders>
          </w:tcPr>
          <w:p w:rsidR="00000000" w:rsidRDefault="00000000">
            <w:pPr>
              <w:ind w:right="57"/>
              <w:jc w:val="right"/>
              <w:rPr>
                <w:snapToGrid w:val="0"/>
                <w:sz w:val="18"/>
              </w:rPr>
            </w:pPr>
            <w:r>
              <w:rPr>
                <w:snapToGrid w:val="0"/>
                <w:sz w:val="18"/>
              </w:rPr>
              <w:t>33</w:t>
            </w:r>
          </w:p>
        </w:tc>
      </w:tr>
      <w:tr w:rsidR="00000000">
        <w:tblPrEx>
          <w:tblCellMar>
            <w:top w:w="0" w:type="dxa"/>
            <w:bottom w:w="0" w:type="dxa"/>
          </w:tblCellMar>
        </w:tblPrEx>
        <w:trPr>
          <w:trHeight w:val="187"/>
          <w:jc w:val="center"/>
        </w:trPr>
        <w:tc>
          <w:tcPr>
            <w:tcW w:w="1892" w:type="dxa"/>
            <w:tcBorders>
              <w:top w:val="single" w:sz="4" w:space="0" w:color="auto"/>
            </w:tcBorders>
          </w:tcPr>
          <w:p w:rsidR="00000000" w:rsidRDefault="00000000">
            <w:pPr>
              <w:rPr>
                <w:snapToGrid w:val="0"/>
                <w:sz w:val="18"/>
              </w:rPr>
            </w:pPr>
          </w:p>
        </w:tc>
        <w:tc>
          <w:tcPr>
            <w:tcW w:w="683" w:type="dxa"/>
            <w:tcBorders>
              <w:top w:val="single" w:sz="4" w:space="0" w:color="auto"/>
            </w:tcBorders>
          </w:tcPr>
          <w:p w:rsidR="00000000" w:rsidRDefault="00000000">
            <w:pPr>
              <w:jc w:val="center"/>
              <w:rPr>
                <w:snapToGrid w:val="0"/>
                <w:sz w:val="18"/>
              </w:rPr>
            </w:pPr>
            <w:r>
              <w:rPr>
                <w:snapToGrid w:val="0"/>
                <w:sz w:val="18"/>
              </w:rPr>
              <w:t>1997</w:t>
            </w:r>
          </w:p>
        </w:tc>
        <w:tc>
          <w:tcPr>
            <w:tcW w:w="850" w:type="dxa"/>
            <w:tcBorders>
              <w:top w:val="single" w:sz="4" w:space="0" w:color="auto"/>
            </w:tcBorders>
          </w:tcPr>
          <w:p w:rsidR="00000000" w:rsidRDefault="00000000">
            <w:pPr>
              <w:jc w:val="right"/>
              <w:rPr>
                <w:snapToGrid w:val="0"/>
                <w:sz w:val="18"/>
              </w:rPr>
            </w:pPr>
            <w:r>
              <w:rPr>
                <w:snapToGrid w:val="0"/>
                <w:sz w:val="18"/>
              </w:rPr>
              <w:t>87</w:t>
            </w:r>
          </w:p>
        </w:tc>
        <w:tc>
          <w:tcPr>
            <w:tcW w:w="999" w:type="dxa"/>
            <w:tcBorders>
              <w:top w:val="single" w:sz="4" w:space="0" w:color="auto"/>
            </w:tcBorders>
          </w:tcPr>
          <w:p w:rsidR="00000000" w:rsidRDefault="00000000">
            <w:pPr>
              <w:ind w:right="113"/>
              <w:jc w:val="right"/>
              <w:rPr>
                <w:snapToGrid w:val="0"/>
                <w:sz w:val="18"/>
              </w:rPr>
            </w:pPr>
            <w:r>
              <w:rPr>
                <w:snapToGrid w:val="0"/>
                <w:sz w:val="18"/>
              </w:rPr>
              <w:t>2</w:t>
            </w:r>
          </w:p>
        </w:tc>
        <w:tc>
          <w:tcPr>
            <w:tcW w:w="865" w:type="dxa"/>
            <w:tcBorders>
              <w:top w:val="single" w:sz="4" w:space="0" w:color="auto"/>
            </w:tcBorders>
          </w:tcPr>
          <w:p w:rsidR="00000000" w:rsidRDefault="00000000">
            <w:pPr>
              <w:ind w:right="57"/>
              <w:jc w:val="right"/>
              <w:rPr>
                <w:snapToGrid w:val="0"/>
                <w:sz w:val="18"/>
              </w:rPr>
            </w:pPr>
            <w:r>
              <w:rPr>
                <w:snapToGrid w:val="0"/>
                <w:sz w:val="18"/>
              </w:rPr>
              <w:t>74</w:t>
            </w:r>
          </w:p>
        </w:tc>
        <w:tc>
          <w:tcPr>
            <w:tcW w:w="992" w:type="dxa"/>
            <w:tcBorders>
              <w:top w:val="single" w:sz="4" w:space="0" w:color="auto"/>
            </w:tcBorders>
          </w:tcPr>
          <w:p w:rsidR="00000000" w:rsidRDefault="00000000">
            <w:pPr>
              <w:ind w:right="113"/>
              <w:jc w:val="right"/>
              <w:rPr>
                <w:snapToGrid w:val="0"/>
                <w:sz w:val="18"/>
              </w:rPr>
            </w:pPr>
            <w:r>
              <w:rPr>
                <w:snapToGrid w:val="0"/>
                <w:sz w:val="18"/>
              </w:rPr>
              <w:t>9</w:t>
            </w:r>
          </w:p>
        </w:tc>
        <w:tc>
          <w:tcPr>
            <w:tcW w:w="1134" w:type="dxa"/>
            <w:tcBorders>
              <w:top w:val="single" w:sz="4" w:space="0" w:color="auto"/>
            </w:tcBorders>
          </w:tcPr>
          <w:p w:rsidR="00000000" w:rsidRDefault="00000000">
            <w:pPr>
              <w:ind w:right="113"/>
              <w:jc w:val="right"/>
              <w:rPr>
                <w:snapToGrid w:val="0"/>
                <w:sz w:val="18"/>
              </w:rPr>
            </w:pPr>
            <w:r>
              <w:rPr>
                <w:snapToGrid w:val="0"/>
                <w:sz w:val="18"/>
              </w:rPr>
              <w:t>65</w:t>
            </w:r>
          </w:p>
        </w:tc>
        <w:tc>
          <w:tcPr>
            <w:tcW w:w="992" w:type="dxa"/>
            <w:tcBorders>
              <w:top w:val="single" w:sz="4" w:space="0" w:color="auto"/>
            </w:tcBorders>
          </w:tcPr>
          <w:p w:rsidR="00000000" w:rsidRDefault="00000000">
            <w:pPr>
              <w:ind w:right="113"/>
              <w:jc w:val="right"/>
              <w:rPr>
                <w:snapToGrid w:val="0"/>
                <w:sz w:val="18"/>
              </w:rPr>
            </w:pPr>
            <w:r>
              <w:rPr>
                <w:snapToGrid w:val="0"/>
                <w:sz w:val="18"/>
              </w:rPr>
              <w:t>7</w:t>
            </w:r>
          </w:p>
        </w:tc>
        <w:tc>
          <w:tcPr>
            <w:tcW w:w="710" w:type="dxa"/>
            <w:tcBorders>
              <w:top w:val="single" w:sz="4" w:space="0" w:color="auto"/>
            </w:tcBorders>
          </w:tcPr>
          <w:p w:rsidR="00000000" w:rsidRDefault="00000000">
            <w:pPr>
              <w:ind w:right="57"/>
              <w:jc w:val="right"/>
              <w:rPr>
                <w:snapToGrid w:val="0"/>
                <w:sz w:val="18"/>
              </w:rPr>
            </w:pPr>
            <w:r>
              <w:rPr>
                <w:snapToGrid w:val="0"/>
                <w:sz w:val="18"/>
              </w:rPr>
              <w:t>4</w:t>
            </w:r>
          </w:p>
        </w:tc>
      </w:tr>
      <w:tr w:rsidR="00000000">
        <w:tblPrEx>
          <w:tblCellMar>
            <w:top w:w="0" w:type="dxa"/>
            <w:bottom w:w="0" w:type="dxa"/>
          </w:tblCellMar>
        </w:tblPrEx>
        <w:trPr>
          <w:trHeight w:val="187"/>
          <w:jc w:val="center"/>
        </w:trPr>
        <w:tc>
          <w:tcPr>
            <w:tcW w:w="1892" w:type="dxa"/>
            <w:tcBorders>
              <w:bottom w:val="nil"/>
            </w:tcBorders>
          </w:tcPr>
          <w:p w:rsidR="00000000" w:rsidRDefault="00000000">
            <w:pPr>
              <w:rPr>
                <w:snapToGrid w:val="0"/>
                <w:sz w:val="18"/>
              </w:rPr>
            </w:pPr>
            <w:r>
              <w:rPr>
                <w:snapToGrid w:val="0"/>
                <w:sz w:val="18"/>
              </w:rPr>
              <w:t>Acre</w:t>
            </w:r>
          </w:p>
        </w:tc>
        <w:tc>
          <w:tcPr>
            <w:tcW w:w="683" w:type="dxa"/>
            <w:tcBorders>
              <w:bottom w:val="nil"/>
            </w:tcBorders>
          </w:tcPr>
          <w:p w:rsidR="00000000" w:rsidRDefault="00000000">
            <w:pPr>
              <w:jc w:val="center"/>
              <w:rPr>
                <w:snapToGrid w:val="0"/>
                <w:sz w:val="18"/>
              </w:rPr>
            </w:pPr>
            <w:r>
              <w:rPr>
                <w:snapToGrid w:val="0"/>
                <w:sz w:val="18"/>
              </w:rPr>
              <w:t>1998</w:t>
            </w:r>
          </w:p>
        </w:tc>
        <w:tc>
          <w:tcPr>
            <w:tcW w:w="850" w:type="dxa"/>
            <w:tcBorders>
              <w:bottom w:val="nil"/>
            </w:tcBorders>
          </w:tcPr>
          <w:p w:rsidR="00000000" w:rsidRDefault="00000000">
            <w:pPr>
              <w:jc w:val="right"/>
              <w:rPr>
                <w:snapToGrid w:val="0"/>
                <w:sz w:val="18"/>
              </w:rPr>
            </w:pPr>
            <w:r>
              <w:rPr>
                <w:snapToGrid w:val="0"/>
                <w:sz w:val="18"/>
              </w:rPr>
              <w:t>85</w:t>
            </w:r>
          </w:p>
        </w:tc>
        <w:tc>
          <w:tcPr>
            <w:tcW w:w="999" w:type="dxa"/>
            <w:tcBorders>
              <w:bottom w:val="nil"/>
            </w:tcBorders>
          </w:tcPr>
          <w:p w:rsidR="00000000" w:rsidRDefault="00000000">
            <w:pPr>
              <w:ind w:right="113"/>
              <w:jc w:val="right"/>
              <w:rPr>
                <w:snapToGrid w:val="0"/>
                <w:sz w:val="18"/>
              </w:rPr>
            </w:pPr>
            <w:r>
              <w:rPr>
                <w:snapToGrid w:val="0"/>
                <w:sz w:val="18"/>
              </w:rPr>
              <w:t>3</w:t>
            </w:r>
          </w:p>
        </w:tc>
        <w:tc>
          <w:tcPr>
            <w:tcW w:w="865" w:type="dxa"/>
            <w:tcBorders>
              <w:bottom w:val="nil"/>
            </w:tcBorders>
          </w:tcPr>
          <w:p w:rsidR="00000000" w:rsidRDefault="00000000">
            <w:pPr>
              <w:ind w:right="57"/>
              <w:jc w:val="right"/>
              <w:rPr>
                <w:snapToGrid w:val="0"/>
                <w:sz w:val="18"/>
              </w:rPr>
            </w:pPr>
            <w:r>
              <w:rPr>
                <w:snapToGrid w:val="0"/>
                <w:sz w:val="18"/>
              </w:rPr>
              <w:t>72</w:t>
            </w:r>
          </w:p>
        </w:tc>
        <w:tc>
          <w:tcPr>
            <w:tcW w:w="992" w:type="dxa"/>
            <w:tcBorders>
              <w:bottom w:val="nil"/>
            </w:tcBorders>
          </w:tcPr>
          <w:p w:rsidR="00000000" w:rsidRDefault="00000000">
            <w:pPr>
              <w:ind w:right="113"/>
              <w:jc w:val="right"/>
              <w:rPr>
                <w:snapToGrid w:val="0"/>
                <w:sz w:val="18"/>
              </w:rPr>
            </w:pPr>
            <w:r>
              <w:rPr>
                <w:snapToGrid w:val="0"/>
                <w:sz w:val="18"/>
              </w:rPr>
              <w:t>3</w:t>
            </w:r>
          </w:p>
        </w:tc>
        <w:tc>
          <w:tcPr>
            <w:tcW w:w="1134" w:type="dxa"/>
            <w:tcBorders>
              <w:bottom w:val="nil"/>
            </w:tcBorders>
          </w:tcPr>
          <w:p w:rsidR="00000000" w:rsidRDefault="00000000">
            <w:pPr>
              <w:ind w:right="113"/>
              <w:jc w:val="right"/>
              <w:rPr>
                <w:snapToGrid w:val="0"/>
                <w:sz w:val="18"/>
              </w:rPr>
            </w:pPr>
            <w:r>
              <w:rPr>
                <w:snapToGrid w:val="0"/>
                <w:sz w:val="18"/>
              </w:rPr>
              <w:t>69</w:t>
            </w:r>
          </w:p>
        </w:tc>
        <w:tc>
          <w:tcPr>
            <w:tcW w:w="992" w:type="dxa"/>
            <w:tcBorders>
              <w:bottom w:val="nil"/>
            </w:tcBorders>
          </w:tcPr>
          <w:p w:rsidR="00000000" w:rsidRDefault="00000000">
            <w:pPr>
              <w:ind w:right="113"/>
              <w:jc w:val="right"/>
              <w:rPr>
                <w:snapToGrid w:val="0"/>
                <w:sz w:val="18"/>
              </w:rPr>
            </w:pPr>
            <w:r>
              <w:rPr>
                <w:snapToGrid w:val="0"/>
                <w:sz w:val="18"/>
              </w:rPr>
              <w:t>7</w:t>
            </w:r>
          </w:p>
        </w:tc>
        <w:tc>
          <w:tcPr>
            <w:tcW w:w="710" w:type="dxa"/>
            <w:tcBorders>
              <w:bottom w:val="nil"/>
            </w:tcBorders>
          </w:tcPr>
          <w:p w:rsidR="00000000" w:rsidRDefault="00000000">
            <w:pPr>
              <w:ind w:right="57"/>
              <w:jc w:val="right"/>
              <w:rPr>
                <w:snapToGrid w:val="0"/>
                <w:sz w:val="18"/>
              </w:rPr>
            </w:pPr>
            <w:r>
              <w:rPr>
                <w:snapToGrid w:val="0"/>
                <w:sz w:val="18"/>
              </w:rPr>
              <w:t>3</w:t>
            </w:r>
          </w:p>
        </w:tc>
      </w:tr>
      <w:tr w:rsidR="00000000">
        <w:tblPrEx>
          <w:tblCellMar>
            <w:top w:w="0" w:type="dxa"/>
            <w:bottom w:w="0" w:type="dxa"/>
          </w:tblCellMar>
        </w:tblPrEx>
        <w:trPr>
          <w:trHeight w:val="187"/>
          <w:jc w:val="center"/>
        </w:trPr>
        <w:tc>
          <w:tcPr>
            <w:tcW w:w="1892" w:type="dxa"/>
            <w:tcBorders>
              <w:top w:val="nil"/>
              <w:bottom w:val="single" w:sz="4" w:space="0" w:color="auto"/>
            </w:tcBorders>
          </w:tcPr>
          <w:p w:rsidR="00000000" w:rsidRDefault="00000000">
            <w:pPr>
              <w:rPr>
                <w:snapToGrid w:val="0"/>
                <w:sz w:val="18"/>
              </w:rPr>
            </w:pPr>
          </w:p>
        </w:tc>
        <w:tc>
          <w:tcPr>
            <w:tcW w:w="683" w:type="dxa"/>
            <w:tcBorders>
              <w:top w:val="nil"/>
              <w:bottom w:val="single" w:sz="4" w:space="0" w:color="auto"/>
            </w:tcBorders>
          </w:tcPr>
          <w:p w:rsidR="00000000" w:rsidRDefault="00000000">
            <w:pPr>
              <w:jc w:val="center"/>
              <w:rPr>
                <w:snapToGrid w:val="0"/>
                <w:sz w:val="18"/>
              </w:rPr>
            </w:pPr>
            <w:r>
              <w:rPr>
                <w:snapToGrid w:val="0"/>
                <w:sz w:val="18"/>
              </w:rPr>
              <w:t>1999</w:t>
            </w:r>
          </w:p>
        </w:tc>
        <w:tc>
          <w:tcPr>
            <w:tcW w:w="850" w:type="dxa"/>
            <w:tcBorders>
              <w:top w:val="nil"/>
              <w:bottom w:val="single" w:sz="4" w:space="0" w:color="auto"/>
            </w:tcBorders>
          </w:tcPr>
          <w:p w:rsidR="00000000" w:rsidRDefault="00000000">
            <w:pPr>
              <w:jc w:val="right"/>
              <w:rPr>
                <w:snapToGrid w:val="0"/>
                <w:sz w:val="18"/>
              </w:rPr>
            </w:pPr>
            <w:r>
              <w:rPr>
                <w:snapToGrid w:val="0"/>
                <w:sz w:val="18"/>
              </w:rPr>
              <w:t>93</w:t>
            </w:r>
          </w:p>
        </w:tc>
        <w:tc>
          <w:tcPr>
            <w:tcW w:w="999" w:type="dxa"/>
            <w:tcBorders>
              <w:top w:val="nil"/>
              <w:bottom w:val="single" w:sz="4" w:space="0" w:color="auto"/>
            </w:tcBorders>
          </w:tcPr>
          <w:p w:rsidR="00000000" w:rsidRDefault="00000000">
            <w:pPr>
              <w:ind w:right="113"/>
              <w:jc w:val="right"/>
              <w:rPr>
                <w:snapToGrid w:val="0"/>
                <w:sz w:val="18"/>
              </w:rPr>
            </w:pPr>
            <w:r>
              <w:rPr>
                <w:snapToGrid w:val="0"/>
                <w:sz w:val="18"/>
              </w:rPr>
              <w:noBreakHyphen/>
            </w:r>
          </w:p>
        </w:tc>
        <w:tc>
          <w:tcPr>
            <w:tcW w:w="865" w:type="dxa"/>
            <w:tcBorders>
              <w:top w:val="nil"/>
              <w:bottom w:val="single" w:sz="4" w:space="0" w:color="auto"/>
            </w:tcBorders>
          </w:tcPr>
          <w:p w:rsidR="00000000" w:rsidRDefault="00000000">
            <w:pPr>
              <w:ind w:right="57"/>
              <w:jc w:val="right"/>
              <w:rPr>
                <w:snapToGrid w:val="0"/>
                <w:sz w:val="18"/>
              </w:rPr>
            </w:pPr>
            <w:r>
              <w:rPr>
                <w:snapToGrid w:val="0"/>
                <w:sz w:val="18"/>
              </w:rPr>
              <w:t>66</w:t>
            </w:r>
          </w:p>
        </w:tc>
        <w:tc>
          <w:tcPr>
            <w:tcW w:w="992" w:type="dxa"/>
            <w:tcBorders>
              <w:top w:val="nil"/>
              <w:bottom w:val="single" w:sz="4" w:space="0" w:color="auto"/>
            </w:tcBorders>
          </w:tcPr>
          <w:p w:rsidR="00000000" w:rsidRDefault="00000000">
            <w:pPr>
              <w:ind w:right="113"/>
              <w:jc w:val="right"/>
              <w:rPr>
                <w:snapToGrid w:val="0"/>
                <w:sz w:val="18"/>
              </w:rPr>
            </w:pPr>
            <w:r>
              <w:rPr>
                <w:snapToGrid w:val="0"/>
                <w:sz w:val="18"/>
              </w:rPr>
              <w:t>6</w:t>
            </w:r>
          </w:p>
        </w:tc>
        <w:tc>
          <w:tcPr>
            <w:tcW w:w="1134" w:type="dxa"/>
            <w:tcBorders>
              <w:top w:val="nil"/>
              <w:bottom w:val="single" w:sz="4" w:space="0" w:color="auto"/>
            </w:tcBorders>
          </w:tcPr>
          <w:p w:rsidR="00000000" w:rsidRDefault="00000000">
            <w:pPr>
              <w:ind w:right="113"/>
              <w:jc w:val="right"/>
              <w:rPr>
                <w:snapToGrid w:val="0"/>
                <w:sz w:val="18"/>
              </w:rPr>
            </w:pPr>
            <w:r>
              <w:rPr>
                <w:snapToGrid w:val="0"/>
                <w:sz w:val="18"/>
              </w:rPr>
              <w:t>60</w:t>
            </w:r>
          </w:p>
        </w:tc>
        <w:tc>
          <w:tcPr>
            <w:tcW w:w="992" w:type="dxa"/>
            <w:tcBorders>
              <w:top w:val="nil"/>
              <w:bottom w:val="single" w:sz="4" w:space="0" w:color="auto"/>
            </w:tcBorders>
          </w:tcPr>
          <w:p w:rsidR="00000000" w:rsidRDefault="00000000">
            <w:pPr>
              <w:ind w:right="113"/>
              <w:jc w:val="right"/>
              <w:rPr>
                <w:snapToGrid w:val="0"/>
                <w:sz w:val="18"/>
              </w:rPr>
            </w:pPr>
            <w:r>
              <w:rPr>
                <w:snapToGrid w:val="0"/>
                <w:sz w:val="18"/>
              </w:rPr>
              <w:t>21</w:t>
            </w:r>
          </w:p>
        </w:tc>
        <w:tc>
          <w:tcPr>
            <w:tcW w:w="710" w:type="dxa"/>
            <w:tcBorders>
              <w:top w:val="nil"/>
              <w:bottom w:val="single" w:sz="4" w:space="0" w:color="auto"/>
            </w:tcBorders>
          </w:tcPr>
          <w:p w:rsidR="00000000" w:rsidRDefault="00000000">
            <w:pPr>
              <w:ind w:right="57"/>
              <w:jc w:val="right"/>
              <w:rPr>
                <w:snapToGrid w:val="0"/>
                <w:sz w:val="18"/>
              </w:rPr>
            </w:pPr>
            <w:r>
              <w:rPr>
                <w:snapToGrid w:val="0"/>
                <w:sz w:val="18"/>
              </w:rPr>
              <w:t>6</w:t>
            </w:r>
          </w:p>
        </w:tc>
      </w:tr>
      <w:tr w:rsidR="00000000">
        <w:tblPrEx>
          <w:tblCellMar>
            <w:top w:w="0" w:type="dxa"/>
            <w:bottom w:w="0" w:type="dxa"/>
          </w:tblCellMar>
        </w:tblPrEx>
        <w:trPr>
          <w:trHeight w:val="187"/>
          <w:jc w:val="center"/>
        </w:trPr>
        <w:tc>
          <w:tcPr>
            <w:tcW w:w="1892" w:type="dxa"/>
            <w:tcBorders>
              <w:top w:val="single" w:sz="4" w:space="0" w:color="auto"/>
            </w:tcBorders>
          </w:tcPr>
          <w:p w:rsidR="00000000" w:rsidRDefault="00000000">
            <w:pPr>
              <w:rPr>
                <w:snapToGrid w:val="0"/>
                <w:sz w:val="18"/>
              </w:rPr>
            </w:pPr>
          </w:p>
        </w:tc>
        <w:tc>
          <w:tcPr>
            <w:tcW w:w="683" w:type="dxa"/>
            <w:tcBorders>
              <w:top w:val="single" w:sz="4" w:space="0" w:color="auto"/>
            </w:tcBorders>
          </w:tcPr>
          <w:p w:rsidR="00000000" w:rsidRDefault="00000000">
            <w:pPr>
              <w:jc w:val="center"/>
              <w:rPr>
                <w:snapToGrid w:val="0"/>
                <w:sz w:val="18"/>
              </w:rPr>
            </w:pPr>
            <w:r>
              <w:rPr>
                <w:snapToGrid w:val="0"/>
                <w:sz w:val="18"/>
              </w:rPr>
              <w:t>1997</w:t>
            </w:r>
          </w:p>
        </w:tc>
        <w:tc>
          <w:tcPr>
            <w:tcW w:w="850" w:type="dxa"/>
            <w:tcBorders>
              <w:top w:val="single" w:sz="4" w:space="0" w:color="auto"/>
            </w:tcBorders>
          </w:tcPr>
          <w:p w:rsidR="00000000" w:rsidRDefault="00000000">
            <w:pPr>
              <w:jc w:val="right"/>
              <w:rPr>
                <w:snapToGrid w:val="0"/>
                <w:sz w:val="18"/>
              </w:rPr>
            </w:pPr>
            <w:r>
              <w:rPr>
                <w:snapToGrid w:val="0"/>
                <w:sz w:val="18"/>
              </w:rPr>
              <w:t>1 062</w:t>
            </w:r>
          </w:p>
        </w:tc>
        <w:tc>
          <w:tcPr>
            <w:tcW w:w="999" w:type="dxa"/>
            <w:tcBorders>
              <w:top w:val="single" w:sz="4" w:space="0" w:color="auto"/>
            </w:tcBorders>
          </w:tcPr>
          <w:p w:rsidR="00000000" w:rsidRDefault="00000000">
            <w:pPr>
              <w:ind w:right="113"/>
              <w:jc w:val="right"/>
              <w:rPr>
                <w:snapToGrid w:val="0"/>
                <w:sz w:val="18"/>
              </w:rPr>
            </w:pPr>
            <w:r>
              <w:rPr>
                <w:snapToGrid w:val="0"/>
                <w:sz w:val="18"/>
              </w:rPr>
              <w:noBreakHyphen/>
            </w:r>
          </w:p>
        </w:tc>
        <w:tc>
          <w:tcPr>
            <w:tcW w:w="865" w:type="dxa"/>
            <w:tcBorders>
              <w:top w:val="single" w:sz="4" w:space="0" w:color="auto"/>
            </w:tcBorders>
          </w:tcPr>
          <w:p w:rsidR="00000000" w:rsidRDefault="00000000">
            <w:pPr>
              <w:ind w:right="57"/>
              <w:jc w:val="right"/>
              <w:rPr>
                <w:snapToGrid w:val="0"/>
                <w:sz w:val="18"/>
              </w:rPr>
            </w:pPr>
            <w:r>
              <w:rPr>
                <w:snapToGrid w:val="0"/>
                <w:sz w:val="18"/>
              </w:rPr>
              <w:t>936</w:t>
            </w:r>
          </w:p>
        </w:tc>
        <w:tc>
          <w:tcPr>
            <w:tcW w:w="992" w:type="dxa"/>
            <w:tcBorders>
              <w:top w:val="single" w:sz="4" w:space="0" w:color="auto"/>
            </w:tcBorders>
          </w:tcPr>
          <w:p w:rsidR="00000000" w:rsidRDefault="00000000">
            <w:pPr>
              <w:ind w:right="113"/>
              <w:jc w:val="right"/>
              <w:rPr>
                <w:snapToGrid w:val="0"/>
                <w:sz w:val="18"/>
              </w:rPr>
            </w:pPr>
            <w:r>
              <w:rPr>
                <w:snapToGrid w:val="0"/>
                <w:sz w:val="18"/>
              </w:rPr>
              <w:t>2</w:t>
            </w:r>
          </w:p>
        </w:tc>
        <w:tc>
          <w:tcPr>
            <w:tcW w:w="1134" w:type="dxa"/>
            <w:tcBorders>
              <w:top w:val="single" w:sz="4" w:space="0" w:color="auto"/>
            </w:tcBorders>
          </w:tcPr>
          <w:p w:rsidR="00000000" w:rsidRDefault="00000000">
            <w:pPr>
              <w:ind w:right="113"/>
              <w:jc w:val="right"/>
              <w:rPr>
                <w:snapToGrid w:val="0"/>
                <w:sz w:val="18"/>
              </w:rPr>
            </w:pPr>
            <w:r>
              <w:rPr>
                <w:snapToGrid w:val="0"/>
                <w:sz w:val="18"/>
              </w:rPr>
              <w:t>934</w:t>
            </w:r>
          </w:p>
        </w:tc>
        <w:tc>
          <w:tcPr>
            <w:tcW w:w="992" w:type="dxa"/>
            <w:tcBorders>
              <w:top w:val="single" w:sz="4" w:space="0" w:color="auto"/>
            </w:tcBorders>
          </w:tcPr>
          <w:p w:rsidR="00000000" w:rsidRDefault="00000000">
            <w:pPr>
              <w:ind w:right="113"/>
              <w:jc w:val="right"/>
              <w:rPr>
                <w:snapToGrid w:val="0"/>
                <w:sz w:val="18"/>
              </w:rPr>
            </w:pPr>
            <w:r>
              <w:rPr>
                <w:snapToGrid w:val="0"/>
                <w:sz w:val="18"/>
              </w:rPr>
              <w:t>108</w:t>
            </w:r>
          </w:p>
        </w:tc>
        <w:tc>
          <w:tcPr>
            <w:tcW w:w="710" w:type="dxa"/>
            <w:tcBorders>
              <w:top w:val="single" w:sz="4" w:space="0" w:color="auto"/>
            </w:tcBorders>
          </w:tcPr>
          <w:p w:rsidR="00000000" w:rsidRDefault="00000000">
            <w:pPr>
              <w:ind w:right="57"/>
              <w:jc w:val="right"/>
              <w:rPr>
                <w:snapToGrid w:val="0"/>
                <w:sz w:val="18"/>
              </w:rPr>
            </w:pPr>
            <w:r>
              <w:rPr>
                <w:snapToGrid w:val="0"/>
                <w:sz w:val="18"/>
              </w:rPr>
              <w:t>18</w:t>
            </w:r>
          </w:p>
        </w:tc>
      </w:tr>
      <w:tr w:rsidR="00000000">
        <w:tblPrEx>
          <w:tblCellMar>
            <w:top w:w="0" w:type="dxa"/>
            <w:bottom w:w="0" w:type="dxa"/>
          </w:tblCellMar>
        </w:tblPrEx>
        <w:trPr>
          <w:trHeight w:val="187"/>
          <w:jc w:val="center"/>
        </w:trPr>
        <w:tc>
          <w:tcPr>
            <w:tcW w:w="1892" w:type="dxa"/>
            <w:tcBorders>
              <w:bottom w:val="nil"/>
            </w:tcBorders>
          </w:tcPr>
          <w:p w:rsidR="00000000" w:rsidRDefault="00000000">
            <w:pPr>
              <w:rPr>
                <w:snapToGrid w:val="0"/>
                <w:sz w:val="18"/>
              </w:rPr>
            </w:pPr>
            <w:r>
              <w:rPr>
                <w:snapToGrid w:val="0"/>
                <w:sz w:val="18"/>
              </w:rPr>
              <w:t>Amazonas</w:t>
            </w:r>
          </w:p>
        </w:tc>
        <w:tc>
          <w:tcPr>
            <w:tcW w:w="683" w:type="dxa"/>
            <w:tcBorders>
              <w:bottom w:val="nil"/>
            </w:tcBorders>
          </w:tcPr>
          <w:p w:rsidR="00000000" w:rsidRDefault="00000000">
            <w:pPr>
              <w:jc w:val="center"/>
              <w:rPr>
                <w:snapToGrid w:val="0"/>
                <w:sz w:val="18"/>
                <w:lang w:val="fr-FR"/>
              </w:rPr>
            </w:pPr>
            <w:r>
              <w:rPr>
                <w:snapToGrid w:val="0"/>
                <w:sz w:val="18"/>
                <w:lang w:val="fr-FR"/>
              </w:rPr>
              <w:t>1998</w:t>
            </w:r>
          </w:p>
        </w:tc>
        <w:tc>
          <w:tcPr>
            <w:tcW w:w="850" w:type="dxa"/>
            <w:tcBorders>
              <w:bottom w:val="nil"/>
            </w:tcBorders>
          </w:tcPr>
          <w:p w:rsidR="00000000" w:rsidRDefault="00000000">
            <w:pPr>
              <w:jc w:val="right"/>
              <w:rPr>
                <w:snapToGrid w:val="0"/>
                <w:sz w:val="18"/>
                <w:lang w:val="fr-FR"/>
              </w:rPr>
            </w:pPr>
            <w:r>
              <w:rPr>
                <w:snapToGrid w:val="0"/>
                <w:sz w:val="18"/>
                <w:lang w:val="fr-FR"/>
              </w:rPr>
              <w:t>1 102</w:t>
            </w:r>
          </w:p>
        </w:tc>
        <w:tc>
          <w:tcPr>
            <w:tcW w:w="999" w:type="dxa"/>
            <w:tcBorders>
              <w:bottom w:val="nil"/>
            </w:tcBorders>
          </w:tcPr>
          <w:p w:rsidR="00000000" w:rsidRDefault="00000000">
            <w:pPr>
              <w:ind w:right="113"/>
              <w:jc w:val="right"/>
              <w:rPr>
                <w:snapToGrid w:val="0"/>
                <w:sz w:val="18"/>
                <w:lang w:val="fr-FR"/>
              </w:rPr>
            </w:pPr>
            <w:r>
              <w:rPr>
                <w:snapToGrid w:val="0"/>
                <w:sz w:val="18"/>
                <w:lang w:val="fr-FR"/>
              </w:rPr>
              <w:t>20</w:t>
            </w:r>
          </w:p>
        </w:tc>
        <w:tc>
          <w:tcPr>
            <w:tcW w:w="865" w:type="dxa"/>
            <w:tcBorders>
              <w:bottom w:val="nil"/>
            </w:tcBorders>
          </w:tcPr>
          <w:p w:rsidR="00000000" w:rsidRDefault="00000000">
            <w:pPr>
              <w:ind w:right="57"/>
              <w:jc w:val="right"/>
              <w:rPr>
                <w:snapToGrid w:val="0"/>
                <w:sz w:val="18"/>
                <w:lang w:val="fr-FR"/>
              </w:rPr>
            </w:pPr>
            <w:r>
              <w:rPr>
                <w:snapToGrid w:val="0"/>
                <w:sz w:val="18"/>
                <w:lang w:val="fr-FR"/>
              </w:rPr>
              <w:t>1 009</w:t>
            </w:r>
          </w:p>
        </w:tc>
        <w:tc>
          <w:tcPr>
            <w:tcW w:w="992" w:type="dxa"/>
            <w:tcBorders>
              <w:bottom w:val="nil"/>
            </w:tcBorders>
          </w:tcPr>
          <w:p w:rsidR="00000000" w:rsidRDefault="00000000">
            <w:pPr>
              <w:ind w:right="113"/>
              <w:jc w:val="right"/>
              <w:rPr>
                <w:snapToGrid w:val="0"/>
                <w:sz w:val="18"/>
                <w:lang w:val="fr-FR"/>
              </w:rPr>
            </w:pPr>
            <w:r>
              <w:rPr>
                <w:snapToGrid w:val="0"/>
                <w:sz w:val="18"/>
                <w:lang w:val="fr-FR"/>
              </w:rPr>
              <w:t>15</w:t>
            </w:r>
          </w:p>
        </w:tc>
        <w:tc>
          <w:tcPr>
            <w:tcW w:w="1134" w:type="dxa"/>
            <w:tcBorders>
              <w:bottom w:val="nil"/>
            </w:tcBorders>
          </w:tcPr>
          <w:p w:rsidR="00000000" w:rsidRDefault="00000000">
            <w:pPr>
              <w:ind w:right="113"/>
              <w:jc w:val="right"/>
              <w:rPr>
                <w:snapToGrid w:val="0"/>
                <w:sz w:val="18"/>
                <w:lang w:val="fr-FR"/>
              </w:rPr>
            </w:pPr>
            <w:r>
              <w:rPr>
                <w:snapToGrid w:val="0"/>
                <w:sz w:val="18"/>
                <w:lang w:val="fr-FR"/>
              </w:rPr>
              <w:t>994</w:t>
            </w:r>
          </w:p>
        </w:tc>
        <w:tc>
          <w:tcPr>
            <w:tcW w:w="992" w:type="dxa"/>
            <w:tcBorders>
              <w:bottom w:val="nil"/>
            </w:tcBorders>
          </w:tcPr>
          <w:p w:rsidR="00000000" w:rsidRDefault="00000000">
            <w:pPr>
              <w:ind w:right="113"/>
              <w:jc w:val="right"/>
              <w:rPr>
                <w:snapToGrid w:val="0"/>
                <w:sz w:val="18"/>
                <w:lang w:val="fr-FR"/>
              </w:rPr>
            </w:pPr>
            <w:r>
              <w:rPr>
                <w:snapToGrid w:val="0"/>
                <w:sz w:val="18"/>
                <w:lang w:val="fr-FR"/>
              </w:rPr>
              <w:t>46</w:t>
            </w:r>
          </w:p>
        </w:tc>
        <w:tc>
          <w:tcPr>
            <w:tcW w:w="710" w:type="dxa"/>
            <w:tcBorders>
              <w:bottom w:val="nil"/>
            </w:tcBorders>
          </w:tcPr>
          <w:p w:rsidR="00000000" w:rsidRDefault="00000000">
            <w:pPr>
              <w:ind w:right="57"/>
              <w:jc w:val="right"/>
              <w:rPr>
                <w:snapToGrid w:val="0"/>
                <w:sz w:val="18"/>
                <w:lang w:val="fr-FR"/>
              </w:rPr>
            </w:pPr>
            <w:r>
              <w:rPr>
                <w:snapToGrid w:val="0"/>
                <w:sz w:val="18"/>
                <w:lang w:val="fr-FR"/>
              </w:rPr>
              <w:t>27</w:t>
            </w:r>
          </w:p>
        </w:tc>
      </w:tr>
      <w:tr w:rsidR="00000000">
        <w:tblPrEx>
          <w:tblCellMar>
            <w:top w:w="0" w:type="dxa"/>
            <w:bottom w:w="0" w:type="dxa"/>
          </w:tblCellMar>
        </w:tblPrEx>
        <w:trPr>
          <w:trHeight w:val="187"/>
          <w:jc w:val="center"/>
        </w:trPr>
        <w:tc>
          <w:tcPr>
            <w:tcW w:w="1892" w:type="dxa"/>
            <w:tcBorders>
              <w:top w:val="nil"/>
              <w:bottom w:val="single" w:sz="4" w:space="0" w:color="auto"/>
            </w:tcBorders>
          </w:tcPr>
          <w:p w:rsidR="00000000" w:rsidRDefault="00000000">
            <w:pPr>
              <w:rPr>
                <w:snapToGrid w:val="0"/>
                <w:sz w:val="18"/>
                <w:lang w:val="fr-FR"/>
              </w:rPr>
            </w:pPr>
          </w:p>
        </w:tc>
        <w:tc>
          <w:tcPr>
            <w:tcW w:w="683" w:type="dxa"/>
            <w:tcBorders>
              <w:top w:val="nil"/>
              <w:bottom w:val="single" w:sz="4" w:space="0" w:color="auto"/>
            </w:tcBorders>
          </w:tcPr>
          <w:p w:rsidR="00000000" w:rsidRDefault="00000000">
            <w:pPr>
              <w:jc w:val="center"/>
              <w:rPr>
                <w:snapToGrid w:val="0"/>
                <w:sz w:val="18"/>
                <w:lang w:val="fr-FR"/>
              </w:rPr>
            </w:pPr>
            <w:r>
              <w:rPr>
                <w:snapToGrid w:val="0"/>
                <w:sz w:val="18"/>
                <w:lang w:val="fr-FR"/>
              </w:rPr>
              <w:t>1999</w:t>
            </w:r>
          </w:p>
        </w:tc>
        <w:tc>
          <w:tcPr>
            <w:tcW w:w="850" w:type="dxa"/>
            <w:tcBorders>
              <w:top w:val="nil"/>
              <w:bottom w:val="single" w:sz="4" w:space="0" w:color="auto"/>
            </w:tcBorders>
          </w:tcPr>
          <w:p w:rsidR="00000000" w:rsidRDefault="00000000">
            <w:pPr>
              <w:jc w:val="right"/>
              <w:rPr>
                <w:snapToGrid w:val="0"/>
                <w:sz w:val="18"/>
                <w:lang w:val="fr-FR"/>
              </w:rPr>
            </w:pPr>
            <w:r>
              <w:rPr>
                <w:snapToGrid w:val="0"/>
                <w:sz w:val="18"/>
                <w:lang w:val="fr-FR"/>
              </w:rPr>
              <w:t>1 420</w:t>
            </w:r>
          </w:p>
        </w:tc>
        <w:tc>
          <w:tcPr>
            <w:tcW w:w="999" w:type="dxa"/>
            <w:tcBorders>
              <w:top w:val="nil"/>
              <w:bottom w:val="single" w:sz="4" w:space="0" w:color="auto"/>
            </w:tcBorders>
          </w:tcPr>
          <w:p w:rsidR="00000000" w:rsidRDefault="00000000">
            <w:pPr>
              <w:ind w:right="113"/>
              <w:jc w:val="right"/>
              <w:rPr>
                <w:snapToGrid w:val="0"/>
                <w:sz w:val="18"/>
                <w:lang w:val="fr-FR"/>
              </w:rPr>
            </w:pPr>
            <w:r>
              <w:rPr>
                <w:snapToGrid w:val="0"/>
                <w:sz w:val="18"/>
                <w:lang w:val="fr-FR"/>
              </w:rPr>
              <w:t>201</w:t>
            </w:r>
          </w:p>
        </w:tc>
        <w:tc>
          <w:tcPr>
            <w:tcW w:w="865" w:type="dxa"/>
            <w:tcBorders>
              <w:top w:val="nil"/>
              <w:bottom w:val="single" w:sz="4" w:space="0" w:color="auto"/>
            </w:tcBorders>
          </w:tcPr>
          <w:p w:rsidR="00000000" w:rsidRDefault="00000000">
            <w:pPr>
              <w:ind w:right="57"/>
              <w:jc w:val="right"/>
              <w:rPr>
                <w:snapToGrid w:val="0"/>
                <w:sz w:val="18"/>
                <w:lang w:val="fr-FR"/>
              </w:rPr>
            </w:pPr>
            <w:r>
              <w:rPr>
                <w:snapToGrid w:val="0"/>
                <w:sz w:val="18"/>
                <w:lang w:val="fr-FR"/>
              </w:rPr>
              <w:t>1 143</w:t>
            </w:r>
          </w:p>
        </w:tc>
        <w:tc>
          <w:tcPr>
            <w:tcW w:w="992" w:type="dxa"/>
            <w:tcBorders>
              <w:top w:val="nil"/>
              <w:bottom w:val="single" w:sz="4" w:space="0" w:color="auto"/>
            </w:tcBorders>
          </w:tcPr>
          <w:p w:rsidR="00000000" w:rsidRDefault="00000000">
            <w:pPr>
              <w:ind w:right="113"/>
              <w:jc w:val="right"/>
              <w:rPr>
                <w:snapToGrid w:val="0"/>
                <w:sz w:val="18"/>
                <w:lang w:val="fr-FR"/>
              </w:rPr>
            </w:pPr>
            <w:r>
              <w:rPr>
                <w:snapToGrid w:val="0"/>
                <w:sz w:val="18"/>
                <w:lang w:val="fr-FR"/>
              </w:rPr>
              <w:t>337</w:t>
            </w:r>
          </w:p>
        </w:tc>
        <w:tc>
          <w:tcPr>
            <w:tcW w:w="1134" w:type="dxa"/>
            <w:tcBorders>
              <w:top w:val="nil"/>
              <w:bottom w:val="single" w:sz="4" w:space="0" w:color="auto"/>
            </w:tcBorders>
          </w:tcPr>
          <w:p w:rsidR="00000000" w:rsidRDefault="00000000">
            <w:pPr>
              <w:ind w:right="113"/>
              <w:jc w:val="right"/>
              <w:rPr>
                <w:snapToGrid w:val="0"/>
                <w:sz w:val="18"/>
                <w:lang w:val="fr-FR"/>
              </w:rPr>
            </w:pPr>
            <w:r>
              <w:rPr>
                <w:snapToGrid w:val="0"/>
                <w:sz w:val="18"/>
                <w:lang w:val="fr-FR"/>
              </w:rPr>
              <w:t>806</w:t>
            </w:r>
          </w:p>
        </w:tc>
        <w:tc>
          <w:tcPr>
            <w:tcW w:w="992" w:type="dxa"/>
            <w:tcBorders>
              <w:top w:val="nil"/>
              <w:bottom w:val="single" w:sz="4" w:space="0" w:color="auto"/>
            </w:tcBorders>
          </w:tcPr>
          <w:p w:rsidR="00000000" w:rsidRDefault="00000000">
            <w:pPr>
              <w:ind w:right="113"/>
              <w:jc w:val="right"/>
              <w:rPr>
                <w:snapToGrid w:val="0"/>
                <w:sz w:val="18"/>
                <w:lang w:val="fr-FR"/>
              </w:rPr>
            </w:pPr>
            <w:r>
              <w:rPr>
                <w:snapToGrid w:val="0"/>
                <w:sz w:val="18"/>
                <w:lang w:val="fr-FR"/>
              </w:rPr>
              <w:t>61</w:t>
            </w:r>
          </w:p>
        </w:tc>
        <w:tc>
          <w:tcPr>
            <w:tcW w:w="710" w:type="dxa"/>
            <w:tcBorders>
              <w:top w:val="nil"/>
              <w:bottom w:val="single" w:sz="4" w:space="0" w:color="auto"/>
            </w:tcBorders>
          </w:tcPr>
          <w:p w:rsidR="00000000" w:rsidRDefault="00000000">
            <w:pPr>
              <w:ind w:right="57"/>
              <w:jc w:val="right"/>
              <w:rPr>
                <w:snapToGrid w:val="0"/>
                <w:sz w:val="18"/>
                <w:lang w:val="fr-FR"/>
              </w:rPr>
            </w:pPr>
            <w:r>
              <w:rPr>
                <w:snapToGrid w:val="0"/>
                <w:sz w:val="18"/>
                <w:lang w:val="fr-FR"/>
              </w:rPr>
              <w:t>15</w:t>
            </w:r>
          </w:p>
        </w:tc>
      </w:tr>
      <w:tr w:rsidR="00000000">
        <w:tblPrEx>
          <w:tblCellMar>
            <w:top w:w="0" w:type="dxa"/>
            <w:bottom w:w="0" w:type="dxa"/>
          </w:tblCellMar>
        </w:tblPrEx>
        <w:trPr>
          <w:trHeight w:val="187"/>
          <w:jc w:val="center"/>
        </w:trPr>
        <w:tc>
          <w:tcPr>
            <w:tcW w:w="1892" w:type="dxa"/>
            <w:tcBorders>
              <w:top w:val="single" w:sz="4" w:space="0" w:color="auto"/>
            </w:tcBorders>
          </w:tcPr>
          <w:p w:rsidR="00000000" w:rsidRDefault="00000000">
            <w:pPr>
              <w:rPr>
                <w:snapToGrid w:val="0"/>
                <w:sz w:val="18"/>
                <w:lang w:val="fr-FR"/>
              </w:rPr>
            </w:pPr>
          </w:p>
        </w:tc>
        <w:tc>
          <w:tcPr>
            <w:tcW w:w="683" w:type="dxa"/>
            <w:tcBorders>
              <w:top w:val="single" w:sz="4" w:space="0" w:color="auto"/>
            </w:tcBorders>
          </w:tcPr>
          <w:p w:rsidR="00000000" w:rsidRDefault="00000000">
            <w:pPr>
              <w:jc w:val="center"/>
              <w:rPr>
                <w:snapToGrid w:val="0"/>
                <w:sz w:val="18"/>
                <w:lang w:val="fr-FR"/>
              </w:rPr>
            </w:pPr>
            <w:r>
              <w:rPr>
                <w:snapToGrid w:val="0"/>
                <w:sz w:val="18"/>
                <w:lang w:val="fr-FR"/>
              </w:rPr>
              <w:t>1997</w:t>
            </w:r>
          </w:p>
        </w:tc>
        <w:tc>
          <w:tcPr>
            <w:tcW w:w="850" w:type="dxa"/>
            <w:tcBorders>
              <w:top w:val="single" w:sz="4" w:space="0" w:color="auto"/>
            </w:tcBorders>
          </w:tcPr>
          <w:p w:rsidR="00000000" w:rsidRDefault="00000000">
            <w:pPr>
              <w:jc w:val="right"/>
              <w:rPr>
                <w:snapToGrid w:val="0"/>
                <w:sz w:val="18"/>
                <w:lang w:val="fr-FR"/>
              </w:rPr>
            </w:pPr>
            <w:r>
              <w:rPr>
                <w:snapToGrid w:val="0"/>
                <w:sz w:val="18"/>
                <w:lang w:val="fr-FR"/>
              </w:rPr>
              <w:t>55</w:t>
            </w:r>
          </w:p>
        </w:tc>
        <w:tc>
          <w:tcPr>
            <w:tcW w:w="999" w:type="dxa"/>
            <w:tcBorders>
              <w:top w:val="single" w:sz="4" w:space="0" w:color="auto"/>
            </w:tcBorders>
          </w:tcPr>
          <w:p w:rsidR="00000000" w:rsidRDefault="00000000">
            <w:pPr>
              <w:ind w:right="113"/>
              <w:jc w:val="right"/>
              <w:rPr>
                <w:snapToGrid w:val="0"/>
                <w:sz w:val="18"/>
                <w:lang w:val="fr-FR"/>
              </w:rPr>
            </w:pPr>
            <w:r>
              <w:rPr>
                <w:snapToGrid w:val="0"/>
                <w:sz w:val="18"/>
                <w:lang w:val="fr-FR"/>
              </w:rPr>
              <w:noBreakHyphen/>
            </w:r>
          </w:p>
        </w:tc>
        <w:tc>
          <w:tcPr>
            <w:tcW w:w="865" w:type="dxa"/>
            <w:tcBorders>
              <w:top w:val="single" w:sz="4" w:space="0" w:color="auto"/>
            </w:tcBorders>
          </w:tcPr>
          <w:p w:rsidR="00000000" w:rsidRDefault="00000000">
            <w:pPr>
              <w:ind w:right="57"/>
              <w:jc w:val="right"/>
              <w:rPr>
                <w:snapToGrid w:val="0"/>
                <w:sz w:val="18"/>
                <w:lang w:val="fr-FR"/>
              </w:rPr>
            </w:pPr>
            <w:r>
              <w:rPr>
                <w:snapToGrid w:val="0"/>
                <w:sz w:val="18"/>
                <w:lang w:val="fr-FR"/>
              </w:rPr>
              <w:t>35</w:t>
            </w:r>
          </w:p>
        </w:tc>
        <w:tc>
          <w:tcPr>
            <w:tcW w:w="992" w:type="dxa"/>
            <w:tcBorders>
              <w:top w:val="single" w:sz="4" w:space="0" w:color="auto"/>
            </w:tcBorders>
          </w:tcPr>
          <w:p w:rsidR="00000000" w:rsidRDefault="00000000">
            <w:pPr>
              <w:ind w:right="113"/>
              <w:jc w:val="right"/>
              <w:rPr>
                <w:snapToGrid w:val="0"/>
                <w:sz w:val="18"/>
                <w:lang w:val="fr-FR"/>
              </w:rPr>
            </w:pPr>
            <w:r>
              <w:rPr>
                <w:snapToGrid w:val="0"/>
                <w:sz w:val="18"/>
                <w:lang w:val="fr-FR"/>
              </w:rPr>
              <w:noBreakHyphen/>
            </w:r>
          </w:p>
        </w:tc>
        <w:tc>
          <w:tcPr>
            <w:tcW w:w="1134" w:type="dxa"/>
            <w:tcBorders>
              <w:top w:val="single" w:sz="4" w:space="0" w:color="auto"/>
            </w:tcBorders>
          </w:tcPr>
          <w:p w:rsidR="00000000" w:rsidRDefault="00000000">
            <w:pPr>
              <w:ind w:right="113"/>
              <w:jc w:val="right"/>
              <w:rPr>
                <w:snapToGrid w:val="0"/>
                <w:sz w:val="18"/>
                <w:lang w:val="fr-FR"/>
              </w:rPr>
            </w:pPr>
            <w:r>
              <w:rPr>
                <w:snapToGrid w:val="0"/>
                <w:sz w:val="18"/>
                <w:lang w:val="fr-FR"/>
              </w:rPr>
              <w:t>35</w:t>
            </w:r>
          </w:p>
        </w:tc>
        <w:tc>
          <w:tcPr>
            <w:tcW w:w="992" w:type="dxa"/>
            <w:tcBorders>
              <w:top w:val="single" w:sz="4" w:space="0" w:color="auto"/>
            </w:tcBorders>
          </w:tcPr>
          <w:p w:rsidR="00000000" w:rsidRDefault="00000000">
            <w:pPr>
              <w:ind w:right="113"/>
              <w:jc w:val="right"/>
              <w:rPr>
                <w:snapToGrid w:val="0"/>
                <w:sz w:val="18"/>
                <w:lang w:val="fr-FR"/>
              </w:rPr>
            </w:pPr>
            <w:r>
              <w:rPr>
                <w:snapToGrid w:val="0"/>
                <w:sz w:val="18"/>
                <w:lang w:val="fr-FR"/>
              </w:rPr>
              <w:t>15</w:t>
            </w:r>
          </w:p>
        </w:tc>
        <w:tc>
          <w:tcPr>
            <w:tcW w:w="710" w:type="dxa"/>
            <w:tcBorders>
              <w:top w:val="single" w:sz="4" w:space="0" w:color="auto"/>
            </w:tcBorders>
          </w:tcPr>
          <w:p w:rsidR="00000000" w:rsidRDefault="00000000">
            <w:pPr>
              <w:ind w:right="57"/>
              <w:jc w:val="right"/>
              <w:rPr>
                <w:snapToGrid w:val="0"/>
                <w:sz w:val="18"/>
                <w:lang w:val="fr-FR"/>
              </w:rPr>
            </w:pPr>
            <w:r>
              <w:rPr>
                <w:snapToGrid w:val="0"/>
                <w:sz w:val="18"/>
                <w:lang w:val="fr-FR"/>
              </w:rPr>
              <w:t>5</w:t>
            </w:r>
          </w:p>
        </w:tc>
      </w:tr>
      <w:tr w:rsidR="00000000">
        <w:tblPrEx>
          <w:tblCellMar>
            <w:top w:w="0" w:type="dxa"/>
            <w:bottom w:w="0" w:type="dxa"/>
          </w:tblCellMar>
        </w:tblPrEx>
        <w:trPr>
          <w:trHeight w:val="187"/>
          <w:jc w:val="center"/>
        </w:trPr>
        <w:tc>
          <w:tcPr>
            <w:tcW w:w="1892" w:type="dxa"/>
            <w:tcBorders>
              <w:bottom w:val="nil"/>
            </w:tcBorders>
          </w:tcPr>
          <w:p w:rsidR="00000000" w:rsidRDefault="00000000">
            <w:pPr>
              <w:rPr>
                <w:snapToGrid w:val="0"/>
                <w:sz w:val="18"/>
                <w:lang w:val="fr-FR"/>
              </w:rPr>
            </w:pPr>
            <w:r>
              <w:rPr>
                <w:snapToGrid w:val="0"/>
                <w:sz w:val="18"/>
                <w:lang w:val="fr-FR"/>
              </w:rPr>
              <w:t>Roraima</w:t>
            </w:r>
          </w:p>
        </w:tc>
        <w:tc>
          <w:tcPr>
            <w:tcW w:w="683" w:type="dxa"/>
            <w:tcBorders>
              <w:bottom w:val="nil"/>
            </w:tcBorders>
          </w:tcPr>
          <w:p w:rsidR="00000000" w:rsidRDefault="00000000">
            <w:pPr>
              <w:jc w:val="center"/>
              <w:rPr>
                <w:snapToGrid w:val="0"/>
                <w:sz w:val="18"/>
                <w:lang w:val="fr-FR"/>
              </w:rPr>
            </w:pPr>
            <w:r>
              <w:rPr>
                <w:snapToGrid w:val="0"/>
                <w:sz w:val="18"/>
                <w:lang w:val="fr-FR"/>
              </w:rPr>
              <w:t>1998</w:t>
            </w:r>
          </w:p>
        </w:tc>
        <w:tc>
          <w:tcPr>
            <w:tcW w:w="850" w:type="dxa"/>
            <w:tcBorders>
              <w:bottom w:val="nil"/>
            </w:tcBorders>
          </w:tcPr>
          <w:p w:rsidR="00000000" w:rsidRDefault="00000000">
            <w:pPr>
              <w:jc w:val="right"/>
              <w:rPr>
                <w:snapToGrid w:val="0"/>
                <w:sz w:val="18"/>
                <w:lang w:val="fr-FR"/>
              </w:rPr>
            </w:pPr>
            <w:r>
              <w:rPr>
                <w:snapToGrid w:val="0"/>
                <w:sz w:val="18"/>
                <w:lang w:val="fr-FR"/>
              </w:rPr>
              <w:t>62</w:t>
            </w:r>
          </w:p>
        </w:tc>
        <w:tc>
          <w:tcPr>
            <w:tcW w:w="999" w:type="dxa"/>
            <w:tcBorders>
              <w:bottom w:val="nil"/>
            </w:tcBorders>
          </w:tcPr>
          <w:p w:rsidR="00000000" w:rsidRDefault="00000000">
            <w:pPr>
              <w:ind w:right="113"/>
              <w:jc w:val="right"/>
              <w:rPr>
                <w:snapToGrid w:val="0"/>
                <w:sz w:val="18"/>
                <w:lang w:val="fr-FR"/>
              </w:rPr>
            </w:pPr>
            <w:r>
              <w:rPr>
                <w:snapToGrid w:val="0"/>
                <w:sz w:val="18"/>
                <w:lang w:val="fr-FR"/>
              </w:rPr>
              <w:t>1</w:t>
            </w:r>
          </w:p>
        </w:tc>
        <w:tc>
          <w:tcPr>
            <w:tcW w:w="865" w:type="dxa"/>
            <w:tcBorders>
              <w:bottom w:val="nil"/>
            </w:tcBorders>
          </w:tcPr>
          <w:p w:rsidR="00000000" w:rsidRDefault="00000000">
            <w:pPr>
              <w:ind w:right="57"/>
              <w:jc w:val="right"/>
              <w:rPr>
                <w:snapToGrid w:val="0"/>
                <w:sz w:val="18"/>
                <w:lang w:val="fr-FR"/>
              </w:rPr>
            </w:pPr>
            <w:r>
              <w:rPr>
                <w:snapToGrid w:val="0"/>
                <w:sz w:val="18"/>
                <w:lang w:val="fr-FR"/>
              </w:rPr>
              <w:t>45</w:t>
            </w:r>
          </w:p>
        </w:tc>
        <w:tc>
          <w:tcPr>
            <w:tcW w:w="992" w:type="dxa"/>
            <w:tcBorders>
              <w:bottom w:val="nil"/>
            </w:tcBorders>
          </w:tcPr>
          <w:p w:rsidR="00000000" w:rsidRDefault="00000000">
            <w:pPr>
              <w:ind w:right="113"/>
              <w:jc w:val="right"/>
              <w:rPr>
                <w:snapToGrid w:val="0"/>
                <w:sz w:val="18"/>
                <w:lang w:val="fr-FR"/>
              </w:rPr>
            </w:pPr>
            <w:r>
              <w:rPr>
                <w:snapToGrid w:val="0"/>
                <w:sz w:val="18"/>
                <w:lang w:val="fr-FR"/>
              </w:rPr>
              <w:noBreakHyphen/>
            </w:r>
          </w:p>
        </w:tc>
        <w:tc>
          <w:tcPr>
            <w:tcW w:w="1134" w:type="dxa"/>
            <w:tcBorders>
              <w:bottom w:val="nil"/>
            </w:tcBorders>
          </w:tcPr>
          <w:p w:rsidR="00000000" w:rsidRDefault="00000000">
            <w:pPr>
              <w:ind w:right="113"/>
              <w:jc w:val="right"/>
              <w:rPr>
                <w:snapToGrid w:val="0"/>
                <w:sz w:val="18"/>
                <w:lang w:val="fr-FR"/>
              </w:rPr>
            </w:pPr>
            <w:r>
              <w:rPr>
                <w:snapToGrid w:val="0"/>
                <w:sz w:val="18"/>
                <w:lang w:val="fr-FR"/>
              </w:rPr>
              <w:t>45</w:t>
            </w:r>
          </w:p>
        </w:tc>
        <w:tc>
          <w:tcPr>
            <w:tcW w:w="992" w:type="dxa"/>
            <w:tcBorders>
              <w:bottom w:val="nil"/>
            </w:tcBorders>
          </w:tcPr>
          <w:p w:rsidR="00000000" w:rsidRDefault="00000000">
            <w:pPr>
              <w:ind w:right="113"/>
              <w:jc w:val="right"/>
              <w:rPr>
                <w:snapToGrid w:val="0"/>
                <w:sz w:val="18"/>
                <w:lang w:val="fr-FR"/>
              </w:rPr>
            </w:pPr>
            <w:r>
              <w:rPr>
                <w:snapToGrid w:val="0"/>
                <w:sz w:val="18"/>
                <w:lang w:val="fr-FR"/>
              </w:rPr>
              <w:t>9</w:t>
            </w:r>
          </w:p>
        </w:tc>
        <w:tc>
          <w:tcPr>
            <w:tcW w:w="710" w:type="dxa"/>
            <w:tcBorders>
              <w:bottom w:val="nil"/>
            </w:tcBorders>
          </w:tcPr>
          <w:p w:rsidR="00000000" w:rsidRDefault="00000000">
            <w:pPr>
              <w:ind w:right="57"/>
              <w:jc w:val="right"/>
              <w:rPr>
                <w:snapToGrid w:val="0"/>
                <w:sz w:val="18"/>
                <w:lang w:val="fr-FR"/>
              </w:rPr>
            </w:pPr>
            <w:r>
              <w:rPr>
                <w:snapToGrid w:val="0"/>
                <w:sz w:val="18"/>
                <w:lang w:val="fr-FR"/>
              </w:rPr>
              <w:t>7</w:t>
            </w:r>
          </w:p>
        </w:tc>
      </w:tr>
      <w:tr w:rsidR="00000000">
        <w:tblPrEx>
          <w:tblCellMar>
            <w:top w:w="0" w:type="dxa"/>
            <w:bottom w:w="0" w:type="dxa"/>
          </w:tblCellMar>
        </w:tblPrEx>
        <w:trPr>
          <w:trHeight w:val="187"/>
          <w:jc w:val="center"/>
        </w:trPr>
        <w:tc>
          <w:tcPr>
            <w:tcW w:w="1892" w:type="dxa"/>
            <w:tcBorders>
              <w:top w:val="nil"/>
              <w:bottom w:val="single" w:sz="4" w:space="0" w:color="auto"/>
            </w:tcBorders>
          </w:tcPr>
          <w:p w:rsidR="00000000" w:rsidRDefault="00000000">
            <w:pPr>
              <w:rPr>
                <w:snapToGrid w:val="0"/>
                <w:sz w:val="18"/>
                <w:lang w:val="fr-FR"/>
              </w:rPr>
            </w:pPr>
          </w:p>
        </w:tc>
        <w:tc>
          <w:tcPr>
            <w:tcW w:w="683" w:type="dxa"/>
            <w:tcBorders>
              <w:top w:val="nil"/>
              <w:bottom w:val="single" w:sz="4" w:space="0" w:color="auto"/>
            </w:tcBorders>
          </w:tcPr>
          <w:p w:rsidR="00000000" w:rsidRDefault="00000000">
            <w:pPr>
              <w:jc w:val="center"/>
              <w:rPr>
                <w:snapToGrid w:val="0"/>
                <w:sz w:val="18"/>
                <w:lang w:val="fr-FR"/>
              </w:rPr>
            </w:pPr>
            <w:r>
              <w:rPr>
                <w:snapToGrid w:val="0"/>
                <w:sz w:val="18"/>
                <w:lang w:val="fr-FR"/>
              </w:rPr>
              <w:t>1999</w:t>
            </w:r>
          </w:p>
        </w:tc>
        <w:tc>
          <w:tcPr>
            <w:tcW w:w="850" w:type="dxa"/>
            <w:tcBorders>
              <w:top w:val="nil"/>
              <w:bottom w:val="single" w:sz="4" w:space="0" w:color="auto"/>
            </w:tcBorders>
          </w:tcPr>
          <w:p w:rsidR="00000000" w:rsidRDefault="00000000">
            <w:pPr>
              <w:jc w:val="right"/>
              <w:rPr>
                <w:snapToGrid w:val="0"/>
                <w:sz w:val="18"/>
                <w:lang w:val="fr-FR"/>
              </w:rPr>
            </w:pPr>
            <w:r>
              <w:rPr>
                <w:snapToGrid w:val="0"/>
                <w:sz w:val="18"/>
                <w:lang w:val="fr-FR"/>
              </w:rPr>
              <w:t>71</w:t>
            </w:r>
          </w:p>
        </w:tc>
        <w:tc>
          <w:tcPr>
            <w:tcW w:w="999" w:type="dxa"/>
            <w:tcBorders>
              <w:top w:val="nil"/>
              <w:bottom w:val="single" w:sz="4" w:space="0" w:color="auto"/>
            </w:tcBorders>
          </w:tcPr>
          <w:p w:rsidR="00000000" w:rsidRDefault="00000000">
            <w:pPr>
              <w:ind w:right="113"/>
              <w:jc w:val="right"/>
              <w:rPr>
                <w:snapToGrid w:val="0"/>
                <w:sz w:val="18"/>
                <w:lang w:val="fr-FR"/>
              </w:rPr>
            </w:pPr>
            <w:r>
              <w:rPr>
                <w:snapToGrid w:val="0"/>
                <w:sz w:val="18"/>
                <w:lang w:val="fr-FR"/>
              </w:rPr>
              <w:t>2</w:t>
            </w:r>
          </w:p>
        </w:tc>
        <w:tc>
          <w:tcPr>
            <w:tcW w:w="865" w:type="dxa"/>
            <w:tcBorders>
              <w:top w:val="nil"/>
              <w:bottom w:val="single" w:sz="4" w:space="0" w:color="auto"/>
            </w:tcBorders>
          </w:tcPr>
          <w:p w:rsidR="00000000" w:rsidRDefault="00000000">
            <w:pPr>
              <w:ind w:right="57"/>
              <w:jc w:val="right"/>
              <w:rPr>
                <w:snapToGrid w:val="0"/>
                <w:sz w:val="18"/>
                <w:lang w:val="fr-FR"/>
              </w:rPr>
            </w:pPr>
            <w:r>
              <w:rPr>
                <w:snapToGrid w:val="0"/>
                <w:sz w:val="18"/>
                <w:lang w:val="fr-FR"/>
              </w:rPr>
              <w:t>45</w:t>
            </w:r>
          </w:p>
        </w:tc>
        <w:tc>
          <w:tcPr>
            <w:tcW w:w="992" w:type="dxa"/>
            <w:tcBorders>
              <w:top w:val="nil"/>
              <w:bottom w:val="single" w:sz="4" w:space="0" w:color="auto"/>
            </w:tcBorders>
          </w:tcPr>
          <w:p w:rsidR="00000000" w:rsidRDefault="00000000">
            <w:pPr>
              <w:ind w:right="113"/>
              <w:jc w:val="right"/>
              <w:rPr>
                <w:snapToGrid w:val="0"/>
                <w:sz w:val="18"/>
                <w:lang w:val="fr-FR"/>
              </w:rPr>
            </w:pPr>
            <w:r>
              <w:rPr>
                <w:snapToGrid w:val="0"/>
                <w:sz w:val="18"/>
                <w:lang w:val="fr-FR"/>
              </w:rPr>
              <w:noBreakHyphen/>
            </w:r>
          </w:p>
        </w:tc>
        <w:tc>
          <w:tcPr>
            <w:tcW w:w="1134" w:type="dxa"/>
            <w:tcBorders>
              <w:top w:val="nil"/>
              <w:bottom w:val="single" w:sz="4" w:space="0" w:color="auto"/>
            </w:tcBorders>
          </w:tcPr>
          <w:p w:rsidR="00000000" w:rsidRDefault="00000000">
            <w:pPr>
              <w:ind w:right="113"/>
              <w:jc w:val="right"/>
              <w:rPr>
                <w:snapToGrid w:val="0"/>
                <w:sz w:val="18"/>
                <w:lang w:val="fr-FR"/>
              </w:rPr>
            </w:pPr>
            <w:r>
              <w:rPr>
                <w:snapToGrid w:val="0"/>
                <w:sz w:val="18"/>
                <w:lang w:val="fr-FR"/>
              </w:rPr>
              <w:t>45</w:t>
            </w:r>
          </w:p>
        </w:tc>
        <w:tc>
          <w:tcPr>
            <w:tcW w:w="992" w:type="dxa"/>
            <w:tcBorders>
              <w:top w:val="nil"/>
              <w:bottom w:val="single" w:sz="4" w:space="0" w:color="auto"/>
            </w:tcBorders>
          </w:tcPr>
          <w:p w:rsidR="00000000" w:rsidRDefault="00000000">
            <w:pPr>
              <w:ind w:right="113"/>
              <w:jc w:val="right"/>
              <w:rPr>
                <w:snapToGrid w:val="0"/>
                <w:sz w:val="18"/>
                <w:lang w:val="fr-FR"/>
              </w:rPr>
            </w:pPr>
            <w:r>
              <w:rPr>
                <w:snapToGrid w:val="0"/>
                <w:sz w:val="18"/>
                <w:lang w:val="fr-FR"/>
              </w:rPr>
              <w:t>14</w:t>
            </w:r>
          </w:p>
        </w:tc>
        <w:tc>
          <w:tcPr>
            <w:tcW w:w="710" w:type="dxa"/>
            <w:tcBorders>
              <w:top w:val="nil"/>
              <w:bottom w:val="single" w:sz="4" w:space="0" w:color="auto"/>
            </w:tcBorders>
          </w:tcPr>
          <w:p w:rsidR="00000000" w:rsidRDefault="00000000">
            <w:pPr>
              <w:ind w:right="57"/>
              <w:jc w:val="right"/>
              <w:rPr>
                <w:snapToGrid w:val="0"/>
                <w:sz w:val="18"/>
                <w:lang w:val="fr-FR"/>
              </w:rPr>
            </w:pPr>
            <w:r>
              <w:rPr>
                <w:snapToGrid w:val="0"/>
                <w:sz w:val="18"/>
                <w:lang w:val="fr-FR"/>
              </w:rPr>
              <w:t>10</w:t>
            </w:r>
          </w:p>
        </w:tc>
      </w:tr>
      <w:tr w:rsidR="00000000">
        <w:tblPrEx>
          <w:tblCellMar>
            <w:top w:w="0" w:type="dxa"/>
            <w:bottom w:w="0" w:type="dxa"/>
          </w:tblCellMar>
        </w:tblPrEx>
        <w:trPr>
          <w:trHeight w:val="187"/>
          <w:jc w:val="center"/>
        </w:trPr>
        <w:tc>
          <w:tcPr>
            <w:tcW w:w="1892" w:type="dxa"/>
            <w:tcBorders>
              <w:top w:val="single" w:sz="4" w:space="0" w:color="auto"/>
            </w:tcBorders>
          </w:tcPr>
          <w:p w:rsidR="00000000" w:rsidRDefault="00000000">
            <w:pPr>
              <w:rPr>
                <w:snapToGrid w:val="0"/>
                <w:sz w:val="18"/>
                <w:lang w:val="fr-FR"/>
              </w:rPr>
            </w:pPr>
          </w:p>
        </w:tc>
        <w:tc>
          <w:tcPr>
            <w:tcW w:w="683" w:type="dxa"/>
            <w:tcBorders>
              <w:top w:val="single" w:sz="4" w:space="0" w:color="auto"/>
            </w:tcBorders>
          </w:tcPr>
          <w:p w:rsidR="00000000" w:rsidRDefault="00000000">
            <w:pPr>
              <w:jc w:val="center"/>
              <w:rPr>
                <w:snapToGrid w:val="0"/>
                <w:sz w:val="18"/>
                <w:lang w:val="fr-FR"/>
              </w:rPr>
            </w:pPr>
            <w:r>
              <w:rPr>
                <w:snapToGrid w:val="0"/>
                <w:sz w:val="18"/>
                <w:lang w:val="fr-FR"/>
              </w:rPr>
              <w:t>1997</w:t>
            </w:r>
          </w:p>
        </w:tc>
        <w:tc>
          <w:tcPr>
            <w:tcW w:w="850" w:type="dxa"/>
            <w:tcBorders>
              <w:top w:val="single" w:sz="4" w:space="0" w:color="auto"/>
            </w:tcBorders>
          </w:tcPr>
          <w:p w:rsidR="00000000" w:rsidRDefault="00000000">
            <w:pPr>
              <w:jc w:val="right"/>
              <w:rPr>
                <w:snapToGrid w:val="0"/>
                <w:sz w:val="18"/>
                <w:lang w:val="fr-FR"/>
              </w:rPr>
            </w:pPr>
            <w:r>
              <w:rPr>
                <w:snapToGrid w:val="0"/>
                <w:sz w:val="18"/>
                <w:lang w:val="fr-FR"/>
              </w:rPr>
              <w:t>3 127</w:t>
            </w:r>
          </w:p>
        </w:tc>
        <w:tc>
          <w:tcPr>
            <w:tcW w:w="999" w:type="dxa"/>
            <w:tcBorders>
              <w:top w:val="single" w:sz="4" w:space="0" w:color="auto"/>
            </w:tcBorders>
          </w:tcPr>
          <w:p w:rsidR="00000000" w:rsidRDefault="00000000">
            <w:pPr>
              <w:ind w:right="113"/>
              <w:jc w:val="right"/>
              <w:rPr>
                <w:snapToGrid w:val="0"/>
                <w:sz w:val="18"/>
                <w:lang w:val="fr-FR"/>
              </w:rPr>
            </w:pPr>
            <w:r>
              <w:rPr>
                <w:snapToGrid w:val="0"/>
                <w:sz w:val="18"/>
                <w:lang w:val="fr-FR"/>
              </w:rPr>
              <w:t>583</w:t>
            </w:r>
          </w:p>
        </w:tc>
        <w:tc>
          <w:tcPr>
            <w:tcW w:w="865" w:type="dxa"/>
            <w:tcBorders>
              <w:top w:val="single" w:sz="4" w:space="0" w:color="auto"/>
            </w:tcBorders>
          </w:tcPr>
          <w:p w:rsidR="00000000" w:rsidRDefault="00000000">
            <w:pPr>
              <w:ind w:right="57"/>
              <w:jc w:val="right"/>
              <w:rPr>
                <w:snapToGrid w:val="0"/>
                <w:sz w:val="18"/>
                <w:lang w:val="fr-FR"/>
              </w:rPr>
            </w:pPr>
            <w:r>
              <w:rPr>
                <w:snapToGrid w:val="0"/>
                <w:sz w:val="18"/>
                <w:lang w:val="fr-FR"/>
              </w:rPr>
              <w:t>2 229</w:t>
            </w:r>
          </w:p>
        </w:tc>
        <w:tc>
          <w:tcPr>
            <w:tcW w:w="992" w:type="dxa"/>
            <w:tcBorders>
              <w:top w:val="single" w:sz="4" w:space="0" w:color="auto"/>
            </w:tcBorders>
          </w:tcPr>
          <w:p w:rsidR="00000000" w:rsidRDefault="00000000">
            <w:pPr>
              <w:ind w:right="113"/>
              <w:jc w:val="right"/>
              <w:rPr>
                <w:snapToGrid w:val="0"/>
                <w:sz w:val="18"/>
                <w:lang w:val="fr-FR"/>
              </w:rPr>
            </w:pPr>
            <w:r>
              <w:rPr>
                <w:snapToGrid w:val="0"/>
                <w:sz w:val="18"/>
                <w:lang w:val="fr-FR"/>
              </w:rPr>
              <w:t>698</w:t>
            </w:r>
          </w:p>
        </w:tc>
        <w:tc>
          <w:tcPr>
            <w:tcW w:w="1134" w:type="dxa"/>
            <w:tcBorders>
              <w:top w:val="single" w:sz="4" w:space="0" w:color="auto"/>
            </w:tcBorders>
          </w:tcPr>
          <w:p w:rsidR="00000000" w:rsidRDefault="00000000">
            <w:pPr>
              <w:ind w:right="113"/>
              <w:jc w:val="right"/>
              <w:rPr>
                <w:snapToGrid w:val="0"/>
                <w:sz w:val="18"/>
                <w:lang w:val="fr-FR"/>
              </w:rPr>
            </w:pPr>
            <w:r>
              <w:rPr>
                <w:snapToGrid w:val="0"/>
                <w:sz w:val="18"/>
                <w:lang w:val="fr-FR"/>
              </w:rPr>
              <w:t>1 531</w:t>
            </w:r>
          </w:p>
        </w:tc>
        <w:tc>
          <w:tcPr>
            <w:tcW w:w="992" w:type="dxa"/>
            <w:tcBorders>
              <w:top w:val="single" w:sz="4" w:space="0" w:color="auto"/>
            </w:tcBorders>
          </w:tcPr>
          <w:p w:rsidR="00000000" w:rsidRDefault="00000000">
            <w:pPr>
              <w:ind w:right="113"/>
              <w:jc w:val="right"/>
              <w:rPr>
                <w:snapToGrid w:val="0"/>
                <w:sz w:val="18"/>
                <w:lang w:val="fr-FR"/>
              </w:rPr>
            </w:pPr>
            <w:r>
              <w:rPr>
                <w:snapToGrid w:val="0"/>
                <w:sz w:val="18"/>
                <w:lang w:val="fr-FR"/>
              </w:rPr>
              <w:t>258</w:t>
            </w:r>
          </w:p>
        </w:tc>
        <w:tc>
          <w:tcPr>
            <w:tcW w:w="710" w:type="dxa"/>
            <w:tcBorders>
              <w:top w:val="single" w:sz="4" w:space="0" w:color="auto"/>
            </w:tcBorders>
          </w:tcPr>
          <w:p w:rsidR="00000000" w:rsidRDefault="00000000">
            <w:pPr>
              <w:ind w:right="57"/>
              <w:jc w:val="right"/>
              <w:rPr>
                <w:snapToGrid w:val="0"/>
                <w:sz w:val="18"/>
                <w:lang w:val="fr-FR"/>
              </w:rPr>
            </w:pPr>
            <w:r>
              <w:rPr>
                <w:snapToGrid w:val="0"/>
                <w:sz w:val="18"/>
                <w:lang w:val="fr-FR"/>
              </w:rPr>
              <w:t>57</w:t>
            </w:r>
          </w:p>
        </w:tc>
      </w:tr>
      <w:tr w:rsidR="00000000">
        <w:tblPrEx>
          <w:tblCellMar>
            <w:top w:w="0" w:type="dxa"/>
            <w:bottom w:w="0" w:type="dxa"/>
          </w:tblCellMar>
        </w:tblPrEx>
        <w:trPr>
          <w:trHeight w:val="187"/>
          <w:jc w:val="center"/>
        </w:trPr>
        <w:tc>
          <w:tcPr>
            <w:tcW w:w="1892" w:type="dxa"/>
            <w:tcBorders>
              <w:bottom w:val="nil"/>
            </w:tcBorders>
          </w:tcPr>
          <w:p w:rsidR="00000000" w:rsidRDefault="00000000">
            <w:pPr>
              <w:rPr>
                <w:snapToGrid w:val="0"/>
                <w:sz w:val="18"/>
                <w:lang w:val="fr-FR"/>
              </w:rPr>
            </w:pPr>
            <w:r>
              <w:rPr>
                <w:snapToGrid w:val="0"/>
                <w:sz w:val="18"/>
                <w:lang w:val="fr-FR"/>
              </w:rPr>
              <w:t>Pará</w:t>
            </w:r>
          </w:p>
        </w:tc>
        <w:tc>
          <w:tcPr>
            <w:tcW w:w="683" w:type="dxa"/>
            <w:tcBorders>
              <w:bottom w:val="nil"/>
            </w:tcBorders>
          </w:tcPr>
          <w:p w:rsidR="00000000" w:rsidRDefault="00000000">
            <w:pPr>
              <w:jc w:val="center"/>
              <w:rPr>
                <w:snapToGrid w:val="0"/>
                <w:sz w:val="18"/>
                <w:lang w:val="fr-FR"/>
              </w:rPr>
            </w:pPr>
            <w:r>
              <w:rPr>
                <w:snapToGrid w:val="0"/>
                <w:sz w:val="18"/>
                <w:lang w:val="fr-FR"/>
              </w:rPr>
              <w:t>1998</w:t>
            </w:r>
          </w:p>
        </w:tc>
        <w:tc>
          <w:tcPr>
            <w:tcW w:w="850" w:type="dxa"/>
            <w:tcBorders>
              <w:bottom w:val="nil"/>
            </w:tcBorders>
          </w:tcPr>
          <w:p w:rsidR="00000000" w:rsidRDefault="00000000">
            <w:pPr>
              <w:jc w:val="right"/>
              <w:rPr>
                <w:snapToGrid w:val="0"/>
                <w:sz w:val="18"/>
                <w:lang w:val="fr-FR"/>
              </w:rPr>
            </w:pPr>
            <w:r>
              <w:rPr>
                <w:snapToGrid w:val="0"/>
                <w:sz w:val="18"/>
                <w:lang w:val="fr-FR"/>
              </w:rPr>
              <w:t>3 282</w:t>
            </w:r>
          </w:p>
        </w:tc>
        <w:tc>
          <w:tcPr>
            <w:tcW w:w="999" w:type="dxa"/>
            <w:tcBorders>
              <w:bottom w:val="nil"/>
            </w:tcBorders>
          </w:tcPr>
          <w:p w:rsidR="00000000" w:rsidRDefault="00000000">
            <w:pPr>
              <w:ind w:right="113"/>
              <w:jc w:val="right"/>
              <w:rPr>
                <w:snapToGrid w:val="0"/>
                <w:sz w:val="18"/>
                <w:lang w:val="fr-FR"/>
              </w:rPr>
            </w:pPr>
            <w:r>
              <w:rPr>
                <w:snapToGrid w:val="0"/>
                <w:sz w:val="18"/>
                <w:lang w:val="fr-FR"/>
              </w:rPr>
              <w:t>712</w:t>
            </w:r>
          </w:p>
        </w:tc>
        <w:tc>
          <w:tcPr>
            <w:tcW w:w="865" w:type="dxa"/>
            <w:tcBorders>
              <w:bottom w:val="nil"/>
            </w:tcBorders>
          </w:tcPr>
          <w:p w:rsidR="00000000" w:rsidRDefault="00000000">
            <w:pPr>
              <w:ind w:right="57"/>
              <w:jc w:val="right"/>
              <w:rPr>
                <w:snapToGrid w:val="0"/>
                <w:sz w:val="18"/>
                <w:lang w:val="fr-FR"/>
              </w:rPr>
            </w:pPr>
            <w:r>
              <w:rPr>
                <w:snapToGrid w:val="0"/>
                <w:sz w:val="18"/>
                <w:lang w:val="fr-FR"/>
              </w:rPr>
              <w:t>2 232</w:t>
            </w:r>
          </w:p>
        </w:tc>
        <w:tc>
          <w:tcPr>
            <w:tcW w:w="992" w:type="dxa"/>
            <w:tcBorders>
              <w:bottom w:val="nil"/>
            </w:tcBorders>
          </w:tcPr>
          <w:p w:rsidR="00000000" w:rsidRDefault="00000000">
            <w:pPr>
              <w:ind w:right="113"/>
              <w:jc w:val="right"/>
              <w:rPr>
                <w:snapToGrid w:val="0"/>
                <w:sz w:val="18"/>
                <w:lang w:val="fr-FR"/>
              </w:rPr>
            </w:pPr>
            <w:r>
              <w:rPr>
                <w:snapToGrid w:val="0"/>
                <w:sz w:val="18"/>
                <w:lang w:val="fr-FR"/>
              </w:rPr>
              <w:t>646</w:t>
            </w:r>
          </w:p>
        </w:tc>
        <w:tc>
          <w:tcPr>
            <w:tcW w:w="1134" w:type="dxa"/>
            <w:tcBorders>
              <w:bottom w:val="nil"/>
            </w:tcBorders>
          </w:tcPr>
          <w:p w:rsidR="00000000" w:rsidRDefault="00000000">
            <w:pPr>
              <w:ind w:right="113"/>
              <w:jc w:val="right"/>
              <w:rPr>
                <w:snapToGrid w:val="0"/>
                <w:sz w:val="18"/>
                <w:lang w:val="fr-FR"/>
              </w:rPr>
            </w:pPr>
            <w:r>
              <w:rPr>
                <w:snapToGrid w:val="0"/>
                <w:sz w:val="18"/>
                <w:lang w:val="fr-FR"/>
              </w:rPr>
              <w:t>1 586</w:t>
            </w:r>
          </w:p>
        </w:tc>
        <w:tc>
          <w:tcPr>
            <w:tcW w:w="992" w:type="dxa"/>
            <w:tcBorders>
              <w:bottom w:val="nil"/>
            </w:tcBorders>
          </w:tcPr>
          <w:p w:rsidR="00000000" w:rsidRDefault="00000000">
            <w:pPr>
              <w:ind w:right="113"/>
              <w:jc w:val="right"/>
              <w:rPr>
                <w:snapToGrid w:val="0"/>
                <w:sz w:val="18"/>
                <w:lang w:val="fr-FR"/>
              </w:rPr>
            </w:pPr>
            <w:r>
              <w:rPr>
                <w:snapToGrid w:val="0"/>
                <w:sz w:val="18"/>
                <w:lang w:val="fr-FR"/>
              </w:rPr>
              <w:t>263</w:t>
            </w:r>
          </w:p>
        </w:tc>
        <w:tc>
          <w:tcPr>
            <w:tcW w:w="710" w:type="dxa"/>
            <w:tcBorders>
              <w:bottom w:val="nil"/>
            </w:tcBorders>
          </w:tcPr>
          <w:p w:rsidR="00000000" w:rsidRDefault="00000000">
            <w:pPr>
              <w:ind w:right="57"/>
              <w:jc w:val="right"/>
              <w:rPr>
                <w:snapToGrid w:val="0"/>
                <w:sz w:val="18"/>
                <w:lang w:val="fr-FR"/>
              </w:rPr>
            </w:pPr>
            <w:r>
              <w:rPr>
                <w:snapToGrid w:val="0"/>
                <w:sz w:val="18"/>
                <w:lang w:val="fr-FR"/>
              </w:rPr>
              <w:t>75</w:t>
            </w:r>
          </w:p>
        </w:tc>
      </w:tr>
      <w:tr w:rsidR="00000000">
        <w:tblPrEx>
          <w:tblCellMar>
            <w:top w:w="0" w:type="dxa"/>
            <w:bottom w:w="0" w:type="dxa"/>
          </w:tblCellMar>
        </w:tblPrEx>
        <w:trPr>
          <w:trHeight w:val="187"/>
          <w:jc w:val="center"/>
        </w:trPr>
        <w:tc>
          <w:tcPr>
            <w:tcW w:w="1892" w:type="dxa"/>
            <w:tcBorders>
              <w:top w:val="nil"/>
              <w:bottom w:val="single" w:sz="4" w:space="0" w:color="auto"/>
            </w:tcBorders>
          </w:tcPr>
          <w:p w:rsidR="00000000" w:rsidRDefault="00000000">
            <w:pPr>
              <w:rPr>
                <w:snapToGrid w:val="0"/>
                <w:sz w:val="18"/>
                <w:lang w:val="fr-FR"/>
              </w:rPr>
            </w:pPr>
          </w:p>
        </w:tc>
        <w:tc>
          <w:tcPr>
            <w:tcW w:w="683" w:type="dxa"/>
            <w:tcBorders>
              <w:top w:val="nil"/>
              <w:bottom w:val="single" w:sz="4" w:space="0" w:color="auto"/>
            </w:tcBorders>
          </w:tcPr>
          <w:p w:rsidR="00000000" w:rsidRDefault="00000000">
            <w:pPr>
              <w:jc w:val="center"/>
              <w:rPr>
                <w:snapToGrid w:val="0"/>
                <w:sz w:val="18"/>
                <w:lang w:val="fr-FR"/>
              </w:rPr>
            </w:pPr>
            <w:r>
              <w:rPr>
                <w:snapToGrid w:val="0"/>
                <w:sz w:val="18"/>
                <w:lang w:val="fr-FR"/>
              </w:rPr>
              <w:t>1999</w:t>
            </w:r>
          </w:p>
        </w:tc>
        <w:tc>
          <w:tcPr>
            <w:tcW w:w="850" w:type="dxa"/>
            <w:tcBorders>
              <w:top w:val="nil"/>
              <w:bottom w:val="single" w:sz="4" w:space="0" w:color="auto"/>
            </w:tcBorders>
          </w:tcPr>
          <w:p w:rsidR="00000000" w:rsidRDefault="00000000">
            <w:pPr>
              <w:jc w:val="right"/>
              <w:rPr>
                <w:snapToGrid w:val="0"/>
                <w:sz w:val="18"/>
                <w:lang w:val="fr-FR"/>
              </w:rPr>
            </w:pPr>
            <w:r>
              <w:rPr>
                <w:snapToGrid w:val="0"/>
                <w:sz w:val="18"/>
                <w:lang w:val="fr-FR"/>
              </w:rPr>
              <w:t>3 383</w:t>
            </w:r>
          </w:p>
        </w:tc>
        <w:tc>
          <w:tcPr>
            <w:tcW w:w="999" w:type="dxa"/>
            <w:tcBorders>
              <w:top w:val="nil"/>
              <w:bottom w:val="single" w:sz="4" w:space="0" w:color="auto"/>
            </w:tcBorders>
          </w:tcPr>
          <w:p w:rsidR="00000000" w:rsidRDefault="00000000">
            <w:pPr>
              <w:ind w:right="113"/>
              <w:jc w:val="right"/>
              <w:rPr>
                <w:snapToGrid w:val="0"/>
                <w:sz w:val="18"/>
                <w:lang w:val="fr-FR"/>
              </w:rPr>
            </w:pPr>
            <w:r>
              <w:rPr>
                <w:snapToGrid w:val="0"/>
                <w:sz w:val="18"/>
                <w:lang w:val="fr-FR"/>
              </w:rPr>
              <w:t>780</w:t>
            </w:r>
          </w:p>
        </w:tc>
        <w:tc>
          <w:tcPr>
            <w:tcW w:w="865" w:type="dxa"/>
            <w:tcBorders>
              <w:top w:val="nil"/>
              <w:bottom w:val="single" w:sz="4" w:space="0" w:color="auto"/>
            </w:tcBorders>
          </w:tcPr>
          <w:p w:rsidR="00000000" w:rsidRDefault="00000000">
            <w:pPr>
              <w:ind w:right="57"/>
              <w:jc w:val="right"/>
              <w:rPr>
                <w:snapToGrid w:val="0"/>
                <w:sz w:val="18"/>
                <w:lang w:val="fr-FR"/>
              </w:rPr>
            </w:pPr>
            <w:r>
              <w:rPr>
                <w:snapToGrid w:val="0"/>
                <w:sz w:val="18"/>
                <w:lang w:val="fr-FR"/>
              </w:rPr>
              <w:t>2 279</w:t>
            </w:r>
          </w:p>
        </w:tc>
        <w:tc>
          <w:tcPr>
            <w:tcW w:w="992" w:type="dxa"/>
            <w:tcBorders>
              <w:top w:val="nil"/>
              <w:bottom w:val="single" w:sz="4" w:space="0" w:color="auto"/>
            </w:tcBorders>
          </w:tcPr>
          <w:p w:rsidR="00000000" w:rsidRDefault="00000000">
            <w:pPr>
              <w:ind w:right="113"/>
              <w:jc w:val="right"/>
              <w:rPr>
                <w:snapToGrid w:val="0"/>
                <w:sz w:val="18"/>
                <w:lang w:val="fr-FR"/>
              </w:rPr>
            </w:pPr>
            <w:r>
              <w:rPr>
                <w:snapToGrid w:val="0"/>
                <w:sz w:val="18"/>
                <w:lang w:val="fr-FR"/>
              </w:rPr>
              <w:t>563</w:t>
            </w:r>
          </w:p>
        </w:tc>
        <w:tc>
          <w:tcPr>
            <w:tcW w:w="1134" w:type="dxa"/>
            <w:tcBorders>
              <w:top w:val="nil"/>
              <w:bottom w:val="single" w:sz="4" w:space="0" w:color="auto"/>
            </w:tcBorders>
          </w:tcPr>
          <w:p w:rsidR="00000000" w:rsidRDefault="00000000">
            <w:pPr>
              <w:ind w:right="113"/>
              <w:jc w:val="right"/>
              <w:rPr>
                <w:snapToGrid w:val="0"/>
                <w:sz w:val="18"/>
                <w:lang w:val="fr-FR"/>
              </w:rPr>
            </w:pPr>
            <w:r>
              <w:rPr>
                <w:snapToGrid w:val="0"/>
                <w:sz w:val="18"/>
                <w:lang w:val="fr-FR"/>
              </w:rPr>
              <w:t>1 716</w:t>
            </w:r>
          </w:p>
        </w:tc>
        <w:tc>
          <w:tcPr>
            <w:tcW w:w="992" w:type="dxa"/>
            <w:tcBorders>
              <w:top w:val="nil"/>
              <w:bottom w:val="single" w:sz="4" w:space="0" w:color="auto"/>
            </w:tcBorders>
          </w:tcPr>
          <w:p w:rsidR="00000000" w:rsidRDefault="00000000">
            <w:pPr>
              <w:ind w:right="113"/>
              <w:jc w:val="right"/>
              <w:rPr>
                <w:snapToGrid w:val="0"/>
                <w:sz w:val="18"/>
                <w:lang w:val="fr-FR"/>
              </w:rPr>
            </w:pPr>
            <w:r>
              <w:rPr>
                <w:snapToGrid w:val="0"/>
                <w:sz w:val="18"/>
                <w:lang w:val="fr-FR"/>
              </w:rPr>
              <w:t>220</w:t>
            </w:r>
          </w:p>
        </w:tc>
        <w:tc>
          <w:tcPr>
            <w:tcW w:w="710" w:type="dxa"/>
            <w:tcBorders>
              <w:top w:val="nil"/>
              <w:bottom w:val="single" w:sz="4" w:space="0" w:color="auto"/>
            </w:tcBorders>
          </w:tcPr>
          <w:p w:rsidR="00000000" w:rsidRDefault="00000000">
            <w:pPr>
              <w:ind w:right="57"/>
              <w:jc w:val="right"/>
              <w:rPr>
                <w:snapToGrid w:val="0"/>
                <w:sz w:val="18"/>
                <w:lang w:val="fr-FR"/>
              </w:rPr>
            </w:pPr>
            <w:r>
              <w:rPr>
                <w:snapToGrid w:val="0"/>
                <w:sz w:val="18"/>
                <w:lang w:val="fr-FR"/>
              </w:rPr>
              <w:t>104</w:t>
            </w:r>
          </w:p>
        </w:tc>
      </w:tr>
      <w:tr w:rsidR="00000000">
        <w:tblPrEx>
          <w:tblCellMar>
            <w:top w:w="0" w:type="dxa"/>
            <w:bottom w:w="0" w:type="dxa"/>
          </w:tblCellMar>
        </w:tblPrEx>
        <w:trPr>
          <w:trHeight w:val="187"/>
          <w:jc w:val="center"/>
        </w:trPr>
        <w:tc>
          <w:tcPr>
            <w:tcW w:w="1892" w:type="dxa"/>
            <w:tcBorders>
              <w:top w:val="single" w:sz="4" w:space="0" w:color="auto"/>
            </w:tcBorders>
          </w:tcPr>
          <w:p w:rsidR="00000000" w:rsidRDefault="00000000">
            <w:pPr>
              <w:rPr>
                <w:snapToGrid w:val="0"/>
                <w:sz w:val="18"/>
                <w:lang w:val="fr-FR"/>
              </w:rPr>
            </w:pPr>
          </w:p>
        </w:tc>
        <w:tc>
          <w:tcPr>
            <w:tcW w:w="683" w:type="dxa"/>
            <w:tcBorders>
              <w:top w:val="single" w:sz="4" w:space="0" w:color="auto"/>
            </w:tcBorders>
          </w:tcPr>
          <w:p w:rsidR="00000000" w:rsidRDefault="00000000">
            <w:pPr>
              <w:jc w:val="center"/>
              <w:rPr>
                <w:snapToGrid w:val="0"/>
                <w:sz w:val="18"/>
                <w:lang w:val="fr-FR"/>
              </w:rPr>
            </w:pPr>
            <w:r>
              <w:rPr>
                <w:snapToGrid w:val="0"/>
                <w:sz w:val="18"/>
                <w:lang w:val="fr-FR"/>
              </w:rPr>
              <w:t>1997</w:t>
            </w:r>
          </w:p>
        </w:tc>
        <w:tc>
          <w:tcPr>
            <w:tcW w:w="850" w:type="dxa"/>
            <w:tcBorders>
              <w:top w:val="single" w:sz="4" w:space="0" w:color="auto"/>
            </w:tcBorders>
          </w:tcPr>
          <w:p w:rsidR="00000000" w:rsidRDefault="00000000">
            <w:pPr>
              <w:jc w:val="right"/>
              <w:rPr>
                <w:snapToGrid w:val="0"/>
                <w:sz w:val="18"/>
                <w:lang w:val="fr-FR"/>
              </w:rPr>
            </w:pPr>
            <w:r>
              <w:rPr>
                <w:snapToGrid w:val="0"/>
                <w:sz w:val="18"/>
                <w:lang w:val="fr-FR"/>
              </w:rPr>
              <w:t>175</w:t>
            </w:r>
          </w:p>
        </w:tc>
        <w:tc>
          <w:tcPr>
            <w:tcW w:w="999" w:type="dxa"/>
            <w:tcBorders>
              <w:top w:val="single" w:sz="4" w:space="0" w:color="auto"/>
            </w:tcBorders>
          </w:tcPr>
          <w:p w:rsidR="00000000" w:rsidRDefault="00000000">
            <w:pPr>
              <w:ind w:right="113"/>
              <w:jc w:val="right"/>
              <w:rPr>
                <w:snapToGrid w:val="0"/>
                <w:sz w:val="18"/>
                <w:lang w:val="fr-FR"/>
              </w:rPr>
            </w:pPr>
            <w:r>
              <w:rPr>
                <w:snapToGrid w:val="0"/>
                <w:sz w:val="18"/>
                <w:lang w:val="fr-FR"/>
              </w:rPr>
              <w:noBreakHyphen/>
            </w:r>
          </w:p>
        </w:tc>
        <w:tc>
          <w:tcPr>
            <w:tcW w:w="865" w:type="dxa"/>
            <w:tcBorders>
              <w:top w:val="single" w:sz="4" w:space="0" w:color="auto"/>
            </w:tcBorders>
          </w:tcPr>
          <w:p w:rsidR="00000000" w:rsidRDefault="00000000">
            <w:pPr>
              <w:ind w:right="57"/>
              <w:jc w:val="right"/>
              <w:rPr>
                <w:snapToGrid w:val="0"/>
                <w:sz w:val="18"/>
                <w:lang w:val="fr-FR"/>
              </w:rPr>
            </w:pPr>
            <w:r>
              <w:rPr>
                <w:snapToGrid w:val="0"/>
                <w:sz w:val="18"/>
                <w:lang w:val="fr-FR"/>
              </w:rPr>
              <w:t>164</w:t>
            </w:r>
          </w:p>
        </w:tc>
        <w:tc>
          <w:tcPr>
            <w:tcW w:w="992" w:type="dxa"/>
            <w:tcBorders>
              <w:top w:val="single" w:sz="4" w:space="0" w:color="auto"/>
            </w:tcBorders>
          </w:tcPr>
          <w:p w:rsidR="00000000" w:rsidRDefault="00000000">
            <w:pPr>
              <w:ind w:right="113"/>
              <w:jc w:val="right"/>
              <w:rPr>
                <w:snapToGrid w:val="0"/>
                <w:sz w:val="18"/>
                <w:lang w:val="fr-FR"/>
              </w:rPr>
            </w:pPr>
            <w:r>
              <w:rPr>
                <w:snapToGrid w:val="0"/>
                <w:sz w:val="18"/>
                <w:lang w:val="fr-FR"/>
              </w:rPr>
              <w:t>95</w:t>
            </w:r>
          </w:p>
        </w:tc>
        <w:tc>
          <w:tcPr>
            <w:tcW w:w="1134" w:type="dxa"/>
            <w:tcBorders>
              <w:top w:val="single" w:sz="4" w:space="0" w:color="auto"/>
            </w:tcBorders>
          </w:tcPr>
          <w:p w:rsidR="00000000" w:rsidRDefault="00000000">
            <w:pPr>
              <w:ind w:right="113"/>
              <w:jc w:val="right"/>
              <w:rPr>
                <w:snapToGrid w:val="0"/>
                <w:sz w:val="18"/>
                <w:lang w:val="fr-FR"/>
              </w:rPr>
            </w:pPr>
            <w:r>
              <w:rPr>
                <w:snapToGrid w:val="0"/>
                <w:sz w:val="18"/>
                <w:lang w:val="fr-FR"/>
              </w:rPr>
              <w:t>69</w:t>
            </w:r>
          </w:p>
        </w:tc>
        <w:tc>
          <w:tcPr>
            <w:tcW w:w="992" w:type="dxa"/>
            <w:tcBorders>
              <w:top w:val="single" w:sz="4" w:space="0" w:color="auto"/>
            </w:tcBorders>
          </w:tcPr>
          <w:p w:rsidR="00000000" w:rsidRDefault="00000000">
            <w:pPr>
              <w:ind w:right="113"/>
              <w:jc w:val="right"/>
              <w:rPr>
                <w:snapToGrid w:val="0"/>
                <w:sz w:val="18"/>
                <w:lang w:val="fr-FR"/>
              </w:rPr>
            </w:pPr>
            <w:r>
              <w:rPr>
                <w:snapToGrid w:val="0"/>
                <w:sz w:val="18"/>
                <w:lang w:val="fr-FR"/>
              </w:rPr>
              <w:t>5</w:t>
            </w:r>
          </w:p>
        </w:tc>
        <w:tc>
          <w:tcPr>
            <w:tcW w:w="710" w:type="dxa"/>
            <w:tcBorders>
              <w:top w:val="single" w:sz="4" w:space="0" w:color="auto"/>
            </w:tcBorders>
          </w:tcPr>
          <w:p w:rsidR="00000000" w:rsidRDefault="00000000">
            <w:pPr>
              <w:ind w:right="57"/>
              <w:jc w:val="right"/>
              <w:rPr>
                <w:snapToGrid w:val="0"/>
                <w:sz w:val="18"/>
                <w:lang w:val="fr-FR"/>
              </w:rPr>
            </w:pPr>
            <w:r>
              <w:rPr>
                <w:snapToGrid w:val="0"/>
                <w:sz w:val="18"/>
                <w:lang w:val="fr-FR"/>
              </w:rPr>
              <w:t>6</w:t>
            </w:r>
          </w:p>
        </w:tc>
      </w:tr>
      <w:tr w:rsidR="00000000">
        <w:tblPrEx>
          <w:tblCellMar>
            <w:top w:w="0" w:type="dxa"/>
            <w:bottom w:w="0" w:type="dxa"/>
          </w:tblCellMar>
        </w:tblPrEx>
        <w:trPr>
          <w:trHeight w:val="187"/>
          <w:jc w:val="center"/>
        </w:trPr>
        <w:tc>
          <w:tcPr>
            <w:tcW w:w="1892" w:type="dxa"/>
            <w:tcBorders>
              <w:bottom w:val="nil"/>
            </w:tcBorders>
          </w:tcPr>
          <w:p w:rsidR="00000000" w:rsidRDefault="00000000">
            <w:pPr>
              <w:rPr>
                <w:snapToGrid w:val="0"/>
                <w:sz w:val="18"/>
                <w:lang w:val="fr-FR"/>
              </w:rPr>
            </w:pPr>
            <w:r>
              <w:rPr>
                <w:snapToGrid w:val="0"/>
                <w:sz w:val="18"/>
                <w:lang w:val="fr-FR"/>
              </w:rPr>
              <w:t>Amapá</w:t>
            </w:r>
          </w:p>
        </w:tc>
        <w:tc>
          <w:tcPr>
            <w:tcW w:w="683" w:type="dxa"/>
            <w:tcBorders>
              <w:bottom w:val="nil"/>
            </w:tcBorders>
          </w:tcPr>
          <w:p w:rsidR="00000000" w:rsidRDefault="00000000">
            <w:pPr>
              <w:jc w:val="center"/>
              <w:rPr>
                <w:snapToGrid w:val="0"/>
                <w:sz w:val="18"/>
              </w:rPr>
            </w:pPr>
            <w:r>
              <w:rPr>
                <w:snapToGrid w:val="0"/>
                <w:sz w:val="18"/>
              </w:rPr>
              <w:t>1998</w:t>
            </w:r>
          </w:p>
        </w:tc>
        <w:tc>
          <w:tcPr>
            <w:tcW w:w="850" w:type="dxa"/>
            <w:tcBorders>
              <w:bottom w:val="nil"/>
            </w:tcBorders>
          </w:tcPr>
          <w:p w:rsidR="00000000" w:rsidRDefault="00000000">
            <w:pPr>
              <w:jc w:val="right"/>
              <w:rPr>
                <w:snapToGrid w:val="0"/>
                <w:sz w:val="18"/>
              </w:rPr>
            </w:pPr>
            <w:r>
              <w:rPr>
                <w:snapToGrid w:val="0"/>
                <w:sz w:val="18"/>
              </w:rPr>
              <w:t>133</w:t>
            </w:r>
          </w:p>
        </w:tc>
        <w:tc>
          <w:tcPr>
            <w:tcW w:w="999" w:type="dxa"/>
            <w:tcBorders>
              <w:bottom w:val="nil"/>
            </w:tcBorders>
          </w:tcPr>
          <w:p w:rsidR="00000000" w:rsidRDefault="00000000">
            <w:pPr>
              <w:ind w:right="113"/>
              <w:jc w:val="right"/>
              <w:rPr>
                <w:snapToGrid w:val="0"/>
                <w:sz w:val="18"/>
              </w:rPr>
            </w:pPr>
            <w:r>
              <w:rPr>
                <w:snapToGrid w:val="0"/>
                <w:sz w:val="18"/>
              </w:rPr>
              <w:noBreakHyphen/>
            </w:r>
          </w:p>
        </w:tc>
        <w:tc>
          <w:tcPr>
            <w:tcW w:w="865" w:type="dxa"/>
            <w:tcBorders>
              <w:bottom w:val="nil"/>
            </w:tcBorders>
          </w:tcPr>
          <w:p w:rsidR="00000000" w:rsidRDefault="00000000">
            <w:pPr>
              <w:ind w:right="57"/>
              <w:jc w:val="right"/>
              <w:rPr>
                <w:snapToGrid w:val="0"/>
                <w:sz w:val="18"/>
              </w:rPr>
            </w:pPr>
            <w:r>
              <w:rPr>
                <w:snapToGrid w:val="0"/>
                <w:sz w:val="18"/>
              </w:rPr>
              <w:t>112</w:t>
            </w:r>
          </w:p>
        </w:tc>
        <w:tc>
          <w:tcPr>
            <w:tcW w:w="992" w:type="dxa"/>
            <w:tcBorders>
              <w:bottom w:val="nil"/>
            </w:tcBorders>
          </w:tcPr>
          <w:p w:rsidR="00000000" w:rsidRDefault="00000000">
            <w:pPr>
              <w:ind w:right="113"/>
              <w:jc w:val="right"/>
              <w:rPr>
                <w:snapToGrid w:val="0"/>
                <w:sz w:val="18"/>
              </w:rPr>
            </w:pPr>
            <w:r>
              <w:rPr>
                <w:snapToGrid w:val="0"/>
                <w:sz w:val="18"/>
              </w:rPr>
              <w:t>46</w:t>
            </w:r>
          </w:p>
        </w:tc>
        <w:tc>
          <w:tcPr>
            <w:tcW w:w="1134" w:type="dxa"/>
            <w:tcBorders>
              <w:bottom w:val="nil"/>
            </w:tcBorders>
          </w:tcPr>
          <w:p w:rsidR="00000000" w:rsidRDefault="00000000">
            <w:pPr>
              <w:ind w:right="113"/>
              <w:jc w:val="right"/>
              <w:rPr>
                <w:snapToGrid w:val="0"/>
                <w:sz w:val="18"/>
              </w:rPr>
            </w:pPr>
            <w:r>
              <w:rPr>
                <w:snapToGrid w:val="0"/>
                <w:sz w:val="18"/>
              </w:rPr>
              <w:t>66</w:t>
            </w:r>
          </w:p>
        </w:tc>
        <w:tc>
          <w:tcPr>
            <w:tcW w:w="992" w:type="dxa"/>
            <w:tcBorders>
              <w:bottom w:val="nil"/>
            </w:tcBorders>
          </w:tcPr>
          <w:p w:rsidR="00000000" w:rsidRDefault="00000000">
            <w:pPr>
              <w:ind w:right="113"/>
              <w:jc w:val="right"/>
              <w:rPr>
                <w:snapToGrid w:val="0"/>
                <w:sz w:val="18"/>
              </w:rPr>
            </w:pPr>
            <w:r>
              <w:rPr>
                <w:snapToGrid w:val="0"/>
                <w:sz w:val="18"/>
              </w:rPr>
              <w:t>10</w:t>
            </w:r>
          </w:p>
        </w:tc>
        <w:tc>
          <w:tcPr>
            <w:tcW w:w="710" w:type="dxa"/>
            <w:tcBorders>
              <w:bottom w:val="nil"/>
            </w:tcBorders>
          </w:tcPr>
          <w:p w:rsidR="00000000" w:rsidRDefault="00000000">
            <w:pPr>
              <w:ind w:right="57"/>
              <w:jc w:val="right"/>
              <w:rPr>
                <w:snapToGrid w:val="0"/>
                <w:sz w:val="18"/>
              </w:rPr>
            </w:pPr>
            <w:r>
              <w:rPr>
                <w:snapToGrid w:val="0"/>
                <w:sz w:val="18"/>
              </w:rPr>
              <w:t>11</w:t>
            </w:r>
          </w:p>
        </w:tc>
      </w:tr>
      <w:tr w:rsidR="00000000">
        <w:tblPrEx>
          <w:tblCellMar>
            <w:top w:w="0" w:type="dxa"/>
            <w:bottom w:w="0" w:type="dxa"/>
          </w:tblCellMar>
        </w:tblPrEx>
        <w:trPr>
          <w:trHeight w:val="187"/>
          <w:jc w:val="center"/>
        </w:trPr>
        <w:tc>
          <w:tcPr>
            <w:tcW w:w="1892" w:type="dxa"/>
            <w:tcBorders>
              <w:top w:val="nil"/>
              <w:bottom w:val="single" w:sz="4" w:space="0" w:color="auto"/>
            </w:tcBorders>
          </w:tcPr>
          <w:p w:rsidR="00000000" w:rsidRDefault="00000000">
            <w:pPr>
              <w:rPr>
                <w:snapToGrid w:val="0"/>
                <w:sz w:val="18"/>
              </w:rPr>
            </w:pPr>
          </w:p>
        </w:tc>
        <w:tc>
          <w:tcPr>
            <w:tcW w:w="683" w:type="dxa"/>
            <w:tcBorders>
              <w:top w:val="nil"/>
              <w:bottom w:val="single" w:sz="4" w:space="0" w:color="auto"/>
            </w:tcBorders>
          </w:tcPr>
          <w:p w:rsidR="00000000" w:rsidRDefault="00000000">
            <w:pPr>
              <w:jc w:val="center"/>
              <w:rPr>
                <w:snapToGrid w:val="0"/>
                <w:sz w:val="18"/>
              </w:rPr>
            </w:pPr>
            <w:r>
              <w:rPr>
                <w:snapToGrid w:val="0"/>
                <w:sz w:val="18"/>
              </w:rPr>
              <w:t>1999</w:t>
            </w:r>
          </w:p>
        </w:tc>
        <w:tc>
          <w:tcPr>
            <w:tcW w:w="850" w:type="dxa"/>
            <w:tcBorders>
              <w:top w:val="nil"/>
              <w:bottom w:val="single" w:sz="4" w:space="0" w:color="auto"/>
            </w:tcBorders>
          </w:tcPr>
          <w:p w:rsidR="00000000" w:rsidRDefault="00000000">
            <w:pPr>
              <w:jc w:val="right"/>
              <w:rPr>
                <w:snapToGrid w:val="0"/>
                <w:sz w:val="18"/>
              </w:rPr>
            </w:pPr>
            <w:r>
              <w:rPr>
                <w:snapToGrid w:val="0"/>
                <w:sz w:val="18"/>
              </w:rPr>
              <w:t>104</w:t>
            </w:r>
          </w:p>
        </w:tc>
        <w:tc>
          <w:tcPr>
            <w:tcW w:w="999" w:type="dxa"/>
            <w:tcBorders>
              <w:top w:val="nil"/>
              <w:bottom w:val="single" w:sz="4" w:space="0" w:color="auto"/>
            </w:tcBorders>
          </w:tcPr>
          <w:p w:rsidR="00000000" w:rsidRDefault="00000000">
            <w:pPr>
              <w:ind w:right="113"/>
              <w:jc w:val="right"/>
              <w:rPr>
                <w:snapToGrid w:val="0"/>
                <w:sz w:val="18"/>
              </w:rPr>
            </w:pPr>
            <w:r>
              <w:rPr>
                <w:snapToGrid w:val="0"/>
                <w:sz w:val="18"/>
              </w:rPr>
              <w:noBreakHyphen/>
            </w:r>
          </w:p>
        </w:tc>
        <w:tc>
          <w:tcPr>
            <w:tcW w:w="865" w:type="dxa"/>
            <w:tcBorders>
              <w:top w:val="nil"/>
              <w:bottom w:val="single" w:sz="4" w:space="0" w:color="auto"/>
            </w:tcBorders>
          </w:tcPr>
          <w:p w:rsidR="00000000" w:rsidRDefault="00000000">
            <w:pPr>
              <w:ind w:right="57"/>
              <w:jc w:val="right"/>
              <w:rPr>
                <w:snapToGrid w:val="0"/>
                <w:sz w:val="18"/>
              </w:rPr>
            </w:pPr>
            <w:r>
              <w:rPr>
                <w:snapToGrid w:val="0"/>
                <w:sz w:val="18"/>
              </w:rPr>
              <w:t>95</w:t>
            </w:r>
          </w:p>
        </w:tc>
        <w:tc>
          <w:tcPr>
            <w:tcW w:w="992" w:type="dxa"/>
            <w:tcBorders>
              <w:top w:val="nil"/>
              <w:bottom w:val="single" w:sz="4" w:space="0" w:color="auto"/>
            </w:tcBorders>
          </w:tcPr>
          <w:p w:rsidR="00000000" w:rsidRDefault="00000000">
            <w:pPr>
              <w:ind w:right="113"/>
              <w:jc w:val="right"/>
              <w:rPr>
                <w:snapToGrid w:val="0"/>
                <w:sz w:val="18"/>
              </w:rPr>
            </w:pPr>
            <w:r>
              <w:rPr>
                <w:snapToGrid w:val="0"/>
                <w:sz w:val="18"/>
              </w:rPr>
              <w:t>8</w:t>
            </w:r>
          </w:p>
        </w:tc>
        <w:tc>
          <w:tcPr>
            <w:tcW w:w="1134" w:type="dxa"/>
            <w:tcBorders>
              <w:top w:val="nil"/>
              <w:bottom w:val="single" w:sz="4" w:space="0" w:color="auto"/>
            </w:tcBorders>
          </w:tcPr>
          <w:p w:rsidR="00000000" w:rsidRDefault="00000000">
            <w:pPr>
              <w:ind w:right="113"/>
              <w:jc w:val="right"/>
              <w:rPr>
                <w:snapToGrid w:val="0"/>
                <w:sz w:val="18"/>
              </w:rPr>
            </w:pPr>
            <w:r>
              <w:rPr>
                <w:snapToGrid w:val="0"/>
                <w:sz w:val="18"/>
              </w:rPr>
              <w:t>87</w:t>
            </w:r>
          </w:p>
        </w:tc>
        <w:tc>
          <w:tcPr>
            <w:tcW w:w="992" w:type="dxa"/>
            <w:tcBorders>
              <w:top w:val="nil"/>
              <w:bottom w:val="single" w:sz="4" w:space="0" w:color="auto"/>
            </w:tcBorders>
          </w:tcPr>
          <w:p w:rsidR="00000000" w:rsidRDefault="00000000">
            <w:pPr>
              <w:ind w:right="113"/>
              <w:jc w:val="right"/>
              <w:rPr>
                <w:snapToGrid w:val="0"/>
                <w:sz w:val="18"/>
              </w:rPr>
            </w:pPr>
            <w:r>
              <w:rPr>
                <w:snapToGrid w:val="0"/>
                <w:sz w:val="18"/>
              </w:rPr>
              <w:t>3</w:t>
            </w:r>
          </w:p>
        </w:tc>
        <w:tc>
          <w:tcPr>
            <w:tcW w:w="710" w:type="dxa"/>
            <w:tcBorders>
              <w:top w:val="nil"/>
              <w:bottom w:val="single" w:sz="4" w:space="0" w:color="auto"/>
            </w:tcBorders>
          </w:tcPr>
          <w:p w:rsidR="00000000" w:rsidRDefault="00000000">
            <w:pPr>
              <w:ind w:right="57"/>
              <w:jc w:val="right"/>
              <w:rPr>
                <w:snapToGrid w:val="0"/>
                <w:sz w:val="18"/>
              </w:rPr>
            </w:pPr>
            <w:r>
              <w:rPr>
                <w:snapToGrid w:val="0"/>
                <w:sz w:val="18"/>
              </w:rPr>
              <w:t>6</w:t>
            </w:r>
          </w:p>
        </w:tc>
      </w:tr>
      <w:tr w:rsidR="00000000">
        <w:tblPrEx>
          <w:tblCellMar>
            <w:top w:w="0" w:type="dxa"/>
            <w:bottom w:w="0" w:type="dxa"/>
          </w:tblCellMar>
        </w:tblPrEx>
        <w:trPr>
          <w:trHeight w:val="187"/>
          <w:jc w:val="center"/>
        </w:trPr>
        <w:tc>
          <w:tcPr>
            <w:tcW w:w="1892" w:type="dxa"/>
            <w:tcBorders>
              <w:top w:val="single" w:sz="4" w:space="0" w:color="auto"/>
            </w:tcBorders>
          </w:tcPr>
          <w:p w:rsidR="00000000" w:rsidRDefault="00000000">
            <w:pPr>
              <w:rPr>
                <w:snapToGrid w:val="0"/>
                <w:sz w:val="18"/>
              </w:rPr>
            </w:pPr>
          </w:p>
        </w:tc>
        <w:tc>
          <w:tcPr>
            <w:tcW w:w="683" w:type="dxa"/>
            <w:tcBorders>
              <w:top w:val="single" w:sz="4" w:space="0" w:color="auto"/>
            </w:tcBorders>
          </w:tcPr>
          <w:p w:rsidR="00000000" w:rsidRDefault="00000000">
            <w:pPr>
              <w:jc w:val="center"/>
              <w:rPr>
                <w:snapToGrid w:val="0"/>
                <w:sz w:val="18"/>
              </w:rPr>
            </w:pPr>
            <w:r>
              <w:rPr>
                <w:snapToGrid w:val="0"/>
                <w:sz w:val="18"/>
              </w:rPr>
              <w:t>1997</w:t>
            </w:r>
          </w:p>
        </w:tc>
        <w:tc>
          <w:tcPr>
            <w:tcW w:w="850" w:type="dxa"/>
            <w:tcBorders>
              <w:top w:val="single" w:sz="4" w:space="0" w:color="auto"/>
            </w:tcBorders>
          </w:tcPr>
          <w:p w:rsidR="00000000" w:rsidRDefault="00000000">
            <w:pPr>
              <w:jc w:val="right"/>
              <w:rPr>
                <w:snapToGrid w:val="0"/>
                <w:sz w:val="18"/>
              </w:rPr>
            </w:pPr>
            <w:r>
              <w:rPr>
                <w:snapToGrid w:val="0"/>
                <w:sz w:val="18"/>
              </w:rPr>
              <w:t>283</w:t>
            </w:r>
          </w:p>
        </w:tc>
        <w:tc>
          <w:tcPr>
            <w:tcW w:w="999" w:type="dxa"/>
            <w:tcBorders>
              <w:top w:val="single" w:sz="4" w:space="0" w:color="auto"/>
            </w:tcBorders>
          </w:tcPr>
          <w:p w:rsidR="00000000" w:rsidRDefault="00000000">
            <w:pPr>
              <w:ind w:right="113"/>
              <w:jc w:val="right"/>
              <w:rPr>
                <w:snapToGrid w:val="0"/>
                <w:sz w:val="18"/>
              </w:rPr>
            </w:pPr>
            <w:r>
              <w:rPr>
                <w:snapToGrid w:val="0"/>
                <w:sz w:val="18"/>
              </w:rPr>
              <w:noBreakHyphen/>
            </w:r>
          </w:p>
        </w:tc>
        <w:tc>
          <w:tcPr>
            <w:tcW w:w="865" w:type="dxa"/>
            <w:tcBorders>
              <w:top w:val="single" w:sz="4" w:space="0" w:color="auto"/>
            </w:tcBorders>
          </w:tcPr>
          <w:p w:rsidR="00000000" w:rsidRDefault="00000000">
            <w:pPr>
              <w:ind w:right="57"/>
              <w:jc w:val="right"/>
              <w:rPr>
                <w:snapToGrid w:val="0"/>
                <w:sz w:val="18"/>
              </w:rPr>
            </w:pPr>
            <w:r>
              <w:rPr>
                <w:snapToGrid w:val="0"/>
                <w:sz w:val="18"/>
              </w:rPr>
              <w:t>246</w:t>
            </w:r>
          </w:p>
        </w:tc>
        <w:tc>
          <w:tcPr>
            <w:tcW w:w="992" w:type="dxa"/>
            <w:tcBorders>
              <w:top w:val="single" w:sz="4" w:space="0" w:color="auto"/>
            </w:tcBorders>
          </w:tcPr>
          <w:p w:rsidR="00000000" w:rsidRDefault="00000000">
            <w:pPr>
              <w:ind w:right="113"/>
              <w:jc w:val="right"/>
              <w:rPr>
                <w:snapToGrid w:val="0"/>
                <w:sz w:val="18"/>
              </w:rPr>
            </w:pPr>
            <w:r>
              <w:rPr>
                <w:snapToGrid w:val="0"/>
                <w:sz w:val="18"/>
              </w:rPr>
              <w:t>59</w:t>
            </w:r>
          </w:p>
        </w:tc>
        <w:tc>
          <w:tcPr>
            <w:tcW w:w="1134" w:type="dxa"/>
            <w:tcBorders>
              <w:top w:val="single" w:sz="4" w:space="0" w:color="auto"/>
            </w:tcBorders>
          </w:tcPr>
          <w:p w:rsidR="00000000" w:rsidRDefault="00000000">
            <w:pPr>
              <w:ind w:right="113"/>
              <w:jc w:val="right"/>
              <w:rPr>
                <w:snapToGrid w:val="0"/>
                <w:sz w:val="18"/>
              </w:rPr>
            </w:pPr>
            <w:r>
              <w:rPr>
                <w:snapToGrid w:val="0"/>
                <w:sz w:val="18"/>
              </w:rPr>
              <w:t>187</w:t>
            </w:r>
          </w:p>
        </w:tc>
        <w:tc>
          <w:tcPr>
            <w:tcW w:w="992" w:type="dxa"/>
            <w:tcBorders>
              <w:top w:val="single" w:sz="4" w:space="0" w:color="auto"/>
            </w:tcBorders>
          </w:tcPr>
          <w:p w:rsidR="00000000" w:rsidRDefault="00000000">
            <w:pPr>
              <w:ind w:right="113"/>
              <w:jc w:val="right"/>
              <w:rPr>
                <w:snapToGrid w:val="0"/>
                <w:sz w:val="18"/>
              </w:rPr>
            </w:pPr>
            <w:r>
              <w:rPr>
                <w:snapToGrid w:val="0"/>
                <w:sz w:val="18"/>
              </w:rPr>
              <w:t>28</w:t>
            </w:r>
          </w:p>
        </w:tc>
        <w:tc>
          <w:tcPr>
            <w:tcW w:w="710" w:type="dxa"/>
            <w:tcBorders>
              <w:top w:val="single" w:sz="4" w:space="0" w:color="auto"/>
            </w:tcBorders>
          </w:tcPr>
          <w:p w:rsidR="00000000" w:rsidRDefault="00000000">
            <w:pPr>
              <w:ind w:right="57"/>
              <w:jc w:val="right"/>
              <w:rPr>
                <w:snapToGrid w:val="0"/>
                <w:sz w:val="18"/>
              </w:rPr>
            </w:pPr>
            <w:r>
              <w:rPr>
                <w:snapToGrid w:val="0"/>
                <w:sz w:val="18"/>
              </w:rPr>
              <w:t>9</w:t>
            </w:r>
          </w:p>
        </w:tc>
      </w:tr>
      <w:tr w:rsidR="00000000">
        <w:tblPrEx>
          <w:tblCellMar>
            <w:top w:w="0" w:type="dxa"/>
            <w:bottom w:w="0" w:type="dxa"/>
          </w:tblCellMar>
        </w:tblPrEx>
        <w:trPr>
          <w:trHeight w:val="187"/>
          <w:jc w:val="center"/>
        </w:trPr>
        <w:tc>
          <w:tcPr>
            <w:tcW w:w="1892" w:type="dxa"/>
            <w:tcBorders>
              <w:bottom w:val="nil"/>
            </w:tcBorders>
          </w:tcPr>
          <w:p w:rsidR="00000000" w:rsidRDefault="00000000">
            <w:pPr>
              <w:rPr>
                <w:snapToGrid w:val="0"/>
                <w:sz w:val="18"/>
              </w:rPr>
            </w:pPr>
            <w:r>
              <w:rPr>
                <w:snapToGrid w:val="0"/>
                <w:sz w:val="18"/>
              </w:rPr>
              <w:t>Tocantins</w:t>
            </w:r>
          </w:p>
        </w:tc>
        <w:tc>
          <w:tcPr>
            <w:tcW w:w="683" w:type="dxa"/>
            <w:tcBorders>
              <w:bottom w:val="nil"/>
            </w:tcBorders>
          </w:tcPr>
          <w:p w:rsidR="00000000" w:rsidRDefault="00000000">
            <w:pPr>
              <w:jc w:val="center"/>
              <w:rPr>
                <w:snapToGrid w:val="0"/>
                <w:sz w:val="18"/>
              </w:rPr>
            </w:pPr>
            <w:r>
              <w:rPr>
                <w:snapToGrid w:val="0"/>
                <w:sz w:val="18"/>
              </w:rPr>
              <w:t>1998</w:t>
            </w:r>
          </w:p>
        </w:tc>
        <w:tc>
          <w:tcPr>
            <w:tcW w:w="850" w:type="dxa"/>
            <w:tcBorders>
              <w:bottom w:val="nil"/>
            </w:tcBorders>
          </w:tcPr>
          <w:p w:rsidR="00000000" w:rsidRDefault="00000000">
            <w:pPr>
              <w:jc w:val="right"/>
              <w:rPr>
                <w:snapToGrid w:val="0"/>
                <w:sz w:val="18"/>
              </w:rPr>
            </w:pPr>
            <w:r>
              <w:rPr>
                <w:snapToGrid w:val="0"/>
                <w:sz w:val="18"/>
              </w:rPr>
              <w:t>421</w:t>
            </w:r>
          </w:p>
        </w:tc>
        <w:tc>
          <w:tcPr>
            <w:tcW w:w="999" w:type="dxa"/>
            <w:tcBorders>
              <w:bottom w:val="nil"/>
            </w:tcBorders>
          </w:tcPr>
          <w:p w:rsidR="00000000" w:rsidRDefault="00000000">
            <w:pPr>
              <w:ind w:right="113"/>
              <w:jc w:val="right"/>
              <w:rPr>
                <w:snapToGrid w:val="0"/>
                <w:sz w:val="18"/>
              </w:rPr>
            </w:pPr>
            <w:r>
              <w:rPr>
                <w:snapToGrid w:val="0"/>
                <w:sz w:val="18"/>
              </w:rPr>
              <w:t>4</w:t>
            </w:r>
          </w:p>
        </w:tc>
        <w:tc>
          <w:tcPr>
            <w:tcW w:w="865" w:type="dxa"/>
            <w:tcBorders>
              <w:bottom w:val="nil"/>
            </w:tcBorders>
          </w:tcPr>
          <w:p w:rsidR="00000000" w:rsidRDefault="00000000">
            <w:pPr>
              <w:ind w:right="57"/>
              <w:jc w:val="right"/>
              <w:rPr>
                <w:snapToGrid w:val="0"/>
                <w:sz w:val="18"/>
              </w:rPr>
            </w:pPr>
            <w:r>
              <w:rPr>
                <w:snapToGrid w:val="0"/>
                <w:sz w:val="18"/>
              </w:rPr>
              <w:t>365</w:t>
            </w:r>
          </w:p>
        </w:tc>
        <w:tc>
          <w:tcPr>
            <w:tcW w:w="992" w:type="dxa"/>
            <w:tcBorders>
              <w:bottom w:val="nil"/>
            </w:tcBorders>
          </w:tcPr>
          <w:p w:rsidR="00000000" w:rsidRDefault="00000000">
            <w:pPr>
              <w:ind w:right="113"/>
              <w:jc w:val="right"/>
              <w:rPr>
                <w:snapToGrid w:val="0"/>
                <w:sz w:val="18"/>
              </w:rPr>
            </w:pPr>
            <w:r>
              <w:rPr>
                <w:snapToGrid w:val="0"/>
                <w:sz w:val="18"/>
              </w:rPr>
              <w:t>124</w:t>
            </w:r>
          </w:p>
        </w:tc>
        <w:tc>
          <w:tcPr>
            <w:tcW w:w="1134" w:type="dxa"/>
            <w:tcBorders>
              <w:bottom w:val="nil"/>
            </w:tcBorders>
          </w:tcPr>
          <w:p w:rsidR="00000000" w:rsidRDefault="00000000">
            <w:pPr>
              <w:ind w:right="113"/>
              <w:jc w:val="right"/>
              <w:rPr>
                <w:snapToGrid w:val="0"/>
                <w:sz w:val="18"/>
              </w:rPr>
            </w:pPr>
            <w:r>
              <w:rPr>
                <w:snapToGrid w:val="0"/>
                <w:sz w:val="18"/>
              </w:rPr>
              <w:t>241</w:t>
            </w:r>
          </w:p>
        </w:tc>
        <w:tc>
          <w:tcPr>
            <w:tcW w:w="992" w:type="dxa"/>
            <w:tcBorders>
              <w:bottom w:val="nil"/>
            </w:tcBorders>
          </w:tcPr>
          <w:p w:rsidR="00000000" w:rsidRDefault="00000000">
            <w:pPr>
              <w:ind w:right="113"/>
              <w:jc w:val="right"/>
              <w:rPr>
                <w:snapToGrid w:val="0"/>
                <w:sz w:val="18"/>
              </w:rPr>
            </w:pPr>
            <w:r>
              <w:rPr>
                <w:snapToGrid w:val="0"/>
                <w:sz w:val="18"/>
              </w:rPr>
              <w:t>18</w:t>
            </w:r>
          </w:p>
        </w:tc>
        <w:tc>
          <w:tcPr>
            <w:tcW w:w="710" w:type="dxa"/>
            <w:tcBorders>
              <w:bottom w:val="nil"/>
            </w:tcBorders>
          </w:tcPr>
          <w:p w:rsidR="00000000" w:rsidRDefault="00000000">
            <w:pPr>
              <w:ind w:right="57"/>
              <w:jc w:val="right"/>
              <w:rPr>
                <w:snapToGrid w:val="0"/>
                <w:sz w:val="18"/>
              </w:rPr>
            </w:pPr>
            <w:r>
              <w:rPr>
                <w:snapToGrid w:val="0"/>
                <w:sz w:val="18"/>
              </w:rPr>
              <w:t>34</w:t>
            </w:r>
          </w:p>
        </w:tc>
      </w:tr>
      <w:tr w:rsidR="00000000">
        <w:tblPrEx>
          <w:tblCellMar>
            <w:top w:w="0" w:type="dxa"/>
            <w:bottom w:w="0" w:type="dxa"/>
          </w:tblCellMar>
        </w:tblPrEx>
        <w:trPr>
          <w:trHeight w:val="187"/>
          <w:jc w:val="center"/>
        </w:trPr>
        <w:tc>
          <w:tcPr>
            <w:tcW w:w="1892" w:type="dxa"/>
            <w:tcBorders>
              <w:top w:val="nil"/>
              <w:bottom w:val="single" w:sz="4" w:space="0" w:color="auto"/>
            </w:tcBorders>
          </w:tcPr>
          <w:p w:rsidR="00000000" w:rsidRDefault="00000000">
            <w:pPr>
              <w:rPr>
                <w:snapToGrid w:val="0"/>
                <w:sz w:val="18"/>
              </w:rPr>
            </w:pPr>
          </w:p>
        </w:tc>
        <w:tc>
          <w:tcPr>
            <w:tcW w:w="683" w:type="dxa"/>
            <w:tcBorders>
              <w:top w:val="nil"/>
              <w:bottom w:val="single" w:sz="4" w:space="0" w:color="auto"/>
            </w:tcBorders>
          </w:tcPr>
          <w:p w:rsidR="00000000" w:rsidRDefault="00000000">
            <w:pPr>
              <w:jc w:val="center"/>
              <w:rPr>
                <w:snapToGrid w:val="0"/>
                <w:sz w:val="18"/>
              </w:rPr>
            </w:pPr>
            <w:r>
              <w:rPr>
                <w:snapToGrid w:val="0"/>
                <w:sz w:val="18"/>
              </w:rPr>
              <w:t>1999</w:t>
            </w:r>
          </w:p>
        </w:tc>
        <w:tc>
          <w:tcPr>
            <w:tcW w:w="850" w:type="dxa"/>
            <w:tcBorders>
              <w:top w:val="nil"/>
              <w:bottom w:val="single" w:sz="4" w:space="0" w:color="auto"/>
            </w:tcBorders>
          </w:tcPr>
          <w:p w:rsidR="00000000" w:rsidRDefault="00000000">
            <w:pPr>
              <w:jc w:val="right"/>
              <w:rPr>
                <w:snapToGrid w:val="0"/>
                <w:sz w:val="18"/>
              </w:rPr>
            </w:pPr>
            <w:r>
              <w:rPr>
                <w:snapToGrid w:val="0"/>
                <w:sz w:val="18"/>
              </w:rPr>
              <w:t>506</w:t>
            </w:r>
          </w:p>
        </w:tc>
        <w:tc>
          <w:tcPr>
            <w:tcW w:w="999" w:type="dxa"/>
            <w:tcBorders>
              <w:top w:val="nil"/>
              <w:bottom w:val="single" w:sz="4" w:space="0" w:color="auto"/>
            </w:tcBorders>
          </w:tcPr>
          <w:p w:rsidR="00000000" w:rsidRDefault="00000000">
            <w:pPr>
              <w:ind w:right="113"/>
              <w:jc w:val="right"/>
              <w:rPr>
                <w:snapToGrid w:val="0"/>
                <w:sz w:val="18"/>
              </w:rPr>
            </w:pPr>
            <w:r>
              <w:rPr>
                <w:snapToGrid w:val="0"/>
                <w:sz w:val="18"/>
              </w:rPr>
              <w:t>79</w:t>
            </w:r>
          </w:p>
        </w:tc>
        <w:tc>
          <w:tcPr>
            <w:tcW w:w="865" w:type="dxa"/>
            <w:tcBorders>
              <w:top w:val="nil"/>
              <w:bottom w:val="single" w:sz="4" w:space="0" w:color="auto"/>
            </w:tcBorders>
          </w:tcPr>
          <w:p w:rsidR="00000000" w:rsidRDefault="00000000">
            <w:pPr>
              <w:ind w:right="57"/>
              <w:jc w:val="right"/>
              <w:rPr>
                <w:snapToGrid w:val="0"/>
                <w:sz w:val="18"/>
              </w:rPr>
            </w:pPr>
            <w:r>
              <w:rPr>
                <w:snapToGrid w:val="0"/>
                <w:sz w:val="18"/>
              </w:rPr>
              <w:t>388</w:t>
            </w:r>
          </w:p>
        </w:tc>
        <w:tc>
          <w:tcPr>
            <w:tcW w:w="992" w:type="dxa"/>
            <w:tcBorders>
              <w:top w:val="nil"/>
              <w:bottom w:val="single" w:sz="4" w:space="0" w:color="auto"/>
            </w:tcBorders>
          </w:tcPr>
          <w:p w:rsidR="00000000" w:rsidRDefault="00000000">
            <w:pPr>
              <w:ind w:right="113"/>
              <w:jc w:val="right"/>
              <w:rPr>
                <w:snapToGrid w:val="0"/>
                <w:sz w:val="18"/>
              </w:rPr>
            </w:pPr>
            <w:r>
              <w:rPr>
                <w:snapToGrid w:val="0"/>
                <w:sz w:val="18"/>
              </w:rPr>
              <w:t>143</w:t>
            </w:r>
          </w:p>
        </w:tc>
        <w:tc>
          <w:tcPr>
            <w:tcW w:w="1134" w:type="dxa"/>
            <w:tcBorders>
              <w:top w:val="nil"/>
              <w:bottom w:val="single" w:sz="4" w:space="0" w:color="auto"/>
            </w:tcBorders>
          </w:tcPr>
          <w:p w:rsidR="00000000" w:rsidRDefault="00000000">
            <w:pPr>
              <w:ind w:right="113"/>
              <w:jc w:val="right"/>
              <w:rPr>
                <w:snapToGrid w:val="0"/>
                <w:sz w:val="18"/>
              </w:rPr>
            </w:pPr>
            <w:r>
              <w:rPr>
                <w:snapToGrid w:val="0"/>
                <w:sz w:val="18"/>
              </w:rPr>
              <w:t>245</w:t>
            </w:r>
          </w:p>
        </w:tc>
        <w:tc>
          <w:tcPr>
            <w:tcW w:w="992" w:type="dxa"/>
            <w:tcBorders>
              <w:top w:val="nil"/>
              <w:bottom w:val="single" w:sz="4" w:space="0" w:color="auto"/>
            </w:tcBorders>
          </w:tcPr>
          <w:p w:rsidR="00000000" w:rsidRDefault="00000000">
            <w:pPr>
              <w:ind w:right="113"/>
              <w:jc w:val="right"/>
              <w:rPr>
                <w:snapToGrid w:val="0"/>
                <w:sz w:val="18"/>
              </w:rPr>
            </w:pPr>
            <w:r>
              <w:rPr>
                <w:snapToGrid w:val="0"/>
                <w:sz w:val="18"/>
              </w:rPr>
              <w:t>27</w:t>
            </w:r>
          </w:p>
        </w:tc>
        <w:tc>
          <w:tcPr>
            <w:tcW w:w="710" w:type="dxa"/>
            <w:tcBorders>
              <w:top w:val="nil"/>
              <w:bottom w:val="single" w:sz="4" w:space="0" w:color="auto"/>
            </w:tcBorders>
          </w:tcPr>
          <w:p w:rsidR="00000000" w:rsidRDefault="00000000">
            <w:pPr>
              <w:ind w:right="57"/>
              <w:jc w:val="right"/>
              <w:rPr>
                <w:snapToGrid w:val="0"/>
                <w:sz w:val="18"/>
              </w:rPr>
            </w:pPr>
            <w:r>
              <w:rPr>
                <w:snapToGrid w:val="0"/>
                <w:sz w:val="18"/>
              </w:rPr>
              <w:t>12</w:t>
            </w:r>
          </w:p>
        </w:tc>
      </w:tr>
      <w:tr w:rsidR="00000000">
        <w:tblPrEx>
          <w:tblCellMar>
            <w:top w:w="0" w:type="dxa"/>
            <w:bottom w:w="0" w:type="dxa"/>
          </w:tblCellMar>
        </w:tblPrEx>
        <w:trPr>
          <w:trHeight w:val="187"/>
          <w:jc w:val="center"/>
        </w:trPr>
        <w:tc>
          <w:tcPr>
            <w:tcW w:w="1892" w:type="dxa"/>
            <w:tcBorders>
              <w:top w:val="single" w:sz="4" w:space="0" w:color="auto"/>
            </w:tcBorders>
          </w:tcPr>
          <w:p w:rsidR="00000000" w:rsidRDefault="00000000">
            <w:pPr>
              <w:rPr>
                <w:b/>
                <w:snapToGrid w:val="0"/>
                <w:sz w:val="18"/>
              </w:rPr>
            </w:pPr>
            <w:r>
              <w:rPr>
                <w:b/>
                <w:snapToGrid w:val="0"/>
                <w:sz w:val="18"/>
              </w:rPr>
              <w:t>North</w:t>
            </w:r>
            <w:r>
              <w:rPr>
                <w:b/>
                <w:snapToGrid w:val="0"/>
                <w:sz w:val="18"/>
              </w:rPr>
              <w:noBreakHyphen/>
              <w:t>eastern</w:t>
            </w:r>
          </w:p>
        </w:tc>
        <w:tc>
          <w:tcPr>
            <w:tcW w:w="683" w:type="dxa"/>
            <w:tcBorders>
              <w:top w:val="single" w:sz="4" w:space="0" w:color="auto"/>
            </w:tcBorders>
          </w:tcPr>
          <w:p w:rsidR="00000000" w:rsidRDefault="00000000">
            <w:pPr>
              <w:jc w:val="center"/>
              <w:rPr>
                <w:b/>
                <w:snapToGrid w:val="0"/>
                <w:sz w:val="18"/>
              </w:rPr>
            </w:pPr>
            <w:r>
              <w:rPr>
                <w:b/>
                <w:snapToGrid w:val="0"/>
                <w:sz w:val="18"/>
              </w:rPr>
              <w:t>1997</w:t>
            </w:r>
          </w:p>
        </w:tc>
        <w:tc>
          <w:tcPr>
            <w:tcW w:w="850" w:type="dxa"/>
            <w:tcBorders>
              <w:top w:val="single" w:sz="4" w:space="0" w:color="auto"/>
            </w:tcBorders>
          </w:tcPr>
          <w:p w:rsidR="00000000" w:rsidRDefault="00000000">
            <w:pPr>
              <w:jc w:val="right"/>
              <w:rPr>
                <w:b/>
                <w:snapToGrid w:val="0"/>
                <w:sz w:val="18"/>
              </w:rPr>
            </w:pPr>
            <w:r>
              <w:rPr>
                <w:b/>
                <w:snapToGrid w:val="0"/>
                <w:sz w:val="18"/>
              </w:rPr>
              <w:t>30 406</w:t>
            </w:r>
          </w:p>
        </w:tc>
        <w:tc>
          <w:tcPr>
            <w:tcW w:w="999" w:type="dxa"/>
            <w:tcBorders>
              <w:top w:val="single" w:sz="4" w:space="0" w:color="auto"/>
            </w:tcBorders>
          </w:tcPr>
          <w:p w:rsidR="00000000" w:rsidRDefault="00000000">
            <w:pPr>
              <w:ind w:right="113"/>
              <w:jc w:val="right"/>
              <w:rPr>
                <w:b/>
                <w:snapToGrid w:val="0"/>
                <w:sz w:val="18"/>
              </w:rPr>
            </w:pPr>
            <w:r>
              <w:rPr>
                <w:b/>
                <w:snapToGrid w:val="0"/>
                <w:sz w:val="18"/>
              </w:rPr>
              <w:t>3 191</w:t>
            </w:r>
          </w:p>
        </w:tc>
        <w:tc>
          <w:tcPr>
            <w:tcW w:w="865" w:type="dxa"/>
            <w:tcBorders>
              <w:top w:val="single" w:sz="4" w:space="0" w:color="auto"/>
            </w:tcBorders>
          </w:tcPr>
          <w:p w:rsidR="00000000" w:rsidRDefault="00000000">
            <w:pPr>
              <w:ind w:right="57"/>
              <w:jc w:val="right"/>
              <w:rPr>
                <w:b/>
                <w:snapToGrid w:val="0"/>
                <w:sz w:val="18"/>
              </w:rPr>
            </w:pPr>
            <w:r>
              <w:rPr>
                <w:b/>
                <w:snapToGrid w:val="0"/>
                <w:sz w:val="18"/>
              </w:rPr>
              <w:t>24 503</w:t>
            </w:r>
          </w:p>
        </w:tc>
        <w:tc>
          <w:tcPr>
            <w:tcW w:w="992" w:type="dxa"/>
            <w:tcBorders>
              <w:top w:val="single" w:sz="4" w:space="0" w:color="auto"/>
            </w:tcBorders>
          </w:tcPr>
          <w:p w:rsidR="00000000" w:rsidRDefault="00000000">
            <w:pPr>
              <w:ind w:right="113"/>
              <w:jc w:val="right"/>
              <w:rPr>
                <w:b/>
                <w:snapToGrid w:val="0"/>
                <w:sz w:val="18"/>
              </w:rPr>
            </w:pPr>
            <w:r>
              <w:rPr>
                <w:b/>
                <w:snapToGrid w:val="0"/>
                <w:sz w:val="18"/>
              </w:rPr>
              <w:t>9 896</w:t>
            </w:r>
          </w:p>
        </w:tc>
        <w:tc>
          <w:tcPr>
            <w:tcW w:w="1134" w:type="dxa"/>
            <w:tcBorders>
              <w:top w:val="single" w:sz="4" w:space="0" w:color="auto"/>
            </w:tcBorders>
          </w:tcPr>
          <w:p w:rsidR="00000000" w:rsidRDefault="00000000">
            <w:pPr>
              <w:ind w:right="113"/>
              <w:jc w:val="right"/>
              <w:rPr>
                <w:b/>
                <w:snapToGrid w:val="0"/>
                <w:sz w:val="18"/>
              </w:rPr>
            </w:pPr>
            <w:r>
              <w:rPr>
                <w:b/>
                <w:snapToGrid w:val="0"/>
                <w:sz w:val="18"/>
              </w:rPr>
              <w:t>14 607</w:t>
            </w:r>
          </w:p>
        </w:tc>
        <w:tc>
          <w:tcPr>
            <w:tcW w:w="992" w:type="dxa"/>
            <w:tcBorders>
              <w:top w:val="single" w:sz="4" w:space="0" w:color="auto"/>
            </w:tcBorders>
          </w:tcPr>
          <w:p w:rsidR="00000000" w:rsidRDefault="00000000">
            <w:pPr>
              <w:ind w:right="113"/>
              <w:jc w:val="right"/>
              <w:rPr>
                <w:b/>
                <w:snapToGrid w:val="0"/>
                <w:sz w:val="18"/>
              </w:rPr>
            </w:pPr>
            <w:r>
              <w:rPr>
                <w:b/>
                <w:snapToGrid w:val="0"/>
                <w:sz w:val="18"/>
              </w:rPr>
              <w:t>2 168</w:t>
            </w:r>
          </w:p>
        </w:tc>
        <w:tc>
          <w:tcPr>
            <w:tcW w:w="710" w:type="dxa"/>
            <w:tcBorders>
              <w:top w:val="single" w:sz="4" w:space="0" w:color="auto"/>
            </w:tcBorders>
          </w:tcPr>
          <w:p w:rsidR="00000000" w:rsidRDefault="00000000">
            <w:pPr>
              <w:ind w:right="57"/>
              <w:jc w:val="right"/>
              <w:rPr>
                <w:b/>
                <w:snapToGrid w:val="0"/>
                <w:sz w:val="18"/>
              </w:rPr>
            </w:pPr>
            <w:r>
              <w:rPr>
                <w:b/>
                <w:snapToGrid w:val="0"/>
                <w:sz w:val="18"/>
              </w:rPr>
              <w:t>544</w:t>
            </w:r>
          </w:p>
        </w:tc>
      </w:tr>
      <w:tr w:rsidR="00000000">
        <w:tblPrEx>
          <w:tblCellMar>
            <w:top w:w="0" w:type="dxa"/>
            <w:bottom w:w="0" w:type="dxa"/>
          </w:tblCellMar>
        </w:tblPrEx>
        <w:trPr>
          <w:trHeight w:val="187"/>
          <w:jc w:val="center"/>
        </w:trPr>
        <w:tc>
          <w:tcPr>
            <w:tcW w:w="1892" w:type="dxa"/>
            <w:tcBorders>
              <w:bottom w:val="nil"/>
            </w:tcBorders>
          </w:tcPr>
          <w:p w:rsidR="00000000" w:rsidRDefault="00000000">
            <w:pPr>
              <w:rPr>
                <w:b/>
                <w:snapToGrid w:val="0"/>
                <w:sz w:val="18"/>
              </w:rPr>
            </w:pPr>
            <w:r>
              <w:rPr>
                <w:b/>
                <w:snapToGrid w:val="0"/>
                <w:sz w:val="18"/>
              </w:rPr>
              <w:t>Region</w:t>
            </w:r>
          </w:p>
        </w:tc>
        <w:tc>
          <w:tcPr>
            <w:tcW w:w="683" w:type="dxa"/>
            <w:tcBorders>
              <w:bottom w:val="nil"/>
            </w:tcBorders>
          </w:tcPr>
          <w:p w:rsidR="00000000" w:rsidRDefault="00000000">
            <w:pPr>
              <w:jc w:val="center"/>
              <w:rPr>
                <w:b/>
                <w:snapToGrid w:val="0"/>
                <w:sz w:val="18"/>
              </w:rPr>
            </w:pPr>
            <w:r>
              <w:rPr>
                <w:b/>
                <w:snapToGrid w:val="0"/>
                <w:sz w:val="18"/>
              </w:rPr>
              <w:t>1998</w:t>
            </w:r>
          </w:p>
        </w:tc>
        <w:tc>
          <w:tcPr>
            <w:tcW w:w="850" w:type="dxa"/>
            <w:tcBorders>
              <w:bottom w:val="nil"/>
            </w:tcBorders>
          </w:tcPr>
          <w:p w:rsidR="00000000" w:rsidRDefault="00000000">
            <w:pPr>
              <w:jc w:val="right"/>
              <w:rPr>
                <w:b/>
                <w:snapToGrid w:val="0"/>
                <w:sz w:val="18"/>
              </w:rPr>
            </w:pPr>
            <w:r>
              <w:rPr>
                <w:b/>
                <w:snapToGrid w:val="0"/>
                <w:sz w:val="18"/>
              </w:rPr>
              <w:t>27 121</w:t>
            </w:r>
          </w:p>
        </w:tc>
        <w:tc>
          <w:tcPr>
            <w:tcW w:w="999" w:type="dxa"/>
            <w:tcBorders>
              <w:bottom w:val="nil"/>
            </w:tcBorders>
          </w:tcPr>
          <w:p w:rsidR="00000000" w:rsidRDefault="00000000">
            <w:pPr>
              <w:ind w:right="113"/>
              <w:jc w:val="right"/>
              <w:rPr>
                <w:b/>
                <w:snapToGrid w:val="0"/>
                <w:sz w:val="18"/>
              </w:rPr>
            </w:pPr>
            <w:r>
              <w:rPr>
                <w:b/>
                <w:snapToGrid w:val="0"/>
                <w:sz w:val="18"/>
              </w:rPr>
              <w:t>3 255</w:t>
            </w:r>
          </w:p>
        </w:tc>
        <w:tc>
          <w:tcPr>
            <w:tcW w:w="865" w:type="dxa"/>
            <w:tcBorders>
              <w:bottom w:val="nil"/>
            </w:tcBorders>
          </w:tcPr>
          <w:p w:rsidR="00000000" w:rsidRDefault="00000000">
            <w:pPr>
              <w:ind w:right="57"/>
              <w:jc w:val="right"/>
              <w:rPr>
                <w:b/>
                <w:snapToGrid w:val="0"/>
                <w:sz w:val="18"/>
              </w:rPr>
            </w:pPr>
            <w:r>
              <w:rPr>
                <w:b/>
                <w:snapToGrid w:val="0"/>
                <w:sz w:val="18"/>
              </w:rPr>
              <w:t>21 099</w:t>
            </w:r>
          </w:p>
        </w:tc>
        <w:tc>
          <w:tcPr>
            <w:tcW w:w="992" w:type="dxa"/>
            <w:tcBorders>
              <w:bottom w:val="nil"/>
            </w:tcBorders>
          </w:tcPr>
          <w:p w:rsidR="00000000" w:rsidRDefault="00000000">
            <w:pPr>
              <w:ind w:right="113"/>
              <w:jc w:val="right"/>
              <w:rPr>
                <w:b/>
                <w:snapToGrid w:val="0"/>
                <w:sz w:val="18"/>
              </w:rPr>
            </w:pPr>
            <w:r>
              <w:rPr>
                <w:b/>
                <w:snapToGrid w:val="0"/>
                <w:sz w:val="18"/>
              </w:rPr>
              <w:t>8 375</w:t>
            </w:r>
          </w:p>
        </w:tc>
        <w:tc>
          <w:tcPr>
            <w:tcW w:w="1134" w:type="dxa"/>
            <w:tcBorders>
              <w:bottom w:val="nil"/>
            </w:tcBorders>
          </w:tcPr>
          <w:p w:rsidR="00000000" w:rsidRDefault="00000000">
            <w:pPr>
              <w:ind w:right="113"/>
              <w:jc w:val="right"/>
              <w:rPr>
                <w:b/>
                <w:snapToGrid w:val="0"/>
                <w:sz w:val="18"/>
              </w:rPr>
            </w:pPr>
            <w:r>
              <w:rPr>
                <w:b/>
                <w:snapToGrid w:val="0"/>
                <w:sz w:val="18"/>
              </w:rPr>
              <w:t>12 724</w:t>
            </w:r>
          </w:p>
        </w:tc>
        <w:tc>
          <w:tcPr>
            <w:tcW w:w="992" w:type="dxa"/>
            <w:tcBorders>
              <w:bottom w:val="nil"/>
            </w:tcBorders>
          </w:tcPr>
          <w:p w:rsidR="00000000" w:rsidRDefault="00000000">
            <w:pPr>
              <w:ind w:right="113"/>
              <w:jc w:val="right"/>
              <w:rPr>
                <w:b/>
                <w:snapToGrid w:val="0"/>
                <w:sz w:val="18"/>
              </w:rPr>
            </w:pPr>
            <w:r>
              <w:rPr>
                <w:b/>
                <w:snapToGrid w:val="0"/>
                <w:sz w:val="18"/>
              </w:rPr>
              <w:t>2 142</w:t>
            </w:r>
          </w:p>
        </w:tc>
        <w:tc>
          <w:tcPr>
            <w:tcW w:w="710" w:type="dxa"/>
            <w:tcBorders>
              <w:bottom w:val="nil"/>
            </w:tcBorders>
          </w:tcPr>
          <w:p w:rsidR="00000000" w:rsidRDefault="00000000">
            <w:pPr>
              <w:ind w:right="57"/>
              <w:jc w:val="right"/>
              <w:rPr>
                <w:b/>
                <w:snapToGrid w:val="0"/>
                <w:sz w:val="18"/>
              </w:rPr>
            </w:pPr>
            <w:r>
              <w:rPr>
                <w:b/>
                <w:snapToGrid w:val="0"/>
                <w:sz w:val="18"/>
              </w:rPr>
              <w:t>625</w:t>
            </w:r>
          </w:p>
        </w:tc>
      </w:tr>
      <w:tr w:rsidR="00000000">
        <w:tblPrEx>
          <w:tblCellMar>
            <w:top w:w="0" w:type="dxa"/>
            <w:bottom w:w="0" w:type="dxa"/>
          </w:tblCellMar>
        </w:tblPrEx>
        <w:trPr>
          <w:trHeight w:val="187"/>
          <w:jc w:val="center"/>
        </w:trPr>
        <w:tc>
          <w:tcPr>
            <w:tcW w:w="1892" w:type="dxa"/>
            <w:tcBorders>
              <w:top w:val="nil"/>
              <w:bottom w:val="single" w:sz="4" w:space="0" w:color="auto"/>
            </w:tcBorders>
          </w:tcPr>
          <w:p w:rsidR="00000000" w:rsidRDefault="00000000">
            <w:pPr>
              <w:rPr>
                <w:b/>
                <w:snapToGrid w:val="0"/>
                <w:sz w:val="18"/>
              </w:rPr>
            </w:pPr>
          </w:p>
        </w:tc>
        <w:tc>
          <w:tcPr>
            <w:tcW w:w="683" w:type="dxa"/>
            <w:tcBorders>
              <w:top w:val="nil"/>
              <w:bottom w:val="single" w:sz="4" w:space="0" w:color="auto"/>
            </w:tcBorders>
          </w:tcPr>
          <w:p w:rsidR="00000000" w:rsidRDefault="00000000">
            <w:pPr>
              <w:jc w:val="center"/>
              <w:rPr>
                <w:b/>
                <w:snapToGrid w:val="0"/>
                <w:sz w:val="18"/>
              </w:rPr>
            </w:pPr>
            <w:r>
              <w:rPr>
                <w:b/>
                <w:snapToGrid w:val="0"/>
                <w:sz w:val="18"/>
              </w:rPr>
              <w:t>1999</w:t>
            </w:r>
          </w:p>
        </w:tc>
        <w:tc>
          <w:tcPr>
            <w:tcW w:w="850" w:type="dxa"/>
            <w:tcBorders>
              <w:top w:val="nil"/>
              <w:bottom w:val="single" w:sz="4" w:space="0" w:color="auto"/>
            </w:tcBorders>
          </w:tcPr>
          <w:p w:rsidR="00000000" w:rsidRDefault="00000000">
            <w:pPr>
              <w:jc w:val="right"/>
              <w:rPr>
                <w:b/>
                <w:snapToGrid w:val="0"/>
                <w:sz w:val="18"/>
              </w:rPr>
            </w:pPr>
            <w:r>
              <w:rPr>
                <w:b/>
                <w:snapToGrid w:val="0"/>
                <w:sz w:val="18"/>
              </w:rPr>
              <w:t>25 231</w:t>
            </w:r>
          </w:p>
        </w:tc>
        <w:tc>
          <w:tcPr>
            <w:tcW w:w="999" w:type="dxa"/>
            <w:tcBorders>
              <w:top w:val="nil"/>
              <w:bottom w:val="single" w:sz="4" w:space="0" w:color="auto"/>
            </w:tcBorders>
          </w:tcPr>
          <w:p w:rsidR="00000000" w:rsidRDefault="00000000">
            <w:pPr>
              <w:ind w:right="113"/>
              <w:jc w:val="right"/>
              <w:rPr>
                <w:b/>
                <w:snapToGrid w:val="0"/>
                <w:sz w:val="18"/>
              </w:rPr>
            </w:pPr>
            <w:r>
              <w:rPr>
                <w:b/>
                <w:snapToGrid w:val="0"/>
                <w:sz w:val="18"/>
              </w:rPr>
              <w:t>3 049</w:t>
            </w:r>
          </w:p>
        </w:tc>
        <w:tc>
          <w:tcPr>
            <w:tcW w:w="865" w:type="dxa"/>
            <w:tcBorders>
              <w:top w:val="nil"/>
              <w:bottom w:val="single" w:sz="4" w:space="0" w:color="auto"/>
            </w:tcBorders>
          </w:tcPr>
          <w:p w:rsidR="00000000" w:rsidRDefault="00000000">
            <w:pPr>
              <w:ind w:right="57"/>
              <w:jc w:val="right"/>
              <w:rPr>
                <w:b/>
                <w:snapToGrid w:val="0"/>
                <w:sz w:val="18"/>
              </w:rPr>
            </w:pPr>
            <w:r>
              <w:rPr>
                <w:b/>
                <w:snapToGrid w:val="0"/>
                <w:sz w:val="18"/>
              </w:rPr>
              <w:t>19 099</w:t>
            </w:r>
          </w:p>
        </w:tc>
        <w:tc>
          <w:tcPr>
            <w:tcW w:w="992" w:type="dxa"/>
            <w:tcBorders>
              <w:top w:val="nil"/>
              <w:bottom w:val="single" w:sz="4" w:space="0" w:color="auto"/>
            </w:tcBorders>
          </w:tcPr>
          <w:p w:rsidR="00000000" w:rsidRDefault="00000000">
            <w:pPr>
              <w:ind w:right="113"/>
              <w:jc w:val="right"/>
              <w:rPr>
                <w:b/>
                <w:snapToGrid w:val="0"/>
                <w:sz w:val="18"/>
              </w:rPr>
            </w:pPr>
            <w:r>
              <w:rPr>
                <w:b/>
                <w:snapToGrid w:val="0"/>
                <w:sz w:val="18"/>
              </w:rPr>
              <w:t>7 740</w:t>
            </w:r>
          </w:p>
        </w:tc>
        <w:tc>
          <w:tcPr>
            <w:tcW w:w="1134" w:type="dxa"/>
            <w:tcBorders>
              <w:top w:val="nil"/>
              <w:bottom w:val="single" w:sz="4" w:space="0" w:color="auto"/>
            </w:tcBorders>
          </w:tcPr>
          <w:p w:rsidR="00000000" w:rsidRDefault="00000000">
            <w:pPr>
              <w:ind w:right="113"/>
              <w:jc w:val="right"/>
              <w:rPr>
                <w:b/>
                <w:snapToGrid w:val="0"/>
                <w:sz w:val="18"/>
              </w:rPr>
            </w:pPr>
            <w:r>
              <w:rPr>
                <w:b/>
                <w:snapToGrid w:val="0"/>
                <w:sz w:val="18"/>
              </w:rPr>
              <w:t>11 359</w:t>
            </w:r>
          </w:p>
        </w:tc>
        <w:tc>
          <w:tcPr>
            <w:tcW w:w="992" w:type="dxa"/>
            <w:tcBorders>
              <w:top w:val="nil"/>
              <w:bottom w:val="single" w:sz="4" w:space="0" w:color="auto"/>
            </w:tcBorders>
          </w:tcPr>
          <w:p w:rsidR="00000000" w:rsidRDefault="00000000">
            <w:pPr>
              <w:ind w:right="113"/>
              <w:jc w:val="right"/>
              <w:rPr>
                <w:b/>
                <w:snapToGrid w:val="0"/>
                <w:sz w:val="18"/>
              </w:rPr>
            </w:pPr>
            <w:r>
              <w:rPr>
                <w:b/>
                <w:snapToGrid w:val="0"/>
                <w:sz w:val="18"/>
              </w:rPr>
              <w:t>2 533</w:t>
            </w:r>
          </w:p>
        </w:tc>
        <w:tc>
          <w:tcPr>
            <w:tcW w:w="710" w:type="dxa"/>
            <w:tcBorders>
              <w:top w:val="nil"/>
              <w:bottom w:val="single" w:sz="4" w:space="0" w:color="auto"/>
            </w:tcBorders>
          </w:tcPr>
          <w:p w:rsidR="00000000" w:rsidRDefault="00000000">
            <w:pPr>
              <w:ind w:right="57"/>
              <w:jc w:val="right"/>
              <w:rPr>
                <w:b/>
                <w:snapToGrid w:val="0"/>
                <w:sz w:val="18"/>
              </w:rPr>
            </w:pPr>
            <w:r>
              <w:rPr>
                <w:b/>
                <w:snapToGrid w:val="0"/>
                <w:sz w:val="18"/>
              </w:rPr>
              <w:t>550</w:t>
            </w:r>
          </w:p>
        </w:tc>
      </w:tr>
      <w:tr w:rsidR="00000000">
        <w:tblPrEx>
          <w:tblCellMar>
            <w:top w:w="0" w:type="dxa"/>
            <w:bottom w:w="0" w:type="dxa"/>
          </w:tblCellMar>
        </w:tblPrEx>
        <w:trPr>
          <w:trHeight w:val="187"/>
          <w:jc w:val="center"/>
        </w:trPr>
        <w:tc>
          <w:tcPr>
            <w:tcW w:w="1892" w:type="dxa"/>
            <w:tcBorders>
              <w:top w:val="single" w:sz="4" w:space="0" w:color="auto"/>
            </w:tcBorders>
          </w:tcPr>
          <w:p w:rsidR="00000000" w:rsidRDefault="00000000">
            <w:pPr>
              <w:rPr>
                <w:snapToGrid w:val="0"/>
                <w:sz w:val="18"/>
              </w:rPr>
            </w:pPr>
          </w:p>
        </w:tc>
        <w:tc>
          <w:tcPr>
            <w:tcW w:w="683" w:type="dxa"/>
            <w:tcBorders>
              <w:top w:val="single" w:sz="4" w:space="0" w:color="auto"/>
            </w:tcBorders>
          </w:tcPr>
          <w:p w:rsidR="00000000" w:rsidRDefault="00000000">
            <w:pPr>
              <w:jc w:val="center"/>
              <w:rPr>
                <w:snapToGrid w:val="0"/>
                <w:sz w:val="18"/>
              </w:rPr>
            </w:pPr>
            <w:r>
              <w:rPr>
                <w:snapToGrid w:val="0"/>
                <w:sz w:val="18"/>
              </w:rPr>
              <w:t>1997</w:t>
            </w:r>
          </w:p>
        </w:tc>
        <w:tc>
          <w:tcPr>
            <w:tcW w:w="850" w:type="dxa"/>
            <w:tcBorders>
              <w:top w:val="single" w:sz="4" w:space="0" w:color="auto"/>
            </w:tcBorders>
          </w:tcPr>
          <w:p w:rsidR="00000000" w:rsidRDefault="00000000">
            <w:pPr>
              <w:jc w:val="right"/>
              <w:rPr>
                <w:snapToGrid w:val="0"/>
                <w:sz w:val="18"/>
              </w:rPr>
            </w:pPr>
            <w:r>
              <w:rPr>
                <w:snapToGrid w:val="0"/>
                <w:sz w:val="18"/>
              </w:rPr>
              <w:t>600</w:t>
            </w:r>
          </w:p>
        </w:tc>
        <w:tc>
          <w:tcPr>
            <w:tcW w:w="999" w:type="dxa"/>
            <w:tcBorders>
              <w:top w:val="single" w:sz="4" w:space="0" w:color="auto"/>
            </w:tcBorders>
          </w:tcPr>
          <w:p w:rsidR="00000000" w:rsidRDefault="00000000">
            <w:pPr>
              <w:ind w:right="113"/>
              <w:jc w:val="right"/>
              <w:rPr>
                <w:snapToGrid w:val="0"/>
                <w:sz w:val="18"/>
              </w:rPr>
            </w:pPr>
            <w:r>
              <w:rPr>
                <w:snapToGrid w:val="0"/>
                <w:sz w:val="18"/>
              </w:rPr>
              <w:t>9</w:t>
            </w:r>
          </w:p>
        </w:tc>
        <w:tc>
          <w:tcPr>
            <w:tcW w:w="865" w:type="dxa"/>
            <w:tcBorders>
              <w:top w:val="single" w:sz="4" w:space="0" w:color="auto"/>
            </w:tcBorders>
          </w:tcPr>
          <w:p w:rsidR="00000000" w:rsidRDefault="00000000">
            <w:pPr>
              <w:ind w:right="57"/>
              <w:jc w:val="right"/>
              <w:rPr>
                <w:snapToGrid w:val="0"/>
                <w:sz w:val="18"/>
              </w:rPr>
            </w:pPr>
            <w:r>
              <w:rPr>
                <w:snapToGrid w:val="0"/>
                <w:sz w:val="18"/>
              </w:rPr>
              <w:t>527</w:t>
            </w:r>
          </w:p>
        </w:tc>
        <w:tc>
          <w:tcPr>
            <w:tcW w:w="992" w:type="dxa"/>
            <w:tcBorders>
              <w:top w:val="single" w:sz="4" w:space="0" w:color="auto"/>
            </w:tcBorders>
          </w:tcPr>
          <w:p w:rsidR="00000000" w:rsidRDefault="00000000">
            <w:pPr>
              <w:ind w:right="113"/>
              <w:jc w:val="right"/>
              <w:rPr>
                <w:snapToGrid w:val="0"/>
                <w:sz w:val="18"/>
              </w:rPr>
            </w:pPr>
            <w:r>
              <w:rPr>
                <w:snapToGrid w:val="0"/>
                <w:sz w:val="18"/>
              </w:rPr>
              <w:t>32</w:t>
            </w:r>
          </w:p>
        </w:tc>
        <w:tc>
          <w:tcPr>
            <w:tcW w:w="1134" w:type="dxa"/>
            <w:tcBorders>
              <w:top w:val="single" w:sz="4" w:space="0" w:color="auto"/>
            </w:tcBorders>
          </w:tcPr>
          <w:p w:rsidR="00000000" w:rsidRDefault="00000000">
            <w:pPr>
              <w:ind w:right="113"/>
              <w:jc w:val="right"/>
              <w:rPr>
                <w:snapToGrid w:val="0"/>
                <w:sz w:val="18"/>
              </w:rPr>
            </w:pPr>
            <w:r>
              <w:rPr>
                <w:snapToGrid w:val="0"/>
                <w:sz w:val="18"/>
              </w:rPr>
              <w:t>495</w:t>
            </w:r>
          </w:p>
        </w:tc>
        <w:tc>
          <w:tcPr>
            <w:tcW w:w="992" w:type="dxa"/>
            <w:tcBorders>
              <w:top w:val="single" w:sz="4" w:space="0" w:color="auto"/>
            </w:tcBorders>
          </w:tcPr>
          <w:p w:rsidR="00000000" w:rsidRDefault="00000000">
            <w:pPr>
              <w:ind w:right="113"/>
              <w:jc w:val="right"/>
              <w:rPr>
                <w:snapToGrid w:val="0"/>
                <w:sz w:val="18"/>
              </w:rPr>
            </w:pPr>
            <w:r>
              <w:rPr>
                <w:snapToGrid w:val="0"/>
                <w:sz w:val="18"/>
              </w:rPr>
              <w:t>42</w:t>
            </w:r>
          </w:p>
        </w:tc>
        <w:tc>
          <w:tcPr>
            <w:tcW w:w="710" w:type="dxa"/>
            <w:tcBorders>
              <w:top w:val="single" w:sz="4" w:space="0" w:color="auto"/>
            </w:tcBorders>
          </w:tcPr>
          <w:p w:rsidR="00000000" w:rsidRDefault="00000000">
            <w:pPr>
              <w:ind w:right="57"/>
              <w:jc w:val="right"/>
              <w:rPr>
                <w:snapToGrid w:val="0"/>
                <w:sz w:val="18"/>
              </w:rPr>
            </w:pPr>
            <w:r>
              <w:rPr>
                <w:snapToGrid w:val="0"/>
                <w:sz w:val="18"/>
              </w:rPr>
              <w:t>22</w:t>
            </w:r>
          </w:p>
        </w:tc>
      </w:tr>
      <w:tr w:rsidR="00000000">
        <w:tblPrEx>
          <w:tblCellMar>
            <w:top w:w="0" w:type="dxa"/>
            <w:bottom w:w="0" w:type="dxa"/>
          </w:tblCellMar>
        </w:tblPrEx>
        <w:trPr>
          <w:trHeight w:val="187"/>
          <w:jc w:val="center"/>
        </w:trPr>
        <w:tc>
          <w:tcPr>
            <w:tcW w:w="1892" w:type="dxa"/>
            <w:tcBorders>
              <w:bottom w:val="nil"/>
            </w:tcBorders>
          </w:tcPr>
          <w:p w:rsidR="00000000" w:rsidRDefault="00000000">
            <w:pPr>
              <w:rPr>
                <w:snapToGrid w:val="0"/>
                <w:sz w:val="18"/>
              </w:rPr>
            </w:pPr>
            <w:r>
              <w:rPr>
                <w:snapToGrid w:val="0"/>
                <w:sz w:val="18"/>
              </w:rPr>
              <w:t>Maranhão</w:t>
            </w:r>
          </w:p>
        </w:tc>
        <w:tc>
          <w:tcPr>
            <w:tcW w:w="683" w:type="dxa"/>
            <w:tcBorders>
              <w:bottom w:val="nil"/>
            </w:tcBorders>
          </w:tcPr>
          <w:p w:rsidR="00000000" w:rsidRDefault="00000000">
            <w:pPr>
              <w:jc w:val="center"/>
              <w:rPr>
                <w:snapToGrid w:val="0"/>
                <w:sz w:val="18"/>
              </w:rPr>
            </w:pPr>
            <w:r>
              <w:rPr>
                <w:snapToGrid w:val="0"/>
                <w:sz w:val="18"/>
              </w:rPr>
              <w:t>1998</w:t>
            </w:r>
          </w:p>
        </w:tc>
        <w:tc>
          <w:tcPr>
            <w:tcW w:w="850" w:type="dxa"/>
            <w:tcBorders>
              <w:bottom w:val="nil"/>
            </w:tcBorders>
          </w:tcPr>
          <w:p w:rsidR="00000000" w:rsidRDefault="00000000">
            <w:pPr>
              <w:jc w:val="right"/>
              <w:rPr>
                <w:snapToGrid w:val="0"/>
                <w:sz w:val="18"/>
              </w:rPr>
            </w:pPr>
            <w:r>
              <w:rPr>
                <w:snapToGrid w:val="0"/>
                <w:sz w:val="18"/>
              </w:rPr>
              <w:t>614</w:t>
            </w:r>
          </w:p>
        </w:tc>
        <w:tc>
          <w:tcPr>
            <w:tcW w:w="999" w:type="dxa"/>
            <w:tcBorders>
              <w:bottom w:val="nil"/>
            </w:tcBorders>
          </w:tcPr>
          <w:p w:rsidR="00000000" w:rsidRDefault="00000000">
            <w:pPr>
              <w:ind w:right="113"/>
              <w:jc w:val="right"/>
              <w:rPr>
                <w:snapToGrid w:val="0"/>
                <w:sz w:val="18"/>
              </w:rPr>
            </w:pPr>
            <w:r>
              <w:rPr>
                <w:snapToGrid w:val="0"/>
                <w:sz w:val="18"/>
              </w:rPr>
              <w:t>6</w:t>
            </w:r>
          </w:p>
        </w:tc>
        <w:tc>
          <w:tcPr>
            <w:tcW w:w="865" w:type="dxa"/>
            <w:tcBorders>
              <w:bottom w:val="nil"/>
            </w:tcBorders>
          </w:tcPr>
          <w:p w:rsidR="00000000" w:rsidRDefault="00000000">
            <w:pPr>
              <w:ind w:right="57"/>
              <w:jc w:val="right"/>
              <w:rPr>
                <w:snapToGrid w:val="0"/>
                <w:sz w:val="18"/>
              </w:rPr>
            </w:pPr>
            <w:r>
              <w:rPr>
                <w:snapToGrid w:val="0"/>
                <w:sz w:val="18"/>
              </w:rPr>
              <w:t>513</w:t>
            </w:r>
          </w:p>
        </w:tc>
        <w:tc>
          <w:tcPr>
            <w:tcW w:w="992" w:type="dxa"/>
            <w:tcBorders>
              <w:bottom w:val="nil"/>
            </w:tcBorders>
          </w:tcPr>
          <w:p w:rsidR="00000000" w:rsidRDefault="00000000">
            <w:pPr>
              <w:ind w:right="113"/>
              <w:jc w:val="right"/>
              <w:rPr>
                <w:snapToGrid w:val="0"/>
                <w:sz w:val="18"/>
              </w:rPr>
            </w:pPr>
            <w:r>
              <w:rPr>
                <w:snapToGrid w:val="0"/>
                <w:sz w:val="18"/>
              </w:rPr>
              <w:t>45</w:t>
            </w:r>
          </w:p>
        </w:tc>
        <w:tc>
          <w:tcPr>
            <w:tcW w:w="1134" w:type="dxa"/>
            <w:tcBorders>
              <w:bottom w:val="nil"/>
            </w:tcBorders>
          </w:tcPr>
          <w:p w:rsidR="00000000" w:rsidRDefault="00000000">
            <w:pPr>
              <w:ind w:right="113"/>
              <w:jc w:val="right"/>
              <w:rPr>
                <w:snapToGrid w:val="0"/>
                <w:sz w:val="18"/>
              </w:rPr>
            </w:pPr>
            <w:r>
              <w:rPr>
                <w:snapToGrid w:val="0"/>
                <w:sz w:val="18"/>
              </w:rPr>
              <w:t>468</w:t>
            </w:r>
          </w:p>
        </w:tc>
        <w:tc>
          <w:tcPr>
            <w:tcW w:w="992" w:type="dxa"/>
            <w:tcBorders>
              <w:bottom w:val="nil"/>
            </w:tcBorders>
          </w:tcPr>
          <w:p w:rsidR="00000000" w:rsidRDefault="00000000">
            <w:pPr>
              <w:ind w:right="113"/>
              <w:jc w:val="right"/>
              <w:rPr>
                <w:snapToGrid w:val="0"/>
                <w:sz w:val="18"/>
              </w:rPr>
            </w:pPr>
            <w:r>
              <w:rPr>
                <w:snapToGrid w:val="0"/>
                <w:sz w:val="18"/>
              </w:rPr>
              <w:t>56</w:t>
            </w:r>
          </w:p>
        </w:tc>
        <w:tc>
          <w:tcPr>
            <w:tcW w:w="710" w:type="dxa"/>
            <w:tcBorders>
              <w:bottom w:val="nil"/>
            </w:tcBorders>
          </w:tcPr>
          <w:p w:rsidR="00000000" w:rsidRDefault="00000000">
            <w:pPr>
              <w:ind w:right="57"/>
              <w:jc w:val="right"/>
              <w:rPr>
                <w:snapToGrid w:val="0"/>
                <w:sz w:val="18"/>
              </w:rPr>
            </w:pPr>
            <w:r>
              <w:rPr>
                <w:snapToGrid w:val="0"/>
                <w:sz w:val="18"/>
              </w:rPr>
              <w:t>39</w:t>
            </w:r>
          </w:p>
        </w:tc>
      </w:tr>
      <w:tr w:rsidR="00000000">
        <w:tblPrEx>
          <w:tblCellMar>
            <w:top w:w="0" w:type="dxa"/>
            <w:bottom w:w="0" w:type="dxa"/>
          </w:tblCellMar>
        </w:tblPrEx>
        <w:trPr>
          <w:trHeight w:val="187"/>
          <w:jc w:val="center"/>
        </w:trPr>
        <w:tc>
          <w:tcPr>
            <w:tcW w:w="1892" w:type="dxa"/>
            <w:tcBorders>
              <w:top w:val="nil"/>
              <w:bottom w:val="single" w:sz="4" w:space="0" w:color="auto"/>
            </w:tcBorders>
          </w:tcPr>
          <w:p w:rsidR="00000000" w:rsidRDefault="00000000">
            <w:pPr>
              <w:rPr>
                <w:snapToGrid w:val="0"/>
                <w:sz w:val="18"/>
              </w:rPr>
            </w:pPr>
          </w:p>
        </w:tc>
        <w:tc>
          <w:tcPr>
            <w:tcW w:w="683" w:type="dxa"/>
            <w:tcBorders>
              <w:top w:val="nil"/>
              <w:bottom w:val="single" w:sz="4" w:space="0" w:color="auto"/>
            </w:tcBorders>
          </w:tcPr>
          <w:p w:rsidR="00000000" w:rsidRDefault="00000000">
            <w:pPr>
              <w:jc w:val="center"/>
              <w:rPr>
                <w:snapToGrid w:val="0"/>
                <w:sz w:val="18"/>
              </w:rPr>
            </w:pPr>
            <w:r>
              <w:rPr>
                <w:snapToGrid w:val="0"/>
                <w:sz w:val="18"/>
              </w:rPr>
              <w:t>1999</w:t>
            </w:r>
          </w:p>
        </w:tc>
        <w:tc>
          <w:tcPr>
            <w:tcW w:w="850" w:type="dxa"/>
            <w:tcBorders>
              <w:top w:val="nil"/>
              <w:bottom w:val="single" w:sz="4" w:space="0" w:color="auto"/>
            </w:tcBorders>
          </w:tcPr>
          <w:p w:rsidR="00000000" w:rsidRDefault="00000000">
            <w:pPr>
              <w:jc w:val="right"/>
              <w:rPr>
                <w:snapToGrid w:val="0"/>
                <w:sz w:val="18"/>
              </w:rPr>
            </w:pPr>
            <w:r>
              <w:rPr>
                <w:snapToGrid w:val="0"/>
                <w:sz w:val="18"/>
              </w:rPr>
              <w:t>554</w:t>
            </w:r>
          </w:p>
        </w:tc>
        <w:tc>
          <w:tcPr>
            <w:tcW w:w="999" w:type="dxa"/>
            <w:tcBorders>
              <w:top w:val="nil"/>
              <w:bottom w:val="single" w:sz="4" w:space="0" w:color="auto"/>
            </w:tcBorders>
          </w:tcPr>
          <w:p w:rsidR="00000000" w:rsidRDefault="00000000">
            <w:pPr>
              <w:ind w:right="113"/>
              <w:jc w:val="right"/>
              <w:rPr>
                <w:snapToGrid w:val="0"/>
                <w:sz w:val="18"/>
              </w:rPr>
            </w:pPr>
            <w:r>
              <w:rPr>
                <w:snapToGrid w:val="0"/>
                <w:sz w:val="18"/>
              </w:rPr>
              <w:t>8</w:t>
            </w:r>
          </w:p>
        </w:tc>
        <w:tc>
          <w:tcPr>
            <w:tcW w:w="865" w:type="dxa"/>
            <w:tcBorders>
              <w:top w:val="nil"/>
              <w:bottom w:val="single" w:sz="4" w:space="0" w:color="auto"/>
            </w:tcBorders>
          </w:tcPr>
          <w:p w:rsidR="00000000" w:rsidRDefault="00000000">
            <w:pPr>
              <w:ind w:right="57"/>
              <w:jc w:val="right"/>
              <w:rPr>
                <w:snapToGrid w:val="0"/>
                <w:sz w:val="18"/>
              </w:rPr>
            </w:pPr>
            <w:r>
              <w:rPr>
                <w:snapToGrid w:val="0"/>
                <w:sz w:val="18"/>
              </w:rPr>
              <w:t>391</w:t>
            </w:r>
          </w:p>
        </w:tc>
        <w:tc>
          <w:tcPr>
            <w:tcW w:w="992" w:type="dxa"/>
            <w:tcBorders>
              <w:top w:val="nil"/>
              <w:bottom w:val="single" w:sz="4" w:space="0" w:color="auto"/>
            </w:tcBorders>
          </w:tcPr>
          <w:p w:rsidR="00000000" w:rsidRDefault="00000000">
            <w:pPr>
              <w:ind w:right="113"/>
              <w:jc w:val="right"/>
              <w:rPr>
                <w:snapToGrid w:val="0"/>
                <w:sz w:val="18"/>
              </w:rPr>
            </w:pPr>
            <w:r>
              <w:rPr>
                <w:snapToGrid w:val="0"/>
                <w:sz w:val="18"/>
              </w:rPr>
              <w:t>26</w:t>
            </w:r>
          </w:p>
        </w:tc>
        <w:tc>
          <w:tcPr>
            <w:tcW w:w="1134" w:type="dxa"/>
            <w:tcBorders>
              <w:top w:val="nil"/>
              <w:bottom w:val="single" w:sz="4" w:space="0" w:color="auto"/>
            </w:tcBorders>
          </w:tcPr>
          <w:p w:rsidR="00000000" w:rsidRDefault="00000000">
            <w:pPr>
              <w:ind w:right="113"/>
              <w:jc w:val="right"/>
              <w:rPr>
                <w:snapToGrid w:val="0"/>
                <w:sz w:val="18"/>
              </w:rPr>
            </w:pPr>
            <w:r>
              <w:rPr>
                <w:snapToGrid w:val="0"/>
                <w:sz w:val="18"/>
              </w:rPr>
              <w:t>365</w:t>
            </w:r>
          </w:p>
        </w:tc>
        <w:tc>
          <w:tcPr>
            <w:tcW w:w="992" w:type="dxa"/>
            <w:tcBorders>
              <w:top w:val="nil"/>
              <w:bottom w:val="single" w:sz="4" w:space="0" w:color="auto"/>
            </w:tcBorders>
          </w:tcPr>
          <w:p w:rsidR="00000000" w:rsidRDefault="00000000">
            <w:pPr>
              <w:ind w:right="113"/>
              <w:jc w:val="right"/>
              <w:rPr>
                <w:snapToGrid w:val="0"/>
                <w:sz w:val="18"/>
              </w:rPr>
            </w:pPr>
            <w:r>
              <w:rPr>
                <w:snapToGrid w:val="0"/>
                <w:sz w:val="18"/>
              </w:rPr>
              <w:t>125</w:t>
            </w:r>
          </w:p>
        </w:tc>
        <w:tc>
          <w:tcPr>
            <w:tcW w:w="710" w:type="dxa"/>
            <w:tcBorders>
              <w:top w:val="nil"/>
              <w:bottom w:val="single" w:sz="4" w:space="0" w:color="auto"/>
            </w:tcBorders>
          </w:tcPr>
          <w:p w:rsidR="00000000" w:rsidRDefault="00000000">
            <w:pPr>
              <w:ind w:right="57"/>
              <w:jc w:val="right"/>
              <w:rPr>
                <w:snapToGrid w:val="0"/>
                <w:sz w:val="18"/>
              </w:rPr>
            </w:pPr>
            <w:r>
              <w:rPr>
                <w:snapToGrid w:val="0"/>
                <w:sz w:val="18"/>
              </w:rPr>
              <w:t>30</w:t>
            </w:r>
          </w:p>
        </w:tc>
      </w:tr>
      <w:tr w:rsidR="00000000">
        <w:tblPrEx>
          <w:tblCellMar>
            <w:top w:w="0" w:type="dxa"/>
            <w:bottom w:w="0" w:type="dxa"/>
          </w:tblCellMar>
        </w:tblPrEx>
        <w:trPr>
          <w:trHeight w:val="192"/>
          <w:jc w:val="center"/>
        </w:trPr>
        <w:tc>
          <w:tcPr>
            <w:tcW w:w="1892" w:type="dxa"/>
            <w:tcBorders>
              <w:top w:val="single" w:sz="4" w:space="0" w:color="auto"/>
            </w:tcBorders>
          </w:tcPr>
          <w:p w:rsidR="00000000" w:rsidRDefault="00000000">
            <w:pPr>
              <w:rPr>
                <w:snapToGrid w:val="0"/>
                <w:sz w:val="18"/>
              </w:rPr>
            </w:pPr>
          </w:p>
        </w:tc>
        <w:tc>
          <w:tcPr>
            <w:tcW w:w="683" w:type="dxa"/>
            <w:tcBorders>
              <w:top w:val="single" w:sz="4" w:space="0" w:color="auto"/>
            </w:tcBorders>
          </w:tcPr>
          <w:p w:rsidR="00000000" w:rsidRDefault="00000000">
            <w:pPr>
              <w:jc w:val="center"/>
              <w:rPr>
                <w:snapToGrid w:val="0"/>
                <w:sz w:val="18"/>
              </w:rPr>
            </w:pPr>
            <w:r>
              <w:rPr>
                <w:snapToGrid w:val="0"/>
                <w:sz w:val="18"/>
              </w:rPr>
              <w:t>1997</w:t>
            </w:r>
          </w:p>
        </w:tc>
        <w:tc>
          <w:tcPr>
            <w:tcW w:w="850" w:type="dxa"/>
            <w:tcBorders>
              <w:top w:val="single" w:sz="4" w:space="0" w:color="auto"/>
            </w:tcBorders>
          </w:tcPr>
          <w:p w:rsidR="00000000" w:rsidRDefault="00000000">
            <w:pPr>
              <w:jc w:val="right"/>
              <w:rPr>
                <w:snapToGrid w:val="0"/>
                <w:sz w:val="18"/>
              </w:rPr>
            </w:pPr>
            <w:r>
              <w:rPr>
                <w:snapToGrid w:val="0"/>
                <w:sz w:val="18"/>
              </w:rPr>
              <w:t>357</w:t>
            </w:r>
          </w:p>
        </w:tc>
        <w:tc>
          <w:tcPr>
            <w:tcW w:w="999" w:type="dxa"/>
            <w:tcBorders>
              <w:top w:val="single" w:sz="4" w:space="0" w:color="auto"/>
            </w:tcBorders>
          </w:tcPr>
          <w:p w:rsidR="00000000" w:rsidRDefault="00000000">
            <w:pPr>
              <w:ind w:right="113"/>
              <w:jc w:val="right"/>
              <w:rPr>
                <w:snapToGrid w:val="0"/>
                <w:sz w:val="18"/>
              </w:rPr>
            </w:pPr>
            <w:r>
              <w:rPr>
                <w:snapToGrid w:val="0"/>
                <w:sz w:val="18"/>
              </w:rPr>
              <w:t>1</w:t>
            </w:r>
          </w:p>
        </w:tc>
        <w:tc>
          <w:tcPr>
            <w:tcW w:w="865" w:type="dxa"/>
            <w:tcBorders>
              <w:top w:val="single" w:sz="4" w:space="0" w:color="auto"/>
            </w:tcBorders>
          </w:tcPr>
          <w:p w:rsidR="00000000" w:rsidRDefault="00000000">
            <w:pPr>
              <w:ind w:right="57"/>
              <w:jc w:val="right"/>
              <w:rPr>
                <w:snapToGrid w:val="0"/>
                <w:sz w:val="18"/>
              </w:rPr>
            </w:pPr>
            <w:r>
              <w:rPr>
                <w:snapToGrid w:val="0"/>
                <w:sz w:val="18"/>
              </w:rPr>
              <w:t>316</w:t>
            </w:r>
          </w:p>
        </w:tc>
        <w:tc>
          <w:tcPr>
            <w:tcW w:w="992" w:type="dxa"/>
            <w:tcBorders>
              <w:top w:val="single" w:sz="4" w:space="0" w:color="auto"/>
            </w:tcBorders>
          </w:tcPr>
          <w:p w:rsidR="00000000" w:rsidRDefault="00000000">
            <w:pPr>
              <w:ind w:right="113"/>
              <w:jc w:val="right"/>
              <w:rPr>
                <w:snapToGrid w:val="0"/>
                <w:sz w:val="18"/>
              </w:rPr>
            </w:pPr>
            <w:r>
              <w:rPr>
                <w:snapToGrid w:val="0"/>
                <w:sz w:val="18"/>
              </w:rPr>
              <w:t>25</w:t>
            </w:r>
          </w:p>
        </w:tc>
        <w:tc>
          <w:tcPr>
            <w:tcW w:w="1134" w:type="dxa"/>
            <w:tcBorders>
              <w:top w:val="single" w:sz="4" w:space="0" w:color="auto"/>
            </w:tcBorders>
          </w:tcPr>
          <w:p w:rsidR="00000000" w:rsidRDefault="00000000">
            <w:pPr>
              <w:ind w:right="113"/>
              <w:jc w:val="right"/>
              <w:rPr>
                <w:snapToGrid w:val="0"/>
                <w:sz w:val="18"/>
              </w:rPr>
            </w:pPr>
            <w:r>
              <w:rPr>
                <w:snapToGrid w:val="0"/>
                <w:sz w:val="18"/>
              </w:rPr>
              <w:t>291</w:t>
            </w:r>
          </w:p>
        </w:tc>
        <w:tc>
          <w:tcPr>
            <w:tcW w:w="992" w:type="dxa"/>
            <w:tcBorders>
              <w:top w:val="single" w:sz="4" w:space="0" w:color="auto"/>
            </w:tcBorders>
          </w:tcPr>
          <w:p w:rsidR="00000000" w:rsidRDefault="00000000">
            <w:pPr>
              <w:ind w:right="113"/>
              <w:jc w:val="right"/>
              <w:rPr>
                <w:snapToGrid w:val="0"/>
                <w:sz w:val="18"/>
              </w:rPr>
            </w:pPr>
            <w:r>
              <w:rPr>
                <w:snapToGrid w:val="0"/>
                <w:sz w:val="18"/>
              </w:rPr>
              <w:t>18</w:t>
            </w:r>
          </w:p>
        </w:tc>
        <w:tc>
          <w:tcPr>
            <w:tcW w:w="710" w:type="dxa"/>
            <w:tcBorders>
              <w:top w:val="single" w:sz="4" w:space="0" w:color="auto"/>
            </w:tcBorders>
          </w:tcPr>
          <w:p w:rsidR="00000000" w:rsidRDefault="00000000">
            <w:pPr>
              <w:ind w:right="57"/>
              <w:jc w:val="right"/>
              <w:rPr>
                <w:snapToGrid w:val="0"/>
                <w:sz w:val="18"/>
              </w:rPr>
            </w:pPr>
            <w:r>
              <w:rPr>
                <w:snapToGrid w:val="0"/>
                <w:sz w:val="18"/>
              </w:rPr>
              <w:t>22</w:t>
            </w:r>
          </w:p>
        </w:tc>
      </w:tr>
      <w:tr w:rsidR="00000000">
        <w:tblPrEx>
          <w:tblCellMar>
            <w:top w:w="0" w:type="dxa"/>
            <w:bottom w:w="0" w:type="dxa"/>
          </w:tblCellMar>
        </w:tblPrEx>
        <w:trPr>
          <w:trHeight w:val="192"/>
          <w:jc w:val="center"/>
        </w:trPr>
        <w:tc>
          <w:tcPr>
            <w:tcW w:w="1892" w:type="dxa"/>
            <w:tcBorders>
              <w:bottom w:val="nil"/>
            </w:tcBorders>
          </w:tcPr>
          <w:p w:rsidR="00000000" w:rsidRDefault="00000000">
            <w:pPr>
              <w:rPr>
                <w:snapToGrid w:val="0"/>
                <w:sz w:val="18"/>
              </w:rPr>
            </w:pPr>
            <w:r>
              <w:rPr>
                <w:snapToGrid w:val="0"/>
                <w:sz w:val="18"/>
              </w:rPr>
              <w:t>Piauí</w:t>
            </w:r>
          </w:p>
        </w:tc>
        <w:tc>
          <w:tcPr>
            <w:tcW w:w="683" w:type="dxa"/>
            <w:tcBorders>
              <w:bottom w:val="nil"/>
            </w:tcBorders>
          </w:tcPr>
          <w:p w:rsidR="00000000" w:rsidRDefault="00000000">
            <w:pPr>
              <w:jc w:val="center"/>
              <w:rPr>
                <w:snapToGrid w:val="0"/>
                <w:sz w:val="18"/>
              </w:rPr>
            </w:pPr>
            <w:r>
              <w:rPr>
                <w:snapToGrid w:val="0"/>
                <w:sz w:val="18"/>
              </w:rPr>
              <w:t>1998</w:t>
            </w:r>
          </w:p>
        </w:tc>
        <w:tc>
          <w:tcPr>
            <w:tcW w:w="850" w:type="dxa"/>
            <w:tcBorders>
              <w:bottom w:val="nil"/>
            </w:tcBorders>
          </w:tcPr>
          <w:p w:rsidR="00000000" w:rsidRDefault="00000000">
            <w:pPr>
              <w:jc w:val="right"/>
              <w:rPr>
                <w:snapToGrid w:val="0"/>
                <w:sz w:val="18"/>
              </w:rPr>
            </w:pPr>
            <w:r>
              <w:rPr>
                <w:snapToGrid w:val="0"/>
                <w:sz w:val="18"/>
              </w:rPr>
              <w:t>379</w:t>
            </w:r>
          </w:p>
        </w:tc>
        <w:tc>
          <w:tcPr>
            <w:tcW w:w="999" w:type="dxa"/>
            <w:tcBorders>
              <w:bottom w:val="nil"/>
            </w:tcBorders>
          </w:tcPr>
          <w:p w:rsidR="00000000" w:rsidRDefault="00000000">
            <w:pPr>
              <w:ind w:right="113"/>
              <w:jc w:val="right"/>
              <w:rPr>
                <w:snapToGrid w:val="0"/>
                <w:sz w:val="18"/>
              </w:rPr>
            </w:pPr>
            <w:r>
              <w:rPr>
                <w:snapToGrid w:val="0"/>
                <w:sz w:val="18"/>
              </w:rPr>
              <w:noBreakHyphen/>
            </w:r>
          </w:p>
        </w:tc>
        <w:tc>
          <w:tcPr>
            <w:tcW w:w="865" w:type="dxa"/>
            <w:tcBorders>
              <w:bottom w:val="nil"/>
            </w:tcBorders>
          </w:tcPr>
          <w:p w:rsidR="00000000" w:rsidRDefault="00000000">
            <w:pPr>
              <w:ind w:right="57"/>
              <w:jc w:val="right"/>
              <w:rPr>
                <w:snapToGrid w:val="0"/>
                <w:sz w:val="18"/>
              </w:rPr>
            </w:pPr>
            <w:r>
              <w:rPr>
                <w:snapToGrid w:val="0"/>
                <w:sz w:val="18"/>
              </w:rPr>
              <w:t>313</w:t>
            </w:r>
          </w:p>
        </w:tc>
        <w:tc>
          <w:tcPr>
            <w:tcW w:w="992" w:type="dxa"/>
            <w:tcBorders>
              <w:bottom w:val="nil"/>
            </w:tcBorders>
          </w:tcPr>
          <w:p w:rsidR="00000000" w:rsidRDefault="00000000">
            <w:pPr>
              <w:ind w:right="113"/>
              <w:jc w:val="right"/>
              <w:rPr>
                <w:snapToGrid w:val="0"/>
                <w:sz w:val="18"/>
              </w:rPr>
            </w:pPr>
            <w:r>
              <w:rPr>
                <w:snapToGrid w:val="0"/>
                <w:sz w:val="18"/>
              </w:rPr>
              <w:t>35</w:t>
            </w:r>
          </w:p>
        </w:tc>
        <w:tc>
          <w:tcPr>
            <w:tcW w:w="1134" w:type="dxa"/>
            <w:tcBorders>
              <w:bottom w:val="nil"/>
            </w:tcBorders>
          </w:tcPr>
          <w:p w:rsidR="00000000" w:rsidRDefault="00000000">
            <w:pPr>
              <w:ind w:right="113"/>
              <w:jc w:val="right"/>
              <w:rPr>
                <w:snapToGrid w:val="0"/>
                <w:sz w:val="18"/>
              </w:rPr>
            </w:pPr>
            <w:r>
              <w:rPr>
                <w:snapToGrid w:val="0"/>
                <w:sz w:val="18"/>
              </w:rPr>
              <w:t>278</w:t>
            </w:r>
          </w:p>
        </w:tc>
        <w:tc>
          <w:tcPr>
            <w:tcW w:w="992" w:type="dxa"/>
            <w:tcBorders>
              <w:bottom w:val="nil"/>
            </w:tcBorders>
          </w:tcPr>
          <w:p w:rsidR="00000000" w:rsidRDefault="00000000">
            <w:pPr>
              <w:ind w:right="113"/>
              <w:jc w:val="right"/>
              <w:rPr>
                <w:snapToGrid w:val="0"/>
                <w:sz w:val="18"/>
              </w:rPr>
            </w:pPr>
            <w:r>
              <w:rPr>
                <w:snapToGrid w:val="0"/>
                <w:sz w:val="18"/>
              </w:rPr>
              <w:t>31</w:t>
            </w:r>
          </w:p>
        </w:tc>
        <w:tc>
          <w:tcPr>
            <w:tcW w:w="710" w:type="dxa"/>
            <w:tcBorders>
              <w:bottom w:val="nil"/>
            </w:tcBorders>
          </w:tcPr>
          <w:p w:rsidR="00000000" w:rsidRDefault="00000000">
            <w:pPr>
              <w:ind w:right="57"/>
              <w:jc w:val="right"/>
              <w:rPr>
                <w:snapToGrid w:val="0"/>
                <w:sz w:val="18"/>
              </w:rPr>
            </w:pPr>
            <w:r>
              <w:rPr>
                <w:snapToGrid w:val="0"/>
                <w:sz w:val="18"/>
              </w:rPr>
              <w:t>35</w:t>
            </w:r>
          </w:p>
        </w:tc>
      </w:tr>
      <w:tr w:rsidR="00000000">
        <w:tblPrEx>
          <w:tblCellMar>
            <w:top w:w="0" w:type="dxa"/>
            <w:bottom w:w="0" w:type="dxa"/>
          </w:tblCellMar>
        </w:tblPrEx>
        <w:trPr>
          <w:trHeight w:val="192"/>
          <w:jc w:val="center"/>
        </w:trPr>
        <w:tc>
          <w:tcPr>
            <w:tcW w:w="1892" w:type="dxa"/>
            <w:tcBorders>
              <w:top w:val="nil"/>
              <w:bottom w:val="single" w:sz="4" w:space="0" w:color="auto"/>
            </w:tcBorders>
          </w:tcPr>
          <w:p w:rsidR="00000000" w:rsidRDefault="00000000">
            <w:pPr>
              <w:rPr>
                <w:snapToGrid w:val="0"/>
                <w:sz w:val="18"/>
              </w:rPr>
            </w:pPr>
          </w:p>
        </w:tc>
        <w:tc>
          <w:tcPr>
            <w:tcW w:w="683" w:type="dxa"/>
            <w:tcBorders>
              <w:top w:val="nil"/>
              <w:bottom w:val="single" w:sz="4" w:space="0" w:color="auto"/>
            </w:tcBorders>
          </w:tcPr>
          <w:p w:rsidR="00000000" w:rsidRDefault="00000000">
            <w:pPr>
              <w:jc w:val="center"/>
              <w:rPr>
                <w:snapToGrid w:val="0"/>
                <w:sz w:val="18"/>
              </w:rPr>
            </w:pPr>
            <w:r>
              <w:rPr>
                <w:snapToGrid w:val="0"/>
                <w:sz w:val="18"/>
              </w:rPr>
              <w:t>1999</w:t>
            </w:r>
          </w:p>
        </w:tc>
        <w:tc>
          <w:tcPr>
            <w:tcW w:w="850" w:type="dxa"/>
            <w:tcBorders>
              <w:top w:val="nil"/>
              <w:bottom w:val="single" w:sz="4" w:space="0" w:color="auto"/>
            </w:tcBorders>
          </w:tcPr>
          <w:p w:rsidR="00000000" w:rsidRDefault="00000000">
            <w:pPr>
              <w:jc w:val="right"/>
              <w:rPr>
                <w:snapToGrid w:val="0"/>
                <w:sz w:val="18"/>
              </w:rPr>
            </w:pPr>
            <w:r>
              <w:rPr>
                <w:snapToGrid w:val="0"/>
                <w:sz w:val="18"/>
              </w:rPr>
              <w:t>408</w:t>
            </w:r>
          </w:p>
        </w:tc>
        <w:tc>
          <w:tcPr>
            <w:tcW w:w="999" w:type="dxa"/>
            <w:tcBorders>
              <w:top w:val="nil"/>
              <w:bottom w:val="single" w:sz="4" w:space="0" w:color="auto"/>
            </w:tcBorders>
          </w:tcPr>
          <w:p w:rsidR="00000000" w:rsidRDefault="00000000">
            <w:pPr>
              <w:ind w:right="113"/>
              <w:jc w:val="right"/>
              <w:rPr>
                <w:snapToGrid w:val="0"/>
                <w:sz w:val="18"/>
              </w:rPr>
            </w:pPr>
            <w:r>
              <w:rPr>
                <w:snapToGrid w:val="0"/>
                <w:sz w:val="18"/>
              </w:rPr>
              <w:t>17</w:t>
            </w:r>
          </w:p>
        </w:tc>
        <w:tc>
          <w:tcPr>
            <w:tcW w:w="865" w:type="dxa"/>
            <w:tcBorders>
              <w:top w:val="nil"/>
              <w:bottom w:val="single" w:sz="4" w:space="0" w:color="auto"/>
            </w:tcBorders>
          </w:tcPr>
          <w:p w:rsidR="00000000" w:rsidRDefault="00000000">
            <w:pPr>
              <w:ind w:right="57"/>
              <w:jc w:val="right"/>
              <w:rPr>
                <w:snapToGrid w:val="0"/>
                <w:sz w:val="18"/>
              </w:rPr>
            </w:pPr>
            <w:r>
              <w:rPr>
                <w:snapToGrid w:val="0"/>
                <w:sz w:val="18"/>
              </w:rPr>
              <w:t>306</w:t>
            </w:r>
          </w:p>
        </w:tc>
        <w:tc>
          <w:tcPr>
            <w:tcW w:w="992" w:type="dxa"/>
            <w:tcBorders>
              <w:top w:val="nil"/>
              <w:bottom w:val="single" w:sz="4" w:space="0" w:color="auto"/>
            </w:tcBorders>
          </w:tcPr>
          <w:p w:rsidR="00000000" w:rsidRDefault="00000000">
            <w:pPr>
              <w:ind w:right="113"/>
              <w:jc w:val="right"/>
              <w:rPr>
                <w:snapToGrid w:val="0"/>
                <w:sz w:val="18"/>
              </w:rPr>
            </w:pPr>
            <w:r>
              <w:rPr>
                <w:snapToGrid w:val="0"/>
                <w:sz w:val="18"/>
              </w:rPr>
              <w:t>24</w:t>
            </w:r>
          </w:p>
        </w:tc>
        <w:tc>
          <w:tcPr>
            <w:tcW w:w="1134" w:type="dxa"/>
            <w:tcBorders>
              <w:top w:val="nil"/>
              <w:bottom w:val="single" w:sz="4" w:space="0" w:color="auto"/>
            </w:tcBorders>
          </w:tcPr>
          <w:p w:rsidR="00000000" w:rsidRDefault="00000000">
            <w:pPr>
              <w:ind w:right="113"/>
              <w:jc w:val="right"/>
              <w:rPr>
                <w:snapToGrid w:val="0"/>
                <w:sz w:val="18"/>
              </w:rPr>
            </w:pPr>
            <w:r>
              <w:rPr>
                <w:snapToGrid w:val="0"/>
                <w:sz w:val="18"/>
              </w:rPr>
              <w:t>282</w:t>
            </w:r>
          </w:p>
        </w:tc>
        <w:tc>
          <w:tcPr>
            <w:tcW w:w="992" w:type="dxa"/>
            <w:tcBorders>
              <w:top w:val="nil"/>
              <w:bottom w:val="single" w:sz="4" w:space="0" w:color="auto"/>
            </w:tcBorders>
          </w:tcPr>
          <w:p w:rsidR="00000000" w:rsidRDefault="00000000">
            <w:pPr>
              <w:ind w:right="113"/>
              <w:jc w:val="right"/>
              <w:rPr>
                <w:snapToGrid w:val="0"/>
                <w:sz w:val="18"/>
              </w:rPr>
            </w:pPr>
            <w:r>
              <w:rPr>
                <w:snapToGrid w:val="0"/>
                <w:sz w:val="18"/>
              </w:rPr>
              <w:t>58</w:t>
            </w:r>
          </w:p>
        </w:tc>
        <w:tc>
          <w:tcPr>
            <w:tcW w:w="710" w:type="dxa"/>
            <w:tcBorders>
              <w:top w:val="nil"/>
              <w:bottom w:val="single" w:sz="4" w:space="0" w:color="auto"/>
            </w:tcBorders>
          </w:tcPr>
          <w:p w:rsidR="00000000" w:rsidRDefault="00000000">
            <w:pPr>
              <w:ind w:right="57"/>
              <w:jc w:val="right"/>
              <w:rPr>
                <w:snapToGrid w:val="0"/>
                <w:sz w:val="18"/>
              </w:rPr>
            </w:pPr>
            <w:r>
              <w:rPr>
                <w:snapToGrid w:val="0"/>
                <w:sz w:val="18"/>
              </w:rPr>
              <w:t>27</w:t>
            </w:r>
          </w:p>
        </w:tc>
      </w:tr>
      <w:tr w:rsidR="00000000">
        <w:tblPrEx>
          <w:tblCellMar>
            <w:top w:w="0" w:type="dxa"/>
            <w:bottom w:w="0" w:type="dxa"/>
          </w:tblCellMar>
        </w:tblPrEx>
        <w:trPr>
          <w:trHeight w:val="192"/>
          <w:jc w:val="center"/>
        </w:trPr>
        <w:tc>
          <w:tcPr>
            <w:tcW w:w="1892" w:type="dxa"/>
            <w:tcBorders>
              <w:top w:val="single" w:sz="4" w:space="0" w:color="auto"/>
            </w:tcBorders>
          </w:tcPr>
          <w:p w:rsidR="00000000" w:rsidRDefault="00000000">
            <w:pPr>
              <w:rPr>
                <w:snapToGrid w:val="0"/>
                <w:sz w:val="18"/>
              </w:rPr>
            </w:pPr>
          </w:p>
        </w:tc>
        <w:tc>
          <w:tcPr>
            <w:tcW w:w="683" w:type="dxa"/>
            <w:tcBorders>
              <w:top w:val="single" w:sz="4" w:space="0" w:color="auto"/>
            </w:tcBorders>
          </w:tcPr>
          <w:p w:rsidR="00000000" w:rsidRDefault="00000000">
            <w:pPr>
              <w:jc w:val="center"/>
              <w:rPr>
                <w:snapToGrid w:val="0"/>
                <w:sz w:val="18"/>
              </w:rPr>
            </w:pPr>
            <w:r>
              <w:rPr>
                <w:snapToGrid w:val="0"/>
                <w:sz w:val="18"/>
              </w:rPr>
              <w:t>1997</w:t>
            </w:r>
          </w:p>
        </w:tc>
        <w:tc>
          <w:tcPr>
            <w:tcW w:w="850" w:type="dxa"/>
            <w:tcBorders>
              <w:top w:val="single" w:sz="4" w:space="0" w:color="auto"/>
            </w:tcBorders>
          </w:tcPr>
          <w:p w:rsidR="00000000" w:rsidRDefault="00000000">
            <w:pPr>
              <w:jc w:val="right"/>
              <w:rPr>
                <w:snapToGrid w:val="0"/>
                <w:sz w:val="18"/>
              </w:rPr>
            </w:pPr>
            <w:r>
              <w:rPr>
                <w:snapToGrid w:val="0"/>
                <w:sz w:val="18"/>
              </w:rPr>
              <w:t>3 001</w:t>
            </w:r>
          </w:p>
        </w:tc>
        <w:tc>
          <w:tcPr>
            <w:tcW w:w="999" w:type="dxa"/>
            <w:tcBorders>
              <w:top w:val="single" w:sz="4" w:space="0" w:color="auto"/>
            </w:tcBorders>
          </w:tcPr>
          <w:p w:rsidR="00000000" w:rsidRDefault="00000000">
            <w:pPr>
              <w:ind w:right="113"/>
              <w:jc w:val="right"/>
              <w:rPr>
                <w:snapToGrid w:val="0"/>
                <w:sz w:val="18"/>
              </w:rPr>
            </w:pPr>
            <w:r>
              <w:rPr>
                <w:snapToGrid w:val="0"/>
                <w:sz w:val="18"/>
              </w:rPr>
              <w:t>159</w:t>
            </w:r>
          </w:p>
        </w:tc>
        <w:tc>
          <w:tcPr>
            <w:tcW w:w="865" w:type="dxa"/>
            <w:tcBorders>
              <w:top w:val="single" w:sz="4" w:space="0" w:color="auto"/>
            </w:tcBorders>
          </w:tcPr>
          <w:p w:rsidR="00000000" w:rsidRDefault="00000000">
            <w:pPr>
              <w:ind w:right="57"/>
              <w:jc w:val="right"/>
              <w:rPr>
                <w:snapToGrid w:val="0"/>
                <w:sz w:val="18"/>
              </w:rPr>
            </w:pPr>
            <w:r>
              <w:rPr>
                <w:snapToGrid w:val="0"/>
                <w:sz w:val="18"/>
              </w:rPr>
              <w:t>2 494</w:t>
            </w:r>
          </w:p>
        </w:tc>
        <w:tc>
          <w:tcPr>
            <w:tcW w:w="992" w:type="dxa"/>
            <w:tcBorders>
              <w:top w:val="single" w:sz="4" w:space="0" w:color="auto"/>
            </w:tcBorders>
          </w:tcPr>
          <w:p w:rsidR="00000000" w:rsidRDefault="00000000">
            <w:pPr>
              <w:ind w:right="113"/>
              <w:jc w:val="right"/>
              <w:rPr>
                <w:snapToGrid w:val="0"/>
                <w:sz w:val="18"/>
              </w:rPr>
            </w:pPr>
            <w:r>
              <w:rPr>
                <w:snapToGrid w:val="0"/>
                <w:sz w:val="18"/>
              </w:rPr>
              <w:t>829</w:t>
            </w:r>
          </w:p>
        </w:tc>
        <w:tc>
          <w:tcPr>
            <w:tcW w:w="1134" w:type="dxa"/>
            <w:tcBorders>
              <w:top w:val="single" w:sz="4" w:space="0" w:color="auto"/>
            </w:tcBorders>
          </w:tcPr>
          <w:p w:rsidR="00000000" w:rsidRDefault="00000000">
            <w:pPr>
              <w:ind w:right="113"/>
              <w:jc w:val="right"/>
              <w:rPr>
                <w:snapToGrid w:val="0"/>
                <w:sz w:val="18"/>
              </w:rPr>
            </w:pPr>
            <w:r>
              <w:rPr>
                <w:snapToGrid w:val="0"/>
                <w:sz w:val="18"/>
              </w:rPr>
              <w:t>1 665</w:t>
            </w:r>
          </w:p>
        </w:tc>
        <w:tc>
          <w:tcPr>
            <w:tcW w:w="992" w:type="dxa"/>
            <w:tcBorders>
              <w:top w:val="single" w:sz="4" w:space="0" w:color="auto"/>
            </w:tcBorders>
          </w:tcPr>
          <w:p w:rsidR="00000000" w:rsidRDefault="00000000">
            <w:pPr>
              <w:ind w:right="113"/>
              <w:jc w:val="right"/>
              <w:rPr>
                <w:snapToGrid w:val="0"/>
                <w:sz w:val="18"/>
              </w:rPr>
            </w:pPr>
            <w:r>
              <w:rPr>
                <w:snapToGrid w:val="0"/>
                <w:sz w:val="18"/>
              </w:rPr>
              <w:t>271</w:t>
            </w:r>
          </w:p>
        </w:tc>
        <w:tc>
          <w:tcPr>
            <w:tcW w:w="710" w:type="dxa"/>
            <w:tcBorders>
              <w:top w:val="single" w:sz="4" w:space="0" w:color="auto"/>
            </w:tcBorders>
          </w:tcPr>
          <w:p w:rsidR="00000000" w:rsidRDefault="00000000">
            <w:pPr>
              <w:ind w:right="57"/>
              <w:jc w:val="right"/>
              <w:rPr>
                <w:snapToGrid w:val="0"/>
                <w:sz w:val="18"/>
              </w:rPr>
            </w:pPr>
            <w:r>
              <w:rPr>
                <w:snapToGrid w:val="0"/>
                <w:sz w:val="18"/>
              </w:rPr>
              <w:t>77</w:t>
            </w:r>
          </w:p>
        </w:tc>
      </w:tr>
      <w:tr w:rsidR="00000000">
        <w:tblPrEx>
          <w:tblCellMar>
            <w:top w:w="0" w:type="dxa"/>
            <w:bottom w:w="0" w:type="dxa"/>
          </w:tblCellMar>
        </w:tblPrEx>
        <w:trPr>
          <w:trHeight w:val="192"/>
          <w:jc w:val="center"/>
        </w:trPr>
        <w:tc>
          <w:tcPr>
            <w:tcW w:w="1892" w:type="dxa"/>
            <w:tcBorders>
              <w:bottom w:val="nil"/>
            </w:tcBorders>
          </w:tcPr>
          <w:p w:rsidR="00000000" w:rsidRDefault="00000000">
            <w:pPr>
              <w:rPr>
                <w:snapToGrid w:val="0"/>
                <w:sz w:val="18"/>
              </w:rPr>
            </w:pPr>
            <w:r>
              <w:rPr>
                <w:snapToGrid w:val="0"/>
                <w:sz w:val="18"/>
              </w:rPr>
              <w:t>Ceará</w:t>
            </w:r>
          </w:p>
        </w:tc>
        <w:tc>
          <w:tcPr>
            <w:tcW w:w="683" w:type="dxa"/>
            <w:tcBorders>
              <w:bottom w:val="nil"/>
            </w:tcBorders>
          </w:tcPr>
          <w:p w:rsidR="00000000" w:rsidRDefault="00000000">
            <w:pPr>
              <w:jc w:val="center"/>
              <w:rPr>
                <w:snapToGrid w:val="0"/>
                <w:sz w:val="18"/>
              </w:rPr>
            </w:pPr>
            <w:r>
              <w:rPr>
                <w:snapToGrid w:val="0"/>
                <w:sz w:val="18"/>
              </w:rPr>
              <w:t>1998</w:t>
            </w:r>
          </w:p>
        </w:tc>
        <w:tc>
          <w:tcPr>
            <w:tcW w:w="850" w:type="dxa"/>
            <w:tcBorders>
              <w:bottom w:val="nil"/>
            </w:tcBorders>
          </w:tcPr>
          <w:p w:rsidR="00000000" w:rsidRDefault="00000000">
            <w:pPr>
              <w:jc w:val="right"/>
              <w:rPr>
                <w:snapToGrid w:val="0"/>
                <w:sz w:val="18"/>
              </w:rPr>
            </w:pPr>
            <w:r>
              <w:rPr>
                <w:snapToGrid w:val="0"/>
                <w:sz w:val="18"/>
              </w:rPr>
              <w:t>3 105</w:t>
            </w:r>
          </w:p>
        </w:tc>
        <w:tc>
          <w:tcPr>
            <w:tcW w:w="999" w:type="dxa"/>
            <w:tcBorders>
              <w:bottom w:val="nil"/>
            </w:tcBorders>
          </w:tcPr>
          <w:p w:rsidR="00000000" w:rsidRDefault="00000000">
            <w:pPr>
              <w:ind w:right="113"/>
              <w:jc w:val="right"/>
              <w:rPr>
                <w:snapToGrid w:val="0"/>
                <w:sz w:val="18"/>
              </w:rPr>
            </w:pPr>
            <w:r>
              <w:rPr>
                <w:snapToGrid w:val="0"/>
                <w:sz w:val="18"/>
              </w:rPr>
              <w:t>180</w:t>
            </w:r>
          </w:p>
        </w:tc>
        <w:tc>
          <w:tcPr>
            <w:tcW w:w="865" w:type="dxa"/>
            <w:tcBorders>
              <w:bottom w:val="nil"/>
            </w:tcBorders>
          </w:tcPr>
          <w:p w:rsidR="00000000" w:rsidRDefault="00000000">
            <w:pPr>
              <w:ind w:right="57"/>
              <w:jc w:val="right"/>
              <w:rPr>
                <w:snapToGrid w:val="0"/>
                <w:sz w:val="18"/>
              </w:rPr>
            </w:pPr>
            <w:r>
              <w:rPr>
                <w:snapToGrid w:val="0"/>
                <w:sz w:val="18"/>
              </w:rPr>
              <w:t>2 559</w:t>
            </w:r>
          </w:p>
        </w:tc>
        <w:tc>
          <w:tcPr>
            <w:tcW w:w="992" w:type="dxa"/>
            <w:tcBorders>
              <w:bottom w:val="nil"/>
            </w:tcBorders>
          </w:tcPr>
          <w:p w:rsidR="00000000" w:rsidRDefault="00000000">
            <w:pPr>
              <w:ind w:right="113"/>
              <w:jc w:val="right"/>
              <w:rPr>
                <w:snapToGrid w:val="0"/>
                <w:sz w:val="18"/>
              </w:rPr>
            </w:pPr>
            <w:r>
              <w:rPr>
                <w:snapToGrid w:val="0"/>
                <w:sz w:val="18"/>
              </w:rPr>
              <w:t>882</w:t>
            </w:r>
          </w:p>
        </w:tc>
        <w:tc>
          <w:tcPr>
            <w:tcW w:w="1134" w:type="dxa"/>
            <w:tcBorders>
              <w:bottom w:val="nil"/>
            </w:tcBorders>
          </w:tcPr>
          <w:p w:rsidR="00000000" w:rsidRDefault="00000000">
            <w:pPr>
              <w:ind w:right="113"/>
              <w:jc w:val="right"/>
              <w:rPr>
                <w:snapToGrid w:val="0"/>
                <w:sz w:val="18"/>
              </w:rPr>
            </w:pPr>
            <w:r>
              <w:rPr>
                <w:snapToGrid w:val="0"/>
                <w:sz w:val="18"/>
              </w:rPr>
              <w:t>1 677</w:t>
            </w:r>
          </w:p>
        </w:tc>
        <w:tc>
          <w:tcPr>
            <w:tcW w:w="992" w:type="dxa"/>
            <w:tcBorders>
              <w:bottom w:val="nil"/>
            </w:tcBorders>
          </w:tcPr>
          <w:p w:rsidR="00000000" w:rsidRDefault="00000000">
            <w:pPr>
              <w:ind w:right="113"/>
              <w:jc w:val="right"/>
              <w:rPr>
                <w:snapToGrid w:val="0"/>
                <w:sz w:val="18"/>
              </w:rPr>
            </w:pPr>
            <w:r>
              <w:rPr>
                <w:snapToGrid w:val="0"/>
                <w:sz w:val="18"/>
              </w:rPr>
              <w:t>281</w:t>
            </w:r>
          </w:p>
        </w:tc>
        <w:tc>
          <w:tcPr>
            <w:tcW w:w="710" w:type="dxa"/>
            <w:tcBorders>
              <w:bottom w:val="nil"/>
            </w:tcBorders>
          </w:tcPr>
          <w:p w:rsidR="00000000" w:rsidRDefault="00000000">
            <w:pPr>
              <w:ind w:right="57"/>
              <w:jc w:val="right"/>
              <w:rPr>
                <w:snapToGrid w:val="0"/>
                <w:sz w:val="18"/>
              </w:rPr>
            </w:pPr>
            <w:r>
              <w:rPr>
                <w:snapToGrid w:val="0"/>
                <w:sz w:val="18"/>
              </w:rPr>
              <w:t>85</w:t>
            </w:r>
          </w:p>
        </w:tc>
      </w:tr>
      <w:tr w:rsidR="00000000">
        <w:tblPrEx>
          <w:tblCellMar>
            <w:top w:w="0" w:type="dxa"/>
            <w:bottom w:w="0" w:type="dxa"/>
          </w:tblCellMar>
        </w:tblPrEx>
        <w:trPr>
          <w:trHeight w:val="192"/>
          <w:jc w:val="center"/>
        </w:trPr>
        <w:tc>
          <w:tcPr>
            <w:tcW w:w="1892" w:type="dxa"/>
            <w:tcBorders>
              <w:top w:val="nil"/>
              <w:bottom w:val="single" w:sz="4" w:space="0" w:color="auto"/>
            </w:tcBorders>
          </w:tcPr>
          <w:p w:rsidR="00000000" w:rsidRDefault="00000000">
            <w:pPr>
              <w:rPr>
                <w:snapToGrid w:val="0"/>
                <w:sz w:val="18"/>
              </w:rPr>
            </w:pPr>
          </w:p>
        </w:tc>
        <w:tc>
          <w:tcPr>
            <w:tcW w:w="683" w:type="dxa"/>
            <w:tcBorders>
              <w:top w:val="nil"/>
              <w:bottom w:val="single" w:sz="4" w:space="0" w:color="auto"/>
            </w:tcBorders>
          </w:tcPr>
          <w:p w:rsidR="00000000" w:rsidRDefault="00000000">
            <w:pPr>
              <w:jc w:val="center"/>
              <w:rPr>
                <w:snapToGrid w:val="0"/>
                <w:sz w:val="18"/>
              </w:rPr>
            </w:pPr>
            <w:r>
              <w:rPr>
                <w:snapToGrid w:val="0"/>
                <w:sz w:val="18"/>
              </w:rPr>
              <w:t>1999</w:t>
            </w:r>
          </w:p>
        </w:tc>
        <w:tc>
          <w:tcPr>
            <w:tcW w:w="850" w:type="dxa"/>
            <w:tcBorders>
              <w:top w:val="nil"/>
              <w:bottom w:val="single" w:sz="4" w:space="0" w:color="auto"/>
            </w:tcBorders>
          </w:tcPr>
          <w:p w:rsidR="00000000" w:rsidRDefault="00000000">
            <w:pPr>
              <w:jc w:val="right"/>
              <w:rPr>
                <w:snapToGrid w:val="0"/>
                <w:sz w:val="18"/>
              </w:rPr>
            </w:pPr>
            <w:r>
              <w:rPr>
                <w:snapToGrid w:val="0"/>
                <w:sz w:val="18"/>
              </w:rPr>
              <w:t>3 320</w:t>
            </w:r>
          </w:p>
        </w:tc>
        <w:tc>
          <w:tcPr>
            <w:tcW w:w="999" w:type="dxa"/>
            <w:tcBorders>
              <w:top w:val="nil"/>
              <w:bottom w:val="single" w:sz="4" w:space="0" w:color="auto"/>
            </w:tcBorders>
          </w:tcPr>
          <w:p w:rsidR="00000000" w:rsidRDefault="00000000">
            <w:pPr>
              <w:ind w:right="113"/>
              <w:jc w:val="right"/>
              <w:rPr>
                <w:snapToGrid w:val="0"/>
                <w:sz w:val="18"/>
              </w:rPr>
            </w:pPr>
            <w:r>
              <w:rPr>
                <w:snapToGrid w:val="0"/>
                <w:sz w:val="18"/>
              </w:rPr>
              <w:t>592</w:t>
            </w:r>
          </w:p>
        </w:tc>
        <w:tc>
          <w:tcPr>
            <w:tcW w:w="865" w:type="dxa"/>
            <w:tcBorders>
              <w:top w:val="nil"/>
              <w:bottom w:val="single" w:sz="4" w:space="0" w:color="auto"/>
            </w:tcBorders>
          </w:tcPr>
          <w:p w:rsidR="00000000" w:rsidRDefault="00000000">
            <w:pPr>
              <w:ind w:right="57"/>
              <w:jc w:val="right"/>
              <w:rPr>
                <w:snapToGrid w:val="0"/>
                <w:sz w:val="18"/>
              </w:rPr>
            </w:pPr>
            <w:r>
              <w:rPr>
                <w:snapToGrid w:val="0"/>
                <w:sz w:val="18"/>
              </w:rPr>
              <w:t>2 441</w:t>
            </w:r>
          </w:p>
        </w:tc>
        <w:tc>
          <w:tcPr>
            <w:tcW w:w="992" w:type="dxa"/>
            <w:tcBorders>
              <w:top w:val="nil"/>
              <w:bottom w:val="single" w:sz="4" w:space="0" w:color="auto"/>
            </w:tcBorders>
          </w:tcPr>
          <w:p w:rsidR="00000000" w:rsidRDefault="00000000">
            <w:pPr>
              <w:ind w:right="113"/>
              <w:jc w:val="right"/>
              <w:rPr>
                <w:snapToGrid w:val="0"/>
                <w:sz w:val="18"/>
              </w:rPr>
            </w:pPr>
            <w:r>
              <w:rPr>
                <w:snapToGrid w:val="0"/>
                <w:sz w:val="18"/>
              </w:rPr>
              <w:t>825</w:t>
            </w:r>
          </w:p>
        </w:tc>
        <w:tc>
          <w:tcPr>
            <w:tcW w:w="1134" w:type="dxa"/>
            <w:tcBorders>
              <w:top w:val="nil"/>
              <w:bottom w:val="single" w:sz="4" w:space="0" w:color="auto"/>
            </w:tcBorders>
          </w:tcPr>
          <w:p w:rsidR="00000000" w:rsidRDefault="00000000">
            <w:pPr>
              <w:ind w:right="113"/>
              <w:jc w:val="right"/>
              <w:rPr>
                <w:snapToGrid w:val="0"/>
                <w:sz w:val="18"/>
              </w:rPr>
            </w:pPr>
            <w:r>
              <w:rPr>
                <w:snapToGrid w:val="0"/>
                <w:sz w:val="18"/>
              </w:rPr>
              <w:t>1 616</w:t>
            </w:r>
          </w:p>
        </w:tc>
        <w:tc>
          <w:tcPr>
            <w:tcW w:w="992" w:type="dxa"/>
            <w:tcBorders>
              <w:top w:val="nil"/>
              <w:bottom w:val="single" w:sz="4" w:space="0" w:color="auto"/>
            </w:tcBorders>
          </w:tcPr>
          <w:p w:rsidR="00000000" w:rsidRDefault="00000000">
            <w:pPr>
              <w:ind w:right="113"/>
              <w:jc w:val="right"/>
              <w:rPr>
                <w:snapToGrid w:val="0"/>
                <w:sz w:val="18"/>
              </w:rPr>
            </w:pPr>
            <w:r>
              <w:rPr>
                <w:snapToGrid w:val="0"/>
                <w:sz w:val="18"/>
              </w:rPr>
              <w:t>206</w:t>
            </w:r>
          </w:p>
        </w:tc>
        <w:tc>
          <w:tcPr>
            <w:tcW w:w="710" w:type="dxa"/>
            <w:tcBorders>
              <w:top w:val="nil"/>
              <w:bottom w:val="single" w:sz="4" w:space="0" w:color="auto"/>
            </w:tcBorders>
          </w:tcPr>
          <w:p w:rsidR="00000000" w:rsidRDefault="00000000">
            <w:pPr>
              <w:ind w:right="57"/>
              <w:jc w:val="right"/>
              <w:rPr>
                <w:snapToGrid w:val="0"/>
                <w:sz w:val="18"/>
              </w:rPr>
            </w:pPr>
            <w:r>
              <w:rPr>
                <w:snapToGrid w:val="0"/>
                <w:sz w:val="18"/>
              </w:rPr>
              <w:t>81</w:t>
            </w:r>
          </w:p>
        </w:tc>
      </w:tr>
      <w:tr w:rsidR="00000000">
        <w:tblPrEx>
          <w:tblCellMar>
            <w:top w:w="0" w:type="dxa"/>
            <w:bottom w:w="0" w:type="dxa"/>
          </w:tblCellMar>
        </w:tblPrEx>
        <w:trPr>
          <w:trHeight w:val="192"/>
          <w:jc w:val="center"/>
        </w:trPr>
        <w:tc>
          <w:tcPr>
            <w:tcW w:w="1892" w:type="dxa"/>
            <w:tcBorders>
              <w:top w:val="single" w:sz="4" w:space="0" w:color="auto"/>
            </w:tcBorders>
          </w:tcPr>
          <w:p w:rsidR="00000000" w:rsidRDefault="00000000">
            <w:pPr>
              <w:rPr>
                <w:snapToGrid w:val="0"/>
                <w:sz w:val="18"/>
              </w:rPr>
            </w:pPr>
          </w:p>
        </w:tc>
        <w:tc>
          <w:tcPr>
            <w:tcW w:w="683" w:type="dxa"/>
            <w:tcBorders>
              <w:top w:val="single" w:sz="4" w:space="0" w:color="auto"/>
            </w:tcBorders>
          </w:tcPr>
          <w:p w:rsidR="00000000" w:rsidRDefault="00000000">
            <w:pPr>
              <w:jc w:val="center"/>
              <w:rPr>
                <w:snapToGrid w:val="0"/>
                <w:sz w:val="18"/>
              </w:rPr>
            </w:pPr>
            <w:r>
              <w:rPr>
                <w:snapToGrid w:val="0"/>
                <w:sz w:val="18"/>
              </w:rPr>
              <w:t>1997</w:t>
            </w:r>
          </w:p>
        </w:tc>
        <w:tc>
          <w:tcPr>
            <w:tcW w:w="850" w:type="dxa"/>
            <w:tcBorders>
              <w:top w:val="single" w:sz="4" w:space="0" w:color="auto"/>
            </w:tcBorders>
          </w:tcPr>
          <w:p w:rsidR="00000000" w:rsidRDefault="00000000">
            <w:pPr>
              <w:jc w:val="right"/>
              <w:rPr>
                <w:snapToGrid w:val="0"/>
                <w:sz w:val="18"/>
              </w:rPr>
            </w:pPr>
            <w:r>
              <w:rPr>
                <w:snapToGrid w:val="0"/>
                <w:sz w:val="18"/>
              </w:rPr>
              <w:t>1 401</w:t>
            </w:r>
          </w:p>
        </w:tc>
        <w:tc>
          <w:tcPr>
            <w:tcW w:w="999" w:type="dxa"/>
            <w:tcBorders>
              <w:top w:val="single" w:sz="4" w:space="0" w:color="auto"/>
            </w:tcBorders>
          </w:tcPr>
          <w:p w:rsidR="00000000" w:rsidRDefault="00000000">
            <w:pPr>
              <w:ind w:right="113"/>
              <w:jc w:val="right"/>
              <w:rPr>
                <w:snapToGrid w:val="0"/>
                <w:sz w:val="18"/>
              </w:rPr>
            </w:pPr>
            <w:r>
              <w:rPr>
                <w:snapToGrid w:val="0"/>
                <w:sz w:val="18"/>
              </w:rPr>
              <w:t>76</w:t>
            </w:r>
          </w:p>
        </w:tc>
        <w:tc>
          <w:tcPr>
            <w:tcW w:w="865" w:type="dxa"/>
            <w:tcBorders>
              <w:top w:val="single" w:sz="4" w:space="0" w:color="auto"/>
            </w:tcBorders>
          </w:tcPr>
          <w:p w:rsidR="00000000" w:rsidRDefault="00000000">
            <w:pPr>
              <w:ind w:right="57"/>
              <w:jc w:val="right"/>
              <w:rPr>
                <w:snapToGrid w:val="0"/>
                <w:sz w:val="18"/>
              </w:rPr>
            </w:pPr>
            <w:r>
              <w:rPr>
                <w:snapToGrid w:val="0"/>
                <w:sz w:val="18"/>
              </w:rPr>
              <w:t>1 172</w:t>
            </w:r>
          </w:p>
        </w:tc>
        <w:tc>
          <w:tcPr>
            <w:tcW w:w="992" w:type="dxa"/>
            <w:tcBorders>
              <w:top w:val="single" w:sz="4" w:space="0" w:color="auto"/>
            </w:tcBorders>
          </w:tcPr>
          <w:p w:rsidR="00000000" w:rsidRDefault="00000000">
            <w:pPr>
              <w:ind w:right="113"/>
              <w:jc w:val="right"/>
              <w:rPr>
                <w:snapToGrid w:val="0"/>
                <w:sz w:val="18"/>
              </w:rPr>
            </w:pPr>
            <w:r>
              <w:rPr>
                <w:snapToGrid w:val="0"/>
                <w:sz w:val="18"/>
              </w:rPr>
              <w:t>376</w:t>
            </w:r>
          </w:p>
        </w:tc>
        <w:tc>
          <w:tcPr>
            <w:tcW w:w="1134" w:type="dxa"/>
            <w:tcBorders>
              <w:top w:val="single" w:sz="4" w:space="0" w:color="auto"/>
            </w:tcBorders>
          </w:tcPr>
          <w:p w:rsidR="00000000" w:rsidRDefault="00000000">
            <w:pPr>
              <w:ind w:right="113"/>
              <w:jc w:val="right"/>
              <w:rPr>
                <w:snapToGrid w:val="0"/>
                <w:sz w:val="18"/>
              </w:rPr>
            </w:pPr>
            <w:r>
              <w:rPr>
                <w:snapToGrid w:val="0"/>
                <w:sz w:val="18"/>
              </w:rPr>
              <w:t>796</w:t>
            </w:r>
          </w:p>
        </w:tc>
        <w:tc>
          <w:tcPr>
            <w:tcW w:w="992" w:type="dxa"/>
            <w:tcBorders>
              <w:top w:val="single" w:sz="4" w:space="0" w:color="auto"/>
            </w:tcBorders>
          </w:tcPr>
          <w:p w:rsidR="00000000" w:rsidRDefault="00000000">
            <w:pPr>
              <w:ind w:right="113"/>
              <w:jc w:val="right"/>
              <w:rPr>
                <w:snapToGrid w:val="0"/>
                <w:sz w:val="18"/>
              </w:rPr>
            </w:pPr>
            <w:r>
              <w:rPr>
                <w:snapToGrid w:val="0"/>
                <w:sz w:val="18"/>
              </w:rPr>
              <w:t>119</w:t>
            </w:r>
          </w:p>
        </w:tc>
        <w:tc>
          <w:tcPr>
            <w:tcW w:w="710" w:type="dxa"/>
            <w:tcBorders>
              <w:top w:val="single" w:sz="4" w:space="0" w:color="auto"/>
            </w:tcBorders>
          </w:tcPr>
          <w:p w:rsidR="00000000" w:rsidRDefault="00000000">
            <w:pPr>
              <w:ind w:right="57"/>
              <w:jc w:val="right"/>
              <w:rPr>
                <w:snapToGrid w:val="0"/>
                <w:sz w:val="18"/>
              </w:rPr>
            </w:pPr>
            <w:r>
              <w:rPr>
                <w:snapToGrid w:val="0"/>
                <w:sz w:val="18"/>
              </w:rPr>
              <w:t>34</w:t>
            </w:r>
          </w:p>
        </w:tc>
      </w:tr>
      <w:tr w:rsidR="00000000">
        <w:tblPrEx>
          <w:tblCellMar>
            <w:top w:w="0" w:type="dxa"/>
            <w:bottom w:w="0" w:type="dxa"/>
          </w:tblCellMar>
        </w:tblPrEx>
        <w:trPr>
          <w:trHeight w:val="192"/>
          <w:jc w:val="center"/>
        </w:trPr>
        <w:tc>
          <w:tcPr>
            <w:tcW w:w="1892" w:type="dxa"/>
            <w:tcBorders>
              <w:bottom w:val="nil"/>
            </w:tcBorders>
          </w:tcPr>
          <w:p w:rsidR="00000000" w:rsidRDefault="00000000">
            <w:pPr>
              <w:rPr>
                <w:snapToGrid w:val="0"/>
                <w:sz w:val="18"/>
              </w:rPr>
            </w:pPr>
            <w:r>
              <w:rPr>
                <w:snapToGrid w:val="0"/>
                <w:sz w:val="18"/>
              </w:rPr>
              <w:t>Rio G. do Norte</w:t>
            </w:r>
          </w:p>
        </w:tc>
        <w:tc>
          <w:tcPr>
            <w:tcW w:w="683" w:type="dxa"/>
            <w:tcBorders>
              <w:bottom w:val="nil"/>
            </w:tcBorders>
          </w:tcPr>
          <w:p w:rsidR="00000000" w:rsidRDefault="00000000">
            <w:pPr>
              <w:jc w:val="center"/>
              <w:rPr>
                <w:snapToGrid w:val="0"/>
                <w:sz w:val="18"/>
              </w:rPr>
            </w:pPr>
            <w:r>
              <w:rPr>
                <w:snapToGrid w:val="0"/>
                <w:sz w:val="18"/>
              </w:rPr>
              <w:t>1998</w:t>
            </w:r>
          </w:p>
        </w:tc>
        <w:tc>
          <w:tcPr>
            <w:tcW w:w="850" w:type="dxa"/>
            <w:tcBorders>
              <w:bottom w:val="nil"/>
            </w:tcBorders>
          </w:tcPr>
          <w:p w:rsidR="00000000" w:rsidRDefault="00000000">
            <w:pPr>
              <w:jc w:val="right"/>
              <w:rPr>
                <w:snapToGrid w:val="0"/>
                <w:sz w:val="18"/>
              </w:rPr>
            </w:pPr>
            <w:r>
              <w:rPr>
                <w:snapToGrid w:val="0"/>
                <w:sz w:val="18"/>
              </w:rPr>
              <w:t>1 712</w:t>
            </w:r>
          </w:p>
        </w:tc>
        <w:tc>
          <w:tcPr>
            <w:tcW w:w="999" w:type="dxa"/>
            <w:tcBorders>
              <w:bottom w:val="nil"/>
            </w:tcBorders>
          </w:tcPr>
          <w:p w:rsidR="00000000" w:rsidRDefault="00000000">
            <w:pPr>
              <w:ind w:right="113"/>
              <w:jc w:val="right"/>
              <w:rPr>
                <w:snapToGrid w:val="0"/>
                <w:sz w:val="18"/>
              </w:rPr>
            </w:pPr>
            <w:r>
              <w:rPr>
                <w:snapToGrid w:val="0"/>
                <w:sz w:val="18"/>
              </w:rPr>
              <w:t>85</w:t>
            </w:r>
          </w:p>
        </w:tc>
        <w:tc>
          <w:tcPr>
            <w:tcW w:w="865" w:type="dxa"/>
            <w:tcBorders>
              <w:bottom w:val="nil"/>
            </w:tcBorders>
          </w:tcPr>
          <w:p w:rsidR="00000000" w:rsidRDefault="00000000">
            <w:pPr>
              <w:ind w:right="57"/>
              <w:jc w:val="right"/>
              <w:rPr>
                <w:snapToGrid w:val="0"/>
                <w:sz w:val="18"/>
              </w:rPr>
            </w:pPr>
            <w:r>
              <w:rPr>
                <w:snapToGrid w:val="0"/>
                <w:sz w:val="18"/>
              </w:rPr>
              <w:t>1 435</w:t>
            </w:r>
          </w:p>
        </w:tc>
        <w:tc>
          <w:tcPr>
            <w:tcW w:w="992" w:type="dxa"/>
            <w:tcBorders>
              <w:bottom w:val="nil"/>
            </w:tcBorders>
          </w:tcPr>
          <w:p w:rsidR="00000000" w:rsidRDefault="00000000">
            <w:pPr>
              <w:ind w:right="113"/>
              <w:jc w:val="right"/>
              <w:rPr>
                <w:snapToGrid w:val="0"/>
                <w:sz w:val="18"/>
              </w:rPr>
            </w:pPr>
            <w:r>
              <w:rPr>
                <w:snapToGrid w:val="0"/>
                <w:sz w:val="18"/>
              </w:rPr>
              <w:t>646</w:t>
            </w:r>
          </w:p>
        </w:tc>
        <w:tc>
          <w:tcPr>
            <w:tcW w:w="1134" w:type="dxa"/>
            <w:tcBorders>
              <w:bottom w:val="nil"/>
            </w:tcBorders>
          </w:tcPr>
          <w:p w:rsidR="00000000" w:rsidRDefault="00000000">
            <w:pPr>
              <w:ind w:right="113"/>
              <w:jc w:val="right"/>
              <w:rPr>
                <w:snapToGrid w:val="0"/>
                <w:sz w:val="18"/>
              </w:rPr>
            </w:pPr>
            <w:r>
              <w:rPr>
                <w:snapToGrid w:val="0"/>
                <w:sz w:val="18"/>
              </w:rPr>
              <w:t>789</w:t>
            </w:r>
          </w:p>
        </w:tc>
        <w:tc>
          <w:tcPr>
            <w:tcW w:w="992" w:type="dxa"/>
            <w:tcBorders>
              <w:bottom w:val="nil"/>
            </w:tcBorders>
          </w:tcPr>
          <w:p w:rsidR="00000000" w:rsidRDefault="00000000">
            <w:pPr>
              <w:ind w:right="113"/>
              <w:jc w:val="right"/>
              <w:rPr>
                <w:snapToGrid w:val="0"/>
                <w:sz w:val="18"/>
              </w:rPr>
            </w:pPr>
            <w:r>
              <w:rPr>
                <w:snapToGrid w:val="0"/>
                <w:sz w:val="18"/>
              </w:rPr>
              <w:t>148</w:t>
            </w:r>
          </w:p>
        </w:tc>
        <w:tc>
          <w:tcPr>
            <w:tcW w:w="710" w:type="dxa"/>
            <w:tcBorders>
              <w:bottom w:val="nil"/>
            </w:tcBorders>
          </w:tcPr>
          <w:p w:rsidR="00000000" w:rsidRDefault="00000000">
            <w:pPr>
              <w:ind w:right="57"/>
              <w:jc w:val="right"/>
              <w:rPr>
                <w:snapToGrid w:val="0"/>
                <w:sz w:val="18"/>
              </w:rPr>
            </w:pPr>
            <w:r>
              <w:rPr>
                <w:snapToGrid w:val="0"/>
                <w:sz w:val="18"/>
              </w:rPr>
              <w:t>44</w:t>
            </w:r>
          </w:p>
        </w:tc>
      </w:tr>
      <w:tr w:rsidR="00000000">
        <w:tblPrEx>
          <w:tblCellMar>
            <w:top w:w="0" w:type="dxa"/>
            <w:bottom w:w="0" w:type="dxa"/>
          </w:tblCellMar>
        </w:tblPrEx>
        <w:trPr>
          <w:trHeight w:val="192"/>
          <w:jc w:val="center"/>
        </w:trPr>
        <w:tc>
          <w:tcPr>
            <w:tcW w:w="1892" w:type="dxa"/>
            <w:tcBorders>
              <w:top w:val="nil"/>
              <w:bottom w:val="single" w:sz="4" w:space="0" w:color="auto"/>
            </w:tcBorders>
          </w:tcPr>
          <w:p w:rsidR="00000000" w:rsidRDefault="00000000">
            <w:pPr>
              <w:rPr>
                <w:snapToGrid w:val="0"/>
                <w:sz w:val="18"/>
              </w:rPr>
            </w:pPr>
          </w:p>
        </w:tc>
        <w:tc>
          <w:tcPr>
            <w:tcW w:w="683" w:type="dxa"/>
            <w:tcBorders>
              <w:top w:val="nil"/>
              <w:bottom w:val="single" w:sz="4" w:space="0" w:color="auto"/>
            </w:tcBorders>
          </w:tcPr>
          <w:p w:rsidR="00000000" w:rsidRDefault="00000000">
            <w:pPr>
              <w:jc w:val="center"/>
              <w:rPr>
                <w:snapToGrid w:val="0"/>
                <w:sz w:val="18"/>
              </w:rPr>
            </w:pPr>
            <w:r>
              <w:rPr>
                <w:snapToGrid w:val="0"/>
                <w:sz w:val="18"/>
              </w:rPr>
              <w:t>1999</w:t>
            </w:r>
          </w:p>
        </w:tc>
        <w:tc>
          <w:tcPr>
            <w:tcW w:w="850" w:type="dxa"/>
            <w:tcBorders>
              <w:top w:val="nil"/>
              <w:bottom w:val="single" w:sz="4" w:space="0" w:color="auto"/>
            </w:tcBorders>
          </w:tcPr>
          <w:p w:rsidR="00000000" w:rsidRDefault="00000000">
            <w:pPr>
              <w:jc w:val="right"/>
              <w:rPr>
                <w:snapToGrid w:val="0"/>
                <w:sz w:val="18"/>
              </w:rPr>
            </w:pPr>
            <w:r>
              <w:rPr>
                <w:snapToGrid w:val="0"/>
                <w:sz w:val="18"/>
              </w:rPr>
              <w:t>1 530</w:t>
            </w:r>
          </w:p>
        </w:tc>
        <w:tc>
          <w:tcPr>
            <w:tcW w:w="999" w:type="dxa"/>
            <w:tcBorders>
              <w:top w:val="nil"/>
              <w:bottom w:val="single" w:sz="4" w:space="0" w:color="auto"/>
            </w:tcBorders>
          </w:tcPr>
          <w:p w:rsidR="00000000" w:rsidRDefault="00000000">
            <w:pPr>
              <w:ind w:right="113"/>
              <w:jc w:val="right"/>
              <w:rPr>
                <w:snapToGrid w:val="0"/>
                <w:sz w:val="18"/>
              </w:rPr>
            </w:pPr>
            <w:r>
              <w:rPr>
                <w:snapToGrid w:val="0"/>
                <w:sz w:val="18"/>
              </w:rPr>
              <w:t>65</w:t>
            </w:r>
          </w:p>
        </w:tc>
        <w:tc>
          <w:tcPr>
            <w:tcW w:w="865" w:type="dxa"/>
            <w:tcBorders>
              <w:top w:val="nil"/>
              <w:bottom w:val="single" w:sz="4" w:space="0" w:color="auto"/>
            </w:tcBorders>
          </w:tcPr>
          <w:p w:rsidR="00000000" w:rsidRDefault="00000000">
            <w:pPr>
              <w:ind w:right="57"/>
              <w:jc w:val="right"/>
              <w:rPr>
                <w:snapToGrid w:val="0"/>
                <w:sz w:val="18"/>
              </w:rPr>
            </w:pPr>
            <w:r>
              <w:rPr>
                <w:snapToGrid w:val="0"/>
                <w:sz w:val="18"/>
              </w:rPr>
              <w:t>1 249</w:t>
            </w:r>
          </w:p>
        </w:tc>
        <w:tc>
          <w:tcPr>
            <w:tcW w:w="992" w:type="dxa"/>
            <w:tcBorders>
              <w:top w:val="nil"/>
              <w:bottom w:val="single" w:sz="4" w:space="0" w:color="auto"/>
            </w:tcBorders>
          </w:tcPr>
          <w:p w:rsidR="00000000" w:rsidRDefault="00000000">
            <w:pPr>
              <w:ind w:right="113"/>
              <w:jc w:val="right"/>
              <w:rPr>
                <w:snapToGrid w:val="0"/>
                <w:sz w:val="18"/>
              </w:rPr>
            </w:pPr>
            <w:r>
              <w:rPr>
                <w:snapToGrid w:val="0"/>
                <w:sz w:val="18"/>
              </w:rPr>
              <w:t>482</w:t>
            </w:r>
          </w:p>
        </w:tc>
        <w:tc>
          <w:tcPr>
            <w:tcW w:w="1134" w:type="dxa"/>
            <w:tcBorders>
              <w:top w:val="nil"/>
              <w:bottom w:val="single" w:sz="4" w:space="0" w:color="auto"/>
            </w:tcBorders>
          </w:tcPr>
          <w:p w:rsidR="00000000" w:rsidRDefault="00000000">
            <w:pPr>
              <w:ind w:right="113"/>
              <w:jc w:val="right"/>
              <w:rPr>
                <w:snapToGrid w:val="0"/>
                <w:sz w:val="18"/>
              </w:rPr>
            </w:pPr>
            <w:r>
              <w:rPr>
                <w:snapToGrid w:val="0"/>
                <w:sz w:val="18"/>
              </w:rPr>
              <w:t>767</w:t>
            </w:r>
          </w:p>
        </w:tc>
        <w:tc>
          <w:tcPr>
            <w:tcW w:w="992" w:type="dxa"/>
            <w:tcBorders>
              <w:top w:val="nil"/>
              <w:bottom w:val="single" w:sz="4" w:space="0" w:color="auto"/>
            </w:tcBorders>
          </w:tcPr>
          <w:p w:rsidR="00000000" w:rsidRDefault="00000000">
            <w:pPr>
              <w:ind w:right="113"/>
              <w:jc w:val="right"/>
              <w:rPr>
                <w:snapToGrid w:val="0"/>
                <w:sz w:val="18"/>
              </w:rPr>
            </w:pPr>
            <w:r>
              <w:rPr>
                <w:snapToGrid w:val="0"/>
                <w:sz w:val="18"/>
              </w:rPr>
              <w:t>196</w:t>
            </w:r>
          </w:p>
        </w:tc>
        <w:tc>
          <w:tcPr>
            <w:tcW w:w="710" w:type="dxa"/>
            <w:tcBorders>
              <w:top w:val="nil"/>
              <w:bottom w:val="single" w:sz="4" w:space="0" w:color="auto"/>
            </w:tcBorders>
          </w:tcPr>
          <w:p w:rsidR="00000000" w:rsidRDefault="00000000">
            <w:pPr>
              <w:ind w:right="57"/>
              <w:jc w:val="right"/>
              <w:rPr>
                <w:snapToGrid w:val="0"/>
                <w:sz w:val="18"/>
              </w:rPr>
            </w:pPr>
            <w:r>
              <w:rPr>
                <w:snapToGrid w:val="0"/>
                <w:sz w:val="18"/>
              </w:rPr>
              <w:t>20</w:t>
            </w:r>
          </w:p>
        </w:tc>
      </w:tr>
      <w:tr w:rsidR="00000000">
        <w:tblPrEx>
          <w:tblCellMar>
            <w:top w:w="0" w:type="dxa"/>
            <w:bottom w:w="0" w:type="dxa"/>
          </w:tblCellMar>
        </w:tblPrEx>
        <w:trPr>
          <w:trHeight w:val="192"/>
          <w:jc w:val="center"/>
        </w:trPr>
        <w:tc>
          <w:tcPr>
            <w:tcW w:w="1892" w:type="dxa"/>
            <w:tcBorders>
              <w:top w:val="single" w:sz="4" w:space="0" w:color="auto"/>
            </w:tcBorders>
          </w:tcPr>
          <w:p w:rsidR="00000000" w:rsidRDefault="00000000">
            <w:pPr>
              <w:rPr>
                <w:snapToGrid w:val="0"/>
                <w:sz w:val="18"/>
              </w:rPr>
            </w:pPr>
          </w:p>
        </w:tc>
        <w:tc>
          <w:tcPr>
            <w:tcW w:w="683" w:type="dxa"/>
            <w:tcBorders>
              <w:top w:val="single" w:sz="4" w:space="0" w:color="auto"/>
            </w:tcBorders>
          </w:tcPr>
          <w:p w:rsidR="00000000" w:rsidRDefault="00000000">
            <w:pPr>
              <w:jc w:val="center"/>
              <w:rPr>
                <w:snapToGrid w:val="0"/>
                <w:sz w:val="18"/>
              </w:rPr>
            </w:pPr>
            <w:r>
              <w:rPr>
                <w:snapToGrid w:val="0"/>
                <w:sz w:val="18"/>
              </w:rPr>
              <w:t>1997</w:t>
            </w:r>
          </w:p>
        </w:tc>
        <w:tc>
          <w:tcPr>
            <w:tcW w:w="850" w:type="dxa"/>
            <w:tcBorders>
              <w:top w:val="single" w:sz="4" w:space="0" w:color="auto"/>
            </w:tcBorders>
          </w:tcPr>
          <w:p w:rsidR="00000000" w:rsidRDefault="00000000">
            <w:pPr>
              <w:jc w:val="right"/>
              <w:rPr>
                <w:snapToGrid w:val="0"/>
                <w:sz w:val="18"/>
              </w:rPr>
            </w:pPr>
            <w:r>
              <w:rPr>
                <w:snapToGrid w:val="0"/>
                <w:sz w:val="18"/>
              </w:rPr>
              <w:t>1 450</w:t>
            </w:r>
          </w:p>
        </w:tc>
        <w:tc>
          <w:tcPr>
            <w:tcW w:w="999" w:type="dxa"/>
            <w:tcBorders>
              <w:top w:val="single" w:sz="4" w:space="0" w:color="auto"/>
            </w:tcBorders>
          </w:tcPr>
          <w:p w:rsidR="00000000" w:rsidRDefault="00000000">
            <w:pPr>
              <w:ind w:right="113"/>
              <w:jc w:val="right"/>
              <w:rPr>
                <w:snapToGrid w:val="0"/>
                <w:sz w:val="18"/>
              </w:rPr>
            </w:pPr>
            <w:r>
              <w:rPr>
                <w:snapToGrid w:val="0"/>
                <w:sz w:val="18"/>
              </w:rPr>
              <w:t>130</w:t>
            </w:r>
          </w:p>
        </w:tc>
        <w:tc>
          <w:tcPr>
            <w:tcW w:w="865" w:type="dxa"/>
            <w:tcBorders>
              <w:top w:val="single" w:sz="4" w:space="0" w:color="auto"/>
            </w:tcBorders>
          </w:tcPr>
          <w:p w:rsidR="00000000" w:rsidRDefault="00000000">
            <w:pPr>
              <w:ind w:right="57"/>
              <w:jc w:val="right"/>
              <w:rPr>
                <w:snapToGrid w:val="0"/>
                <w:sz w:val="18"/>
              </w:rPr>
            </w:pPr>
            <w:r>
              <w:rPr>
                <w:snapToGrid w:val="0"/>
                <w:sz w:val="18"/>
              </w:rPr>
              <w:t>1 163</w:t>
            </w:r>
          </w:p>
        </w:tc>
        <w:tc>
          <w:tcPr>
            <w:tcW w:w="992" w:type="dxa"/>
            <w:tcBorders>
              <w:top w:val="single" w:sz="4" w:space="0" w:color="auto"/>
            </w:tcBorders>
          </w:tcPr>
          <w:p w:rsidR="00000000" w:rsidRDefault="00000000">
            <w:pPr>
              <w:ind w:right="113"/>
              <w:jc w:val="right"/>
              <w:rPr>
                <w:snapToGrid w:val="0"/>
                <w:sz w:val="18"/>
              </w:rPr>
            </w:pPr>
            <w:r>
              <w:rPr>
                <w:snapToGrid w:val="0"/>
                <w:sz w:val="18"/>
              </w:rPr>
              <w:t>504</w:t>
            </w:r>
          </w:p>
        </w:tc>
        <w:tc>
          <w:tcPr>
            <w:tcW w:w="1134" w:type="dxa"/>
            <w:tcBorders>
              <w:top w:val="single" w:sz="4" w:space="0" w:color="auto"/>
            </w:tcBorders>
          </w:tcPr>
          <w:p w:rsidR="00000000" w:rsidRDefault="00000000">
            <w:pPr>
              <w:ind w:right="113"/>
              <w:jc w:val="right"/>
              <w:rPr>
                <w:snapToGrid w:val="0"/>
                <w:sz w:val="18"/>
              </w:rPr>
            </w:pPr>
            <w:r>
              <w:rPr>
                <w:snapToGrid w:val="0"/>
                <w:sz w:val="18"/>
              </w:rPr>
              <w:t>659</w:t>
            </w:r>
          </w:p>
        </w:tc>
        <w:tc>
          <w:tcPr>
            <w:tcW w:w="992" w:type="dxa"/>
            <w:tcBorders>
              <w:top w:val="single" w:sz="4" w:space="0" w:color="auto"/>
            </w:tcBorders>
          </w:tcPr>
          <w:p w:rsidR="00000000" w:rsidRDefault="00000000">
            <w:pPr>
              <w:ind w:right="113"/>
              <w:jc w:val="right"/>
              <w:rPr>
                <w:snapToGrid w:val="0"/>
                <w:sz w:val="18"/>
              </w:rPr>
            </w:pPr>
            <w:r>
              <w:rPr>
                <w:snapToGrid w:val="0"/>
                <w:sz w:val="18"/>
              </w:rPr>
              <w:t>120</w:t>
            </w:r>
          </w:p>
        </w:tc>
        <w:tc>
          <w:tcPr>
            <w:tcW w:w="710" w:type="dxa"/>
            <w:tcBorders>
              <w:top w:val="single" w:sz="4" w:space="0" w:color="auto"/>
            </w:tcBorders>
          </w:tcPr>
          <w:p w:rsidR="00000000" w:rsidRDefault="00000000">
            <w:pPr>
              <w:ind w:right="57"/>
              <w:jc w:val="right"/>
              <w:rPr>
                <w:snapToGrid w:val="0"/>
                <w:sz w:val="18"/>
              </w:rPr>
            </w:pPr>
            <w:r>
              <w:rPr>
                <w:snapToGrid w:val="0"/>
                <w:sz w:val="18"/>
              </w:rPr>
              <w:t>37</w:t>
            </w:r>
          </w:p>
        </w:tc>
      </w:tr>
      <w:tr w:rsidR="00000000">
        <w:tblPrEx>
          <w:tblCellMar>
            <w:top w:w="0" w:type="dxa"/>
            <w:bottom w:w="0" w:type="dxa"/>
          </w:tblCellMar>
        </w:tblPrEx>
        <w:trPr>
          <w:trHeight w:val="192"/>
          <w:jc w:val="center"/>
        </w:trPr>
        <w:tc>
          <w:tcPr>
            <w:tcW w:w="1892" w:type="dxa"/>
            <w:tcBorders>
              <w:bottom w:val="nil"/>
            </w:tcBorders>
          </w:tcPr>
          <w:p w:rsidR="00000000" w:rsidRDefault="00000000">
            <w:pPr>
              <w:rPr>
                <w:snapToGrid w:val="0"/>
                <w:sz w:val="18"/>
              </w:rPr>
            </w:pPr>
            <w:r>
              <w:rPr>
                <w:snapToGrid w:val="0"/>
                <w:sz w:val="18"/>
              </w:rPr>
              <w:t>Paraíba</w:t>
            </w:r>
          </w:p>
        </w:tc>
        <w:tc>
          <w:tcPr>
            <w:tcW w:w="683" w:type="dxa"/>
            <w:tcBorders>
              <w:bottom w:val="nil"/>
            </w:tcBorders>
          </w:tcPr>
          <w:p w:rsidR="00000000" w:rsidRDefault="00000000">
            <w:pPr>
              <w:jc w:val="center"/>
              <w:rPr>
                <w:snapToGrid w:val="0"/>
                <w:sz w:val="18"/>
              </w:rPr>
            </w:pPr>
            <w:r>
              <w:rPr>
                <w:snapToGrid w:val="0"/>
                <w:sz w:val="18"/>
              </w:rPr>
              <w:t>1998</w:t>
            </w:r>
          </w:p>
        </w:tc>
        <w:tc>
          <w:tcPr>
            <w:tcW w:w="850" w:type="dxa"/>
            <w:tcBorders>
              <w:bottom w:val="nil"/>
            </w:tcBorders>
          </w:tcPr>
          <w:p w:rsidR="00000000" w:rsidRDefault="00000000">
            <w:pPr>
              <w:jc w:val="right"/>
              <w:rPr>
                <w:snapToGrid w:val="0"/>
                <w:sz w:val="18"/>
              </w:rPr>
            </w:pPr>
            <w:r>
              <w:rPr>
                <w:snapToGrid w:val="0"/>
                <w:sz w:val="18"/>
              </w:rPr>
              <w:t>1 249</w:t>
            </w:r>
          </w:p>
        </w:tc>
        <w:tc>
          <w:tcPr>
            <w:tcW w:w="999" w:type="dxa"/>
            <w:tcBorders>
              <w:bottom w:val="nil"/>
            </w:tcBorders>
          </w:tcPr>
          <w:p w:rsidR="00000000" w:rsidRDefault="00000000">
            <w:pPr>
              <w:ind w:right="113"/>
              <w:jc w:val="right"/>
              <w:rPr>
                <w:snapToGrid w:val="0"/>
                <w:sz w:val="18"/>
              </w:rPr>
            </w:pPr>
            <w:r>
              <w:rPr>
                <w:snapToGrid w:val="0"/>
                <w:sz w:val="18"/>
              </w:rPr>
              <w:t>54</w:t>
            </w:r>
          </w:p>
        </w:tc>
        <w:tc>
          <w:tcPr>
            <w:tcW w:w="865" w:type="dxa"/>
            <w:tcBorders>
              <w:bottom w:val="nil"/>
            </w:tcBorders>
          </w:tcPr>
          <w:p w:rsidR="00000000" w:rsidRDefault="00000000">
            <w:pPr>
              <w:ind w:right="57"/>
              <w:jc w:val="right"/>
              <w:rPr>
                <w:snapToGrid w:val="0"/>
                <w:sz w:val="18"/>
              </w:rPr>
            </w:pPr>
            <w:r>
              <w:rPr>
                <w:snapToGrid w:val="0"/>
                <w:sz w:val="18"/>
              </w:rPr>
              <w:t>1 023</w:t>
            </w:r>
          </w:p>
        </w:tc>
        <w:tc>
          <w:tcPr>
            <w:tcW w:w="992" w:type="dxa"/>
            <w:tcBorders>
              <w:bottom w:val="nil"/>
            </w:tcBorders>
          </w:tcPr>
          <w:p w:rsidR="00000000" w:rsidRDefault="00000000">
            <w:pPr>
              <w:ind w:right="113"/>
              <w:jc w:val="right"/>
              <w:rPr>
                <w:snapToGrid w:val="0"/>
                <w:sz w:val="18"/>
              </w:rPr>
            </w:pPr>
            <w:r>
              <w:rPr>
                <w:snapToGrid w:val="0"/>
                <w:sz w:val="18"/>
              </w:rPr>
              <w:t>364</w:t>
            </w:r>
          </w:p>
        </w:tc>
        <w:tc>
          <w:tcPr>
            <w:tcW w:w="1134" w:type="dxa"/>
            <w:tcBorders>
              <w:bottom w:val="nil"/>
            </w:tcBorders>
          </w:tcPr>
          <w:p w:rsidR="00000000" w:rsidRDefault="00000000">
            <w:pPr>
              <w:ind w:right="113"/>
              <w:jc w:val="right"/>
              <w:rPr>
                <w:snapToGrid w:val="0"/>
                <w:sz w:val="18"/>
              </w:rPr>
            </w:pPr>
            <w:r>
              <w:rPr>
                <w:snapToGrid w:val="0"/>
                <w:sz w:val="18"/>
              </w:rPr>
              <w:t>659</w:t>
            </w:r>
          </w:p>
        </w:tc>
        <w:tc>
          <w:tcPr>
            <w:tcW w:w="992" w:type="dxa"/>
            <w:tcBorders>
              <w:bottom w:val="nil"/>
            </w:tcBorders>
          </w:tcPr>
          <w:p w:rsidR="00000000" w:rsidRDefault="00000000">
            <w:pPr>
              <w:ind w:right="113"/>
              <w:jc w:val="right"/>
              <w:rPr>
                <w:snapToGrid w:val="0"/>
                <w:sz w:val="18"/>
              </w:rPr>
            </w:pPr>
            <w:r>
              <w:rPr>
                <w:snapToGrid w:val="0"/>
                <w:sz w:val="18"/>
              </w:rPr>
              <w:t>136</w:t>
            </w:r>
          </w:p>
        </w:tc>
        <w:tc>
          <w:tcPr>
            <w:tcW w:w="710" w:type="dxa"/>
            <w:tcBorders>
              <w:bottom w:val="nil"/>
            </w:tcBorders>
          </w:tcPr>
          <w:p w:rsidR="00000000" w:rsidRDefault="00000000">
            <w:pPr>
              <w:ind w:right="57"/>
              <w:jc w:val="right"/>
              <w:rPr>
                <w:snapToGrid w:val="0"/>
                <w:sz w:val="18"/>
              </w:rPr>
            </w:pPr>
            <w:r>
              <w:rPr>
                <w:snapToGrid w:val="0"/>
                <w:sz w:val="18"/>
              </w:rPr>
              <w:t>36</w:t>
            </w:r>
          </w:p>
        </w:tc>
      </w:tr>
      <w:tr w:rsidR="00000000">
        <w:tblPrEx>
          <w:tblCellMar>
            <w:top w:w="0" w:type="dxa"/>
            <w:bottom w:w="0" w:type="dxa"/>
          </w:tblCellMar>
        </w:tblPrEx>
        <w:trPr>
          <w:trHeight w:val="192"/>
          <w:jc w:val="center"/>
        </w:trPr>
        <w:tc>
          <w:tcPr>
            <w:tcW w:w="1892" w:type="dxa"/>
            <w:tcBorders>
              <w:top w:val="nil"/>
              <w:bottom w:val="single" w:sz="4" w:space="0" w:color="auto"/>
            </w:tcBorders>
          </w:tcPr>
          <w:p w:rsidR="00000000" w:rsidRDefault="00000000">
            <w:pPr>
              <w:rPr>
                <w:snapToGrid w:val="0"/>
                <w:sz w:val="18"/>
              </w:rPr>
            </w:pPr>
          </w:p>
        </w:tc>
        <w:tc>
          <w:tcPr>
            <w:tcW w:w="683" w:type="dxa"/>
            <w:tcBorders>
              <w:top w:val="nil"/>
              <w:bottom w:val="single" w:sz="4" w:space="0" w:color="auto"/>
            </w:tcBorders>
          </w:tcPr>
          <w:p w:rsidR="00000000" w:rsidRDefault="00000000">
            <w:pPr>
              <w:jc w:val="center"/>
              <w:rPr>
                <w:snapToGrid w:val="0"/>
                <w:sz w:val="18"/>
              </w:rPr>
            </w:pPr>
            <w:r>
              <w:rPr>
                <w:snapToGrid w:val="0"/>
                <w:sz w:val="18"/>
              </w:rPr>
              <w:t>1999</w:t>
            </w:r>
          </w:p>
        </w:tc>
        <w:tc>
          <w:tcPr>
            <w:tcW w:w="850" w:type="dxa"/>
            <w:tcBorders>
              <w:top w:val="nil"/>
              <w:bottom w:val="single" w:sz="4" w:space="0" w:color="auto"/>
            </w:tcBorders>
          </w:tcPr>
          <w:p w:rsidR="00000000" w:rsidRDefault="00000000">
            <w:pPr>
              <w:jc w:val="right"/>
              <w:rPr>
                <w:snapToGrid w:val="0"/>
                <w:sz w:val="18"/>
              </w:rPr>
            </w:pPr>
            <w:r>
              <w:rPr>
                <w:snapToGrid w:val="0"/>
                <w:sz w:val="18"/>
              </w:rPr>
              <w:t>1 125</w:t>
            </w:r>
          </w:p>
        </w:tc>
        <w:tc>
          <w:tcPr>
            <w:tcW w:w="999" w:type="dxa"/>
            <w:tcBorders>
              <w:top w:val="nil"/>
              <w:bottom w:val="single" w:sz="4" w:space="0" w:color="auto"/>
            </w:tcBorders>
          </w:tcPr>
          <w:p w:rsidR="00000000" w:rsidRDefault="00000000">
            <w:pPr>
              <w:ind w:right="113"/>
              <w:jc w:val="right"/>
              <w:rPr>
                <w:snapToGrid w:val="0"/>
                <w:sz w:val="18"/>
              </w:rPr>
            </w:pPr>
            <w:r>
              <w:rPr>
                <w:snapToGrid w:val="0"/>
                <w:sz w:val="18"/>
              </w:rPr>
              <w:t>35</w:t>
            </w:r>
          </w:p>
        </w:tc>
        <w:tc>
          <w:tcPr>
            <w:tcW w:w="865" w:type="dxa"/>
            <w:tcBorders>
              <w:top w:val="nil"/>
              <w:bottom w:val="single" w:sz="4" w:space="0" w:color="auto"/>
            </w:tcBorders>
          </w:tcPr>
          <w:p w:rsidR="00000000" w:rsidRDefault="00000000">
            <w:pPr>
              <w:ind w:right="57"/>
              <w:jc w:val="right"/>
              <w:rPr>
                <w:snapToGrid w:val="0"/>
                <w:sz w:val="18"/>
              </w:rPr>
            </w:pPr>
            <w:r>
              <w:rPr>
                <w:snapToGrid w:val="0"/>
                <w:sz w:val="18"/>
              </w:rPr>
              <w:t>909</w:t>
            </w:r>
          </w:p>
        </w:tc>
        <w:tc>
          <w:tcPr>
            <w:tcW w:w="992" w:type="dxa"/>
            <w:tcBorders>
              <w:top w:val="nil"/>
              <w:bottom w:val="single" w:sz="4" w:space="0" w:color="auto"/>
            </w:tcBorders>
          </w:tcPr>
          <w:p w:rsidR="00000000" w:rsidRDefault="00000000">
            <w:pPr>
              <w:ind w:right="113"/>
              <w:jc w:val="right"/>
              <w:rPr>
                <w:snapToGrid w:val="0"/>
                <w:sz w:val="18"/>
              </w:rPr>
            </w:pPr>
            <w:r>
              <w:rPr>
                <w:snapToGrid w:val="0"/>
                <w:sz w:val="18"/>
              </w:rPr>
              <w:t>309</w:t>
            </w:r>
          </w:p>
        </w:tc>
        <w:tc>
          <w:tcPr>
            <w:tcW w:w="1134" w:type="dxa"/>
            <w:tcBorders>
              <w:top w:val="nil"/>
              <w:bottom w:val="single" w:sz="4" w:space="0" w:color="auto"/>
            </w:tcBorders>
          </w:tcPr>
          <w:p w:rsidR="00000000" w:rsidRDefault="00000000">
            <w:pPr>
              <w:ind w:right="113"/>
              <w:jc w:val="right"/>
              <w:rPr>
                <w:snapToGrid w:val="0"/>
                <w:sz w:val="18"/>
              </w:rPr>
            </w:pPr>
            <w:r>
              <w:rPr>
                <w:snapToGrid w:val="0"/>
                <w:sz w:val="18"/>
              </w:rPr>
              <w:t>600</w:t>
            </w:r>
          </w:p>
        </w:tc>
        <w:tc>
          <w:tcPr>
            <w:tcW w:w="992" w:type="dxa"/>
            <w:tcBorders>
              <w:top w:val="nil"/>
              <w:bottom w:val="single" w:sz="4" w:space="0" w:color="auto"/>
            </w:tcBorders>
          </w:tcPr>
          <w:p w:rsidR="00000000" w:rsidRDefault="00000000">
            <w:pPr>
              <w:ind w:right="113"/>
              <w:jc w:val="right"/>
              <w:rPr>
                <w:snapToGrid w:val="0"/>
                <w:sz w:val="18"/>
              </w:rPr>
            </w:pPr>
            <w:r>
              <w:rPr>
                <w:snapToGrid w:val="0"/>
                <w:sz w:val="18"/>
              </w:rPr>
              <w:t>136</w:t>
            </w:r>
          </w:p>
        </w:tc>
        <w:tc>
          <w:tcPr>
            <w:tcW w:w="710" w:type="dxa"/>
            <w:tcBorders>
              <w:top w:val="nil"/>
              <w:bottom w:val="single" w:sz="4" w:space="0" w:color="auto"/>
            </w:tcBorders>
          </w:tcPr>
          <w:p w:rsidR="00000000" w:rsidRDefault="00000000">
            <w:pPr>
              <w:ind w:right="57"/>
              <w:jc w:val="right"/>
              <w:rPr>
                <w:snapToGrid w:val="0"/>
                <w:sz w:val="18"/>
              </w:rPr>
            </w:pPr>
            <w:r>
              <w:rPr>
                <w:snapToGrid w:val="0"/>
                <w:sz w:val="18"/>
              </w:rPr>
              <w:t>45</w:t>
            </w:r>
          </w:p>
        </w:tc>
      </w:tr>
      <w:tr w:rsidR="00000000">
        <w:tblPrEx>
          <w:tblCellMar>
            <w:top w:w="0" w:type="dxa"/>
            <w:bottom w:w="0" w:type="dxa"/>
          </w:tblCellMar>
        </w:tblPrEx>
        <w:trPr>
          <w:trHeight w:val="192"/>
          <w:jc w:val="center"/>
        </w:trPr>
        <w:tc>
          <w:tcPr>
            <w:tcW w:w="1892" w:type="dxa"/>
            <w:tcBorders>
              <w:top w:val="single" w:sz="4" w:space="0" w:color="auto"/>
            </w:tcBorders>
          </w:tcPr>
          <w:p w:rsidR="00000000" w:rsidRDefault="00000000">
            <w:pPr>
              <w:rPr>
                <w:snapToGrid w:val="0"/>
                <w:sz w:val="18"/>
              </w:rPr>
            </w:pPr>
          </w:p>
        </w:tc>
        <w:tc>
          <w:tcPr>
            <w:tcW w:w="683" w:type="dxa"/>
            <w:tcBorders>
              <w:top w:val="single" w:sz="4" w:space="0" w:color="auto"/>
            </w:tcBorders>
          </w:tcPr>
          <w:p w:rsidR="00000000" w:rsidRDefault="00000000">
            <w:pPr>
              <w:jc w:val="center"/>
              <w:rPr>
                <w:snapToGrid w:val="0"/>
                <w:sz w:val="18"/>
              </w:rPr>
            </w:pPr>
            <w:r>
              <w:rPr>
                <w:snapToGrid w:val="0"/>
                <w:sz w:val="18"/>
              </w:rPr>
              <w:t>1997</w:t>
            </w:r>
          </w:p>
        </w:tc>
        <w:tc>
          <w:tcPr>
            <w:tcW w:w="850" w:type="dxa"/>
            <w:tcBorders>
              <w:top w:val="single" w:sz="4" w:space="0" w:color="auto"/>
            </w:tcBorders>
          </w:tcPr>
          <w:p w:rsidR="00000000" w:rsidRDefault="00000000">
            <w:pPr>
              <w:jc w:val="right"/>
              <w:rPr>
                <w:snapToGrid w:val="0"/>
                <w:sz w:val="18"/>
              </w:rPr>
            </w:pPr>
            <w:r>
              <w:rPr>
                <w:snapToGrid w:val="0"/>
                <w:sz w:val="18"/>
              </w:rPr>
              <w:t>8 743</w:t>
            </w:r>
          </w:p>
        </w:tc>
        <w:tc>
          <w:tcPr>
            <w:tcW w:w="999" w:type="dxa"/>
            <w:tcBorders>
              <w:top w:val="single" w:sz="4" w:space="0" w:color="auto"/>
            </w:tcBorders>
          </w:tcPr>
          <w:p w:rsidR="00000000" w:rsidRDefault="00000000">
            <w:pPr>
              <w:ind w:right="113"/>
              <w:jc w:val="right"/>
              <w:rPr>
                <w:snapToGrid w:val="0"/>
                <w:sz w:val="18"/>
              </w:rPr>
            </w:pPr>
            <w:r>
              <w:rPr>
                <w:snapToGrid w:val="0"/>
                <w:sz w:val="18"/>
              </w:rPr>
              <w:t>348</w:t>
            </w:r>
          </w:p>
        </w:tc>
        <w:tc>
          <w:tcPr>
            <w:tcW w:w="865" w:type="dxa"/>
            <w:tcBorders>
              <w:top w:val="single" w:sz="4" w:space="0" w:color="auto"/>
            </w:tcBorders>
          </w:tcPr>
          <w:p w:rsidR="00000000" w:rsidRDefault="00000000">
            <w:pPr>
              <w:ind w:right="57"/>
              <w:jc w:val="right"/>
              <w:rPr>
                <w:snapToGrid w:val="0"/>
                <w:sz w:val="18"/>
              </w:rPr>
            </w:pPr>
            <w:r>
              <w:rPr>
                <w:snapToGrid w:val="0"/>
                <w:sz w:val="18"/>
              </w:rPr>
              <w:t>7 761</w:t>
            </w:r>
          </w:p>
        </w:tc>
        <w:tc>
          <w:tcPr>
            <w:tcW w:w="992" w:type="dxa"/>
            <w:tcBorders>
              <w:top w:val="single" w:sz="4" w:space="0" w:color="auto"/>
            </w:tcBorders>
          </w:tcPr>
          <w:p w:rsidR="00000000" w:rsidRDefault="00000000">
            <w:pPr>
              <w:ind w:right="113"/>
              <w:jc w:val="right"/>
              <w:rPr>
                <w:snapToGrid w:val="0"/>
                <w:sz w:val="18"/>
              </w:rPr>
            </w:pPr>
            <w:r>
              <w:rPr>
                <w:snapToGrid w:val="0"/>
                <w:sz w:val="18"/>
              </w:rPr>
              <w:t>3 701</w:t>
            </w:r>
          </w:p>
        </w:tc>
        <w:tc>
          <w:tcPr>
            <w:tcW w:w="1134" w:type="dxa"/>
            <w:tcBorders>
              <w:top w:val="single" w:sz="4" w:space="0" w:color="auto"/>
            </w:tcBorders>
          </w:tcPr>
          <w:p w:rsidR="00000000" w:rsidRDefault="00000000">
            <w:pPr>
              <w:ind w:right="113"/>
              <w:jc w:val="right"/>
              <w:rPr>
                <w:snapToGrid w:val="0"/>
                <w:sz w:val="18"/>
              </w:rPr>
            </w:pPr>
            <w:r>
              <w:rPr>
                <w:snapToGrid w:val="0"/>
                <w:sz w:val="18"/>
              </w:rPr>
              <w:t>4 060</w:t>
            </w:r>
          </w:p>
        </w:tc>
        <w:tc>
          <w:tcPr>
            <w:tcW w:w="992" w:type="dxa"/>
            <w:tcBorders>
              <w:top w:val="single" w:sz="4" w:space="0" w:color="auto"/>
            </w:tcBorders>
          </w:tcPr>
          <w:p w:rsidR="00000000" w:rsidRDefault="00000000">
            <w:pPr>
              <w:ind w:right="113"/>
              <w:jc w:val="right"/>
              <w:rPr>
                <w:snapToGrid w:val="0"/>
                <w:sz w:val="18"/>
              </w:rPr>
            </w:pPr>
            <w:r>
              <w:rPr>
                <w:snapToGrid w:val="0"/>
                <w:sz w:val="18"/>
              </w:rPr>
              <w:t>509</w:t>
            </w:r>
          </w:p>
        </w:tc>
        <w:tc>
          <w:tcPr>
            <w:tcW w:w="710" w:type="dxa"/>
            <w:tcBorders>
              <w:top w:val="single" w:sz="4" w:space="0" w:color="auto"/>
            </w:tcBorders>
          </w:tcPr>
          <w:p w:rsidR="00000000" w:rsidRDefault="00000000">
            <w:pPr>
              <w:ind w:right="57"/>
              <w:jc w:val="right"/>
              <w:rPr>
                <w:snapToGrid w:val="0"/>
                <w:sz w:val="18"/>
              </w:rPr>
            </w:pPr>
            <w:r>
              <w:rPr>
                <w:snapToGrid w:val="0"/>
                <w:sz w:val="18"/>
              </w:rPr>
              <w:t>125</w:t>
            </w:r>
          </w:p>
        </w:tc>
      </w:tr>
      <w:tr w:rsidR="00000000">
        <w:tblPrEx>
          <w:tblCellMar>
            <w:top w:w="0" w:type="dxa"/>
            <w:bottom w:w="0" w:type="dxa"/>
          </w:tblCellMar>
        </w:tblPrEx>
        <w:trPr>
          <w:trHeight w:val="192"/>
          <w:jc w:val="center"/>
        </w:trPr>
        <w:tc>
          <w:tcPr>
            <w:tcW w:w="1892" w:type="dxa"/>
            <w:tcBorders>
              <w:bottom w:val="nil"/>
            </w:tcBorders>
          </w:tcPr>
          <w:p w:rsidR="00000000" w:rsidRDefault="00000000">
            <w:pPr>
              <w:rPr>
                <w:snapToGrid w:val="0"/>
                <w:sz w:val="18"/>
              </w:rPr>
            </w:pPr>
            <w:r>
              <w:rPr>
                <w:snapToGrid w:val="0"/>
                <w:sz w:val="18"/>
              </w:rPr>
              <w:t>Pernambuco</w:t>
            </w:r>
          </w:p>
        </w:tc>
        <w:tc>
          <w:tcPr>
            <w:tcW w:w="683" w:type="dxa"/>
            <w:tcBorders>
              <w:bottom w:val="nil"/>
            </w:tcBorders>
          </w:tcPr>
          <w:p w:rsidR="00000000" w:rsidRDefault="00000000">
            <w:pPr>
              <w:jc w:val="center"/>
              <w:rPr>
                <w:snapToGrid w:val="0"/>
                <w:sz w:val="18"/>
              </w:rPr>
            </w:pPr>
            <w:r>
              <w:rPr>
                <w:snapToGrid w:val="0"/>
                <w:sz w:val="18"/>
              </w:rPr>
              <w:t>1998</w:t>
            </w:r>
          </w:p>
        </w:tc>
        <w:tc>
          <w:tcPr>
            <w:tcW w:w="850" w:type="dxa"/>
            <w:tcBorders>
              <w:bottom w:val="nil"/>
            </w:tcBorders>
          </w:tcPr>
          <w:p w:rsidR="00000000" w:rsidRDefault="00000000">
            <w:pPr>
              <w:jc w:val="right"/>
              <w:rPr>
                <w:snapToGrid w:val="0"/>
                <w:sz w:val="18"/>
              </w:rPr>
            </w:pPr>
            <w:r>
              <w:rPr>
                <w:snapToGrid w:val="0"/>
                <w:sz w:val="18"/>
              </w:rPr>
              <w:t>6 807</w:t>
            </w:r>
          </w:p>
        </w:tc>
        <w:tc>
          <w:tcPr>
            <w:tcW w:w="999" w:type="dxa"/>
            <w:tcBorders>
              <w:bottom w:val="nil"/>
            </w:tcBorders>
          </w:tcPr>
          <w:p w:rsidR="00000000" w:rsidRDefault="00000000">
            <w:pPr>
              <w:ind w:right="113"/>
              <w:jc w:val="right"/>
              <w:rPr>
                <w:snapToGrid w:val="0"/>
                <w:sz w:val="18"/>
              </w:rPr>
            </w:pPr>
            <w:r>
              <w:rPr>
                <w:snapToGrid w:val="0"/>
                <w:sz w:val="18"/>
              </w:rPr>
              <w:t>345</w:t>
            </w:r>
          </w:p>
        </w:tc>
        <w:tc>
          <w:tcPr>
            <w:tcW w:w="865" w:type="dxa"/>
            <w:tcBorders>
              <w:bottom w:val="nil"/>
            </w:tcBorders>
          </w:tcPr>
          <w:p w:rsidR="00000000" w:rsidRDefault="00000000">
            <w:pPr>
              <w:ind w:right="57"/>
              <w:jc w:val="right"/>
              <w:rPr>
                <w:snapToGrid w:val="0"/>
                <w:sz w:val="18"/>
              </w:rPr>
            </w:pPr>
            <w:r>
              <w:rPr>
                <w:snapToGrid w:val="0"/>
                <w:sz w:val="18"/>
              </w:rPr>
              <w:t>5 819</w:t>
            </w:r>
          </w:p>
        </w:tc>
        <w:tc>
          <w:tcPr>
            <w:tcW w:w="992" w:type="dxa"/>
            <w:tcBorders>
              <w:bottom w:val="nil"/>
            </w:tcBorders>
          </w:tcPr>
          <w:p w:rsidR="00000000" w:rsidRDefault="00000000">
            <w:pPr>
              <w:ind w:right="113"/>
              <w:jc w:val="right"/>
              <w:rPr>
                <w:snapToGrid w:val="0"/>
                <w:sz w:val="18"/>
              </w:rPr>
            </w:pPr>
            <w:r>
              <w:rPr>
                <w:snapToGrid w:val="0"/>
                <w:sz w:val="18"/>
              </w:rPr>
              <w:t>2 565</w:t>
            </w:r>
          </w:p>
        </w:tc>
        <w:tc>
          <w:tcPr>
            <w:tcW w:w="1134" w:type="dxa"/>
            <w:tcBorders>
              <w:bottom w:val="nil"/>
            </w:tcBorders>
          </w:tcPr>
          <w:p w:rsidR="00000000" w:rsidRDefault="00000000">
            <w:pPr>
              <w:ind w:right="113"/>
              <w:jc w:val="right"/>
              <w:rPr>
                <w:snapToGrid w:val="0"/>
                <w:sz w:val="18"/>
              </w:rPr>
            </w:pPr>
            <w:r>
              <w:rPr>
                <w:snapToGrid w:val="0"/>
                <w:sz w:val="18"/>
              </w:rPr>
              <w:t>3 254</w:t>
            </w:r>
          </w:p>
        </w:tc>
        <w:tc>
          <w:tcPr>
            <w:tcW w:w="992" w:type="dxa"/>
            <w:tcBorders>
              <w:bottom w:val="nil"/>
            </w:tcBorders>
          </w:tcPr>
          <w:p w:rsidR="00000000" w:rsidRDefault="00000000">
            <w:pPr>
              <w:ind w:right="113"/>
              <w:jc w:val="right"/>
              <w:rPr>
                <w:snapToGrid w:val="0"/>
                <w:sz w:val="18"/>
              </w:rPr>
            </w:pPr>
            <w:r>
              <w:rPr>
                <w:snapToGrid w:val="0"/>
                <w:sz w:val="18"/>
              </w:rPr>
              <w:t>501</w:t>
            </w:r>
          </w:p>
        </w:tc>
        <w:tc>
          <w:tcPr>
            <w:tcW w:w="710" w:type="dxa"/>
            <w:tcBorders>
              <w:bottom w:val="nil"/>
            </w:tcBorders>
          </w:tcPr>
          <w:p w:rsidR="00000000" w:rsidRDefault="00000000">
            <w:pPr>
              <w:ind w:right="57"/>
              <w:jc w:val="right"/>
              <w:rPr>
                <w:snapToGrid w:val="0"/>
                <w:sz w:val="18"/>
              </w:rPr>
            </w:pPr>
            <w:r>
              <w:rPr>
                <w:snapToGrid w:val="0"/>
                <w:sz w:val="18"/>
              </w:rPr>
              <w:t>142</w:t>
            </w:r>
          </w:p>
        </w:tc>
      </w:tr>
      <w:tr w:rsidR="00000000">
        <w:tblPrEx>
          <w:tblCellMar>
            <w:top w:w="0" w:type="dxa"/>
            <w:bottom w:w="0" w:type="dxa"/>
          </w:tblCellMar>
        </w:tblPrEx>
        <w:trPr>
          <w:trHeight w:val="192"/>
          <w:jc w:val="center"/>
        </w:trPr>
        <w:tc>
          <w:tcPr>
            <w:tcW w:w="1892" w:type="dxa"/>
            <w:tcBorders>
              <w:top w:val="nil"/>
              <w:bottom w:val="single" w:sz="4" w:space="0" w:color="auto"/>
            </w:tcBorders>
          </w:tcPr>
          <w:p w:rsidR="00000000" w:rsidRDefault="00000000">
            <w:pPr>
              <w:rPr>
                <w:snapToGrid w:val="0"/>
                <w:sz w:val="18"/>
              </w:rPr>
            </w:pPr>
          </w:p>
        </w:tc>
        <w:tc>
          <w:tcPr>
            <w:tcW w:w="683" w:type="dxa"/>
            <w:tcBorders>
              <w:top w:val="nil"/>
              <w:bottom w:val="single" w:sz="4" w:space="0" w:color="auto"/>
            </w:tcBorders>
          </w:tcPr>
          <w:p w:rsidR="00000000" w:rsidRDefault="00000000">
            <w:pPr>
              <w:jc w:val="center"/>
              <w:rPr>
                <w:snapToGrid w:val="0"/>
                <w:sz w:val="18"/>
              </w:rPr>
            </w:pPr>
            <w:r>
              <w:rPr>
                <w:snapToGrid w:val="0"/>
                <w:sz w:val="18"/>
              </w:rPr>
              <w:t>1999</w:t>
            </w:r>
          </w:p>
        </w:tc>
        <w:tc>
          <w:tcPr>
            <w:tcW w:w="850" w:type="dxa"/>
            <w:tcBorders>
              <w:top w:val="nil"/>
              <w:bottom w:val="single" w:sz="4" w:space="0" w:color="auto"/>
            </w:tcBorders>
          </w:tcPr>
          <w:p w:rsidR="00000000" w:rsidRDefault="00000000">
            <w:pPr>
              <w:jc w:val="right"/>
              <w:rPr>
                <w:snapToGrid w:val="0"/>
                <w:sz w:val="18"/>
              </w:rPr>
            </w:pPr>
            <w:r>
              <w:rPr>
                <w:snapToGrid w:val="0"/>
                <w:sz w:val="18"/>
              </w:rPr>
              <w:t>6 161</w:t>
            </w:r>
          </w:p>
        </w:tc>
        <w:tc>
          <w:tcPr>
            <w:tcW w:w="999" w:type="dxa"/>
            <w:tcBorders>
              <w:top w:val="nil"/>
              <w:bottom w:val="single" w:sz="4" w:space="0" w:color="auto"/>
            </w:tcBorders>
          </w:tcPr>
          <w:p w:rsidR="00000000" w:rsidRDefault="00000000">
            <w:pPr>
              <w:ind w:right="113"/>
              <w:jc w:val="right"/>
              <w:rPr>
                <w:snapToGrid w:val="0"/>
                <w:sz w:val="18"/>
              </w:rPr>
            </w:pPr>
            <w:r>
              <w:rPr>
                <w:snapToGrid w:val="0"/>
                <w:sz w:val="18"/>
              </w:rPr>
              <w:t>329</w:t>
            </w:r>
          </w:p>
        </w:tc>
        <w:tc>
          <w:tcPr>
            <w:tcW w:w="865" w:type="dxa"/>
            <w:tcBorders>
              <w:top w:val="nil"/>
              <w:bottom w:val="single" w:sz="4" w:space="0" w:color="auto"/>
            </w:tcBorders>
          </w:tcPr>
          <w:p w:rsidR="00000000" w:rsidRDefault="00000000">
            <w:pPr>
              <w:ind w:right="57"/>
              <w:jc w:val="right"/>
              <w:rPr>
                <w:snapToGrid w:val="0"/>
                <w:sz w:val="18"/>
              </w:rPr>
            </w:pPr>
            <w:r>
              <w:rPr>
                <w:snapToGrid w:val="0"/>
                <w:sz w:val="18"/>
              </w:rPr>
              <w:t>5 221</w:t>
            </w:r>
          </w:p>
        </w:tc>
        <w:tc>
          <w:tcPr>
            <w:tcW w:w="992" w:type="dxa"/>
            <w:tcBorders>
              <w:top w:val="nil"/>
              <w:bottom w:val="single" w:sz="4" w:space="0" w:color="auto"/>
            </w:tcBorders>
          </w:tcPr>
          <w:p w:rsidR="00000000" w:rsidRDefault="00000000">
            <w:pPr>
              <w:ind w:right="113"/>
              <w:jc w:val="right"/>
              <w:rPr>
                <w:snapToGrid w:val="0"/>
                <w:sz w:val="18"/>
              </w:rPr>
            </w:pPr>
            <w:r>
              <w:rPr>
                <w:snapToGrid w:val="0"/>
                <w:sz w:val="18"/>
              </w:rPr>
              <w:t>2 185</w:t>
            </w:r>
          </w:p>
        </w:tc>
        <w:tc>
          <w:tcPr>
            <w:tcW w:w="1134" w:type="dxa"/>
            <w:tcBorders>
              <w:top w:val="nil"/>
              <w:bottom w:val="single" w:sz="4" w:space="0" w:color="auto"/>
            </w:tcBorders>
          </w:tcPr>
          <w:p w:rsidR="00000000" w:rsidRDefault="00000000">
            <w:pPr>
              <w:ind w:right="113"/>
              <w:jc w:val="right"/>
              <w:rPr>
                <w:snapToGrid w:val="0"/>
                <w:sz w:val="18"/>
              </w:rPr>
            </w:pPr>
            <w:r>
              <w:rPr>
                <w:snapToGrid w:val="0"/>
                <w:sz w:val="18"/>
              </w:rPr>
              <w:t>3 036</w:t>
            </w:r>
          </w:p>
        </w:tc>
        <w:tc>
          <w:tcPr>
            <w:tcW w:w="992" w:type="dxa"/>
            <w:tcBorders>
              <w:top w:val="nil"/>
              <w:bottom w:val="single" w:sz="4" w:space="0" w:color="auto"/>
            </w:tcBorders>
          </w:tcPr>
          <w:p w:rsidR="00000000" w:rsidRDefault="00000000">
            <w:pPr>
              <w:ind w:right="113"/>
              <w:jc w:val="right"/>
              <w:rPr>
                <w:snapToGrid w:val="0"/>
                <w:sz w:val="18"/>
              </w:rPr>
            </w:pPr>
            <w:r>
              <w:rPr>
                <w:snapToGrid w:val="0"/>
                <w:sz w:val="18"/>
              </w:rPr>
              <w:t>466</w:t>
            </w:r>
          </w:p>
        </w:tc>
        <w:tc>
          <w:tcPr>
            <w:tcW w:w="710" w:type="dxa"/>
            <w:tcBorders>
              <w:top w:val="nil"/>
              <w:bottom w:val="single" w:sz="4" w:space="0" w:color="auto"/>
            </w:tcBorders>
          </w:tcPr>
          <w:p w:rsidR="00000000" w:rsidRDefault="00000000">
            <w:pPr>
              <w:ind w:right="57"/>
              <w:jc w:val="right"/>
              <w:rPr>
                <w:snapToGrid w:val="0"/>
                <w:sz w:val="18"/>
              </w:rPr>
            </w:pPr>
            <w:r>
              <w:rPr>
                <w:snapToGrid w:val="0"/>
                <w:sz w:val="18"/>
              </w:rPr>
              <w:t>145</w:t>
            </w:r>
          </w:p>
        </w:tc>
      </w:tr>
      <w:tr w:rsidR="00000000">
        <w:tblPrEx>
          <w:tblCellMar>
            <w:top w:w="0" w:type="dxa"/>
            <w:bottom w:w="0" w:type="dxa"/>
          </w:tblCellMar>
        </w:tblPrEx>
        <w:trPr>
          <w:trHeight w:val="192"/>
          <w:jc w:val="center"/>
        </w:trPr>
        <w:tc>
          <w:tcPr>
            <w:tcW w:w="1892" w:type="dxa"/>
            <w:tcBorders>
              <w:top w:val="single" w:sz="4" w:space="0" w:color="auto"/>
            </w:tcBorders>
          </w:tcPr>
          <w:p w:rsidR="00000000" w:rsidRDefault="00000000">
            <w:pPr>
              <w:rPr>
                <w:snapToGrid w:val="0"/>
                <w:sz w:val="18"/>
              </w:rPr>
            </w:pPr>
          </w:p>
        </w:tc>
        <w:tc>
          <w:tcPr>
            <w:tcW w:w="683" w:type="dxa"/>
            <w:tcBorders>
              <w:top w:val="single" w:sz="4" w:space="0" w:color="auto"/>
            </w:tcBorders>
          </w:tcPr>
          <w:p w:rsidR="00000000" w:rsidRDefault="00000000">
            <w:pPr>
              <w:jc w:val="center"/>
              <w:rPr>
                <w:snapToGrid w:val="0"/>
                <w:sz w:val="18"/>
              </w:rPr>
            </w:pPr>
            <w:r>
              <w:rPr>
                <w:snapToGrid w:val="0"/>
                <w:sz w:val="18"/>
              </w:rPr>
              <w:t>1997</w:t>
            </w:r>
          </w:p>
        </w:tc>
        <w:tc>
          <w:tcPr>
            <w:tcW w:w="850" w:type="dxa"/>
            <w:tcBorders>
              <w:top w:val="single" w:sz="4" w:space="0" w:color="auto"/>
            </w:tcBorders>
          </w:tcPr>
          <w:p w:rsidR="00000000" w:rsidRDefault="00000000">
            <w:pPr>
              <w:jc w:val="right"/>
              <w:rPr>
                <w:snapToGrid w:val="0"/>
                <w:sz w:val="18"/>
              </w:rPr>
            </w:pPr>
            <w:r>
              <w:rPr>
                <w:snapToGrid w:val="0"/>
                <w:sz w:val="18"/>
              </w:rPr>
              <w:t>2 810</w:t>
            </w:r>
          </w:p>
        </w:tc>
        <w:tc>
          <w:tcPr>
            <w:tcW w:w="999" w:type="dxa"/>
            <w:tcBorders>
              <w:top w:val="single" w:sz="4" w:space="0" w:color="auto"/>
            </w:tcBorders>
          </w:tcPr>
          <w:p w:rsidR="00000000" w:rsidRDefault="00000000">
            <w:pPr>
              <w:ind w:right="113"/>
              <w:jc w:val="right"/>
              <w:rPr>
                <w:snapToGrid w:val="0"/>
                <w:sz w:val="18"/>
              </w:rPr>
            </w:pPr>
            <w:r>
              <w:rPr>
                <w:snapToGrid w:val="0"/>
                <w:sz w:val="18"/>
              </w:rPr>
              <w:t>204</w:t>
            </w:r>
          </w:p>
        </w:tc>
        <w:tc>
          <w:tcPr>
            <w:tcW w:w="865" w:type="dxa"/>
            <w:tcBorders>
              <w:top w:val="single" w:sz="4" w:space="0" w:color="auto"/>
            </w:tcBorders>
          </w:tcPr>
          <w:p w:rsidR="00000000" w:rsidRDefault="00000000">
            <w:pPr>
              <w:ind w:right="57"/>
              <w:jc w:val="right"/>
              <w:rPr>
                <w:snapToGrid w:val="0"/>
                <w:sz w:val="18"/>
              </w:rPr>
            </w:pPr>
            <w:r>
              <w:rPr>
                <w:snapToGrid w:val="0"/>
                <w:sz w:val="18"/>
              </w:rPr>
              <w:t>2 505</w:t>
            </w:r>
          </w:p>
        </w:tc>
        <w:tc>
          <w:tcPr>
            <w:tcW w:w="992" w:type="dxa"/>
            <w:tcBorders>
              <w:top w:val="single" w:sz="4" w:space="0" w:color="auto"/>
            </w:tcBorders>
          </w:tcPr>
          <w:p w:rsidR="00000000" w:rsidRDefault="00000000">
            <w:pPr>
              <w:ind w:right="113"/>
              <w:jc w:val="right"/>
              <w:rPr>
                <w:snapToGrid w:val="0"/>
                <w:sz w:val="18"/>
              </w:rPr>
            </w:pPr>
            <w:r>
              <w:rPr>
                <w:snapToGrid w:val="0"/>
                <w:sz w:val="18"/>
              </w:rPr>
              <w:t>1 734</w:t>
            </w:r>
          </w:p>
        </w:tc>
        <w:tc>
          <w:tcPr>
            <w:tcW w:w="1134" w:type="dxa"/>
            <w:tcBorders>
              <w:top w:val="single" w:sz="4" w:space="0" w:color="auto"/>
            </w:tcBorders>
          </w:tcPr>
          <w:p w:rsidR="00000000" w:rsidRDefault="00000000">
            <w:pPr>
              <w:ind w:right="113"/>
              <w:jc w:val="right"/>
              <w:rPr>
                <w:snapToGrid w:val="0"/>
                <w:sz w:val="18"/>
              </w:rPr>
            </w:pPr>
            <w:r>
              <w:rPr>
                <w:snapToGrid w:val="0"/>
                <w:sz w:val="18"/>
              </w:rPr>
              <w:t>771</w:t>
            </w:r>
          </w:p>
        </w:tc>
        <w:tc>
          <w:tcPr>
            <w:tcW w:w="992" w:type="dxa"/>
            <w:tcBorders>
              <w:top w:val="single" w:sz="4" w:space="0" w:color="auto"/>
            </w:tcBorders>
          </w:tcPr>
          <w:p w:rsidR="00000000" w:rsidRDefault="00000000">
            <w:pPr>
              <w:ind w:right="113"/>
              <w:jc w:val="right"/>
              <w:rPr>
                <w:snapToGrid w:val="0"/>
                <w:sz w:val="18"/>
              </w:rPr>
            </w:pPr>
            <w:r>
              <w:rPr>
                <w:snapToGrid w:val="0"/>
                <w:sz w:val="18"/>
              </w:rPr>
              <w:t>68</w:t>
            </w:r>
          </w:p>
        </w:tc>
        <w:tc>
          <w:tcPr>
            <w:tcW w:w="710" w:type="dxa"/>
            <w:tcBorders>
              <w:top w:val="single" w:sz="4" w:space="0" w:color="auto"/>
            </w:tcBorders>
          </w:tcPr>
          <w:p w:rsidR="00000000" w:rsidRDefault="00000000">
            <w:pPr>
              <w:ind w:right="57"/>
              <w:jc w:val="right"/>
              <w:rPr>
                <w:snapToGrid w:val="0"/>
                <w:sz w:val="18"/>
              </w:rPr>
            </w:pPr>
            <w:r>
              <w:rPr>
                <w:snapToGrid w:val="0"/>
                <w:sz w:val="18"/>
              </w:rPr>
              <w:t>33</w:t>
            </w:r>
          </w:p>
        </w:tc>
      </w:tr>
      <w:tr w:rsidR="00000000">
        <w:tblPrEx>
          <w:tblCellMar>
            <w:top w:w="0" w:type="dxa"/>
            <w:bottom w:w="0" w:type="dxa"/>
          </w:tblCellMar>
        </w:tblPrEx>
        <w:trPr>
          <w:trHeight w:val="192"/>
          <w:jc w:val="center"/>
        </w:trPr>
        <w:tc>
          <w:tcPr>
            <w:tcW w:w="1892" w:type="dxa"/>
            <w:tcBorders>
              <w:bottom w:val="nil"/>
            </w:tcBorders>
          </w:tcPr>
          <w:p w:rsidR="00000000" w:rsidRDefault="00000000">
            <w:pPr>
              <w:rPr>
                <w:snapToGrid w:val="0"/>
                <w:sz w:val="18"/>
              </w:rPr>
            </w:pPr>
            <w:r>
              <w:rPr>
                <w:snapToGrid w:val="0"/>
                <w:sz w:val="18"/>
              </w:rPr>
              <w:t>Alagoas</w:t>
            </w:r>
          </w:p>
        </w:tc>
        <w:tc>
          <w:tcPr>
            <w:tcW w:w="683" w:type="dxa"/>
            <w:tcBorders>
              <w:bottom w:val="nil"/>
            </w:tcBorders>
          </w:tcPr>
          <w:p w:rsidR="00000000" w:rsidRDefault="00000000">
            <w:pPr>
              <w:jc w:val="center"/>
              <w:rPr>
                <w:snapToGrid w:val="0"/>
                <w:sz w:val="18"/>
              </w:rPr>
            </w:pPr>
            <w:r>
              <w:rPr>
                <w:snapToGrid w:val="0"/>
                <w:sz w:val="18"/>
              </w:rPr>
              <w:t>1998</w:t>
            </w:r>
          </w:p>
        </w:tc>
        <w:tc>
          <w:tcPr>
            <w:tcW w:w="850" w:type="dxa"/>
            <w:tcBorders>
              <w:bottom w:val="nil"/>
            </w:tcBorders>
          </w:tcPr>
          <w:p w:rsidR="00000000" w:rsidRDefault="00000000">
            <w:pPr>
              <w:jc w:val="right"/>
              <w:rPr>
                <w:snapToGrid w:val="0"/>
                <w:sz w:val="18"/>
              </w:rPr>
            </w:pPr>
            <w:r>
              <w:rPr>
                <w:snapToGrid w:val="0"/>
                <w:sz w:val="18"/>
              </w:rPr>
              <w:t>2 921</w:t>
            </w:r>
          </w:p>
        </w:tc>
        <w:tc>
          <w:tcPr>
            <w:tcW w:w="999" w:type="dxa"/>
            <w:tcBorders>
              <w:bottom w:val="nil"/>
            </w:tcBorders>
          </w:tcPr>
          <w:p w:rsidR="00000000" w:rsidRDefault="00000000">
            <w:pPr>
              <w:ind w:right="113"/>
              <w:jc w:val="right"/>
              <w:rPr>
                <w:snapToGrid w:val="0"/>
                <w:sz w:val="18"/>
              </w:rPr>
            </w:pPr>
            <w:r>
              <w:rPr>
                <w:snapToGrid w:val="0"/>
                <w:sz w:val="18"/>
              </w:rPr>
              <w:t>346</w:t>
            </w:r>
          </w:p>
        </w:tc>
        <w:tc>
          <w:tcPr>
            <w:tcW w:w="865" w:type="dxa"/>
            <w:tcBorders>
              <w:bottom w:val="nil"/>
            </w:tcBorders>
          </w:tcPr>
          <w:p w:rsidR="00000000" w:rsidRDefault="00000000">
            <w:pPr>
              <w:ind w:right="57"/>
              <w:jc w:val="right"/>
              <w:rPr>
                <w:snapToGrid w:val="0"/>
                <w:sz w:val="18"/>
              </w:rPr>
            </w:pPr>
            <w:r>
              <w:rPr>
                <w:snapToGrid w:val="0"/>
                <w:sz w:val="18"/>
              </w:rPr>
              <w:t>2 473</w:t>
            </w:r>
          </w:p>
        </w:tc>
        <w:tc>
          <w:tcPr>
            <w:tcW w:w="992" w:type="dxa"/>
            <w:tcBorders>
              <w:bottom w:val="nil"/>
            </w:tcBorders>
          </w:tcPr>
          <w:p w:rsidR="00000000" w:rsidRDefault="00000000">
            <w:pPr>
              <w:ind w:right="113"/>
              <w:jc w:val="right"/>
              <w:rPr>
                <w:snapToGrid w:val="0"/>
                <w:sz w:val="18"/>
              </w:rPr>
            </w:pPr>
            <w:r>
              <w:rPr>
                <w:snapToGrid w:val="0"/>
                <w:sz w:val="18"/>
              </w:rPr>
              <w:t>1 768</w:t>
            </w:r>
          </w:p>
        </w:tc>
        <w:tc>
          <w:tcPr>
            <w:tcW w:w="1134" w:type="dxa"/>
            <w:tcBorders>
              <w:bottom w:val="nil"/>
            </w:tcBorders>
          </w:tcPr>
          <w:p w:rsidR="00000000" w:rsidRDefault="00000000">
            <w:pPr>
              <w:ind w:right="113"/>
              <w:jc w:val="right"/>
              <w:rPr>
                <w:snapToGrid w:val="0"/>
                <w:sz w:val="18"/>
              </w:rPr>
            </w:pPr>
            <w:r>
              <w:rPr>
                <w:snapToGrid w:val="0"/>
                <w:sz w:val="18"/>
              </w:rPr>
              <w:t>705</w:t>
            </w:r>
          </w:p>
        </w:tc>
        <w:tc>
          <w:tcPr>
            <w:tcW w:w="992" w:type="dxa"/>
            <w:tcBorders>
              <w:bottom w:val="nil"/>
            </w:tcBorders>
          </w:tcPr>
          <w:p w:rsidR="00000000" w:rsidRDefault="00000000">
            <w:pPr>
              <w:ind w:right="113"/>
              <w:jc w:val="right"/>
              <w:rPr>
                <w:snapToGrid w:val="0"/>
                <w:sz w:val="18"/>
              </w:rPr>
            </w:pPr>
            <w:r>
              <w:rPr>
                <w:snapToGrid w:val="0"/>
                <w:sz w:val="18"/>
              </w:rPr>
              <w:t>59</w:t>
            </w:r>
          </w:p>
        </w:tc>
        <w:tc>
          <w:tcPr>
            <w:tcW w:w="710" w:type="dxa"/>
            <w:tcBorders>
              <w:bottom w:val="nil"/>
            </w:tcBorders>
          </w:tcPr>
          <w:p w:rsidR="00000000" w:rsidRDefault="00000000">
            <w:pPr>
              <w:ind w:right="57"/>
              <w:jc w:val="right"/>
              <w:rPr>
                <w:snapToGrid w:val="0"/>
                <w:sz w:val="18"/>
              </w:rPr>
            </w:pPr>
            <w:r>
              <w:rPr>
                <w:snapToGrid w:val="0"/>
                <w:sz w:val="18"/>
              </w:rPr>
              <w:t>43</w:t>
            </w:r>
          </w:p>
        </w:tc>
      </w:tr>
      <w:tr w:rsidR="00000000">
        <w:tblPrEx>
          <w:tblCellMar>
            <w:top w:w="0" w:type="dxa"/>
            <w:bottom w:w="0" w:type="dxa"/>
          </w:tblCellMar>
        </w:tblPrEx>
        <w:trPr>
          <w:trHeight w:val="192"/>
          <w:jc w:val="center"/>
        </w:trPr>
        <w:tc>
          <w:tcPr>
            <w:tcW w:w="1892" w:type="dxa"/>
            <w:tcBorders>
              <w:top w:val="nil"/>
              <w:bottom w:val="single" w:sz="4" w:space="0" w:color="auto"/>
            </w:tcBorders>
          </w:tcPr>
          <w:p w:rsidR="00000000" w:rsidRDefault="00000000">
            <w:pPr>
              <w:rPr>
                <w:snapToGrid w:val="0"/>
                <w:sz w:val="18"/>
              </w:rPr>
            </w:pPr>
          </w:p>
        </w:tc>
        <w:tc>
          <w:tcPr>
            <w:tcW w:w="683" w:type="dxa"/>
            <w:tcBorders>
              <w:top w:val="nil"/>
              <w:bottom w:val="single" w:sz="4" w:space="0" w:color="auto"/>
            </w:tcBorders>
          </w:tcPr>
          <w:p w:rsidR="00000000" w:rsidRDefault="00000000">
            <w:pPr>
              <w:jc w:val="center"/>
              <w:rPr>
                <w:snapToGrid w:val="0"/>
                <w:sz w:val="18"/>
              </w:rPr>
            </w:pPr>
            <w:r>
              <w:rPr>
                <w:snapToGrid w:val="0"/>
                <w:sz w:val="18"/>
              </w:rPr>
              <w:t>1999</w:t>
            </w:r>
          </w:p>
        </w:tc>
        <w:tc>
          <w:tcPr>
            <w:tcW w:w="850" w:type="dxa"/>
            <w:tcBorders>
              <w:top w:val="nil"/>
              <w:bottom w:val="single" w:sz="4" w:space="0" w:color="auto"/>
            </w:tcBorders>
          </w:tcPr>
          <w:p w:rsidR="00000000" w:rsidRDefault="00000000">
            <w:pPr>
              <w:jc w:val="right"/>
              <w:rPr>
                <w:snapToGrid w:val="0"/>
                <w:sz w:val="18"/>
              </w:rPr>
            </w:pPr>
            <w:r>
              <w:rPr>
                <w:snapToGrid w:val="0"/>
                <w:sz w:val="18"/>
              </w:rPr>
              <w:t>2 909</w:t>
            </w:r>
          </w:p>
        </w:tc>
        <w:tc>
          <w:tcPr>
            <w:tcW w:w="999" w:type="dxa"/>
            <w:tcBorders>
              <w:top w:val="nil"/>
              <w:bottom w:val="single" w:sz="4" w:space="0" w:color="auto"/>
            </w:tcBorders>
          </w:tcPr>
          <w:p w:rsidR="00000000" w:rsidRDefault="00000000">
            <w:pPr>
              <w:ind w:right="113"/>
              <w:jc w:val="right"/>
              <w:rPr>
                <w:snapToGrid w:val="0"/>
                <w:sz w:val="18"/>
              </w:rPr>
            </w:pPr>
            <w:r>
              <w:rPr>
                <w:snapToGrid w:val="0"/>
                <w:sz w:val="18"/>
              </w:rPr>
              <w:t>307</w:t>
            </w:r>
          </w:p>
        </w:tc>
        <w:tc>
          <w:tcPr>
            <w:tcW w:w="865" w:type="dxa"/>
            <w:tcBorders>
              <w:top w:val="nil"/>
              <w:bottom w:val="single" w:sz="4" w:space="0" w:color="auto"/>
            </w:tcBorders>
          </w:tcPr>
          <w:p w:rsidR="00000000" w:rsidRDefault="00000000">
            <w:pPr>
              <w:ind w:right="57"/>
              <w:jc w:val="right"/>
              <w:rPr>
                <w:snapToGrid w:val="0"/>
                <w:sz w:val="18"/>
              </w:rPr>
            </w:pPr>
            <w:r>
              <w:rPr>
                <w:snapToGrid w:val="0"/>
                <w:sz w:val="18"/>
              </w:rPr>
              <w:t>2 479</w:t>
            </w:r>
          </w:p>
        </w:tc>
        <w:tc>
          <w:tcPr>
            <w:tcW w:w="992" w:type="dxa"/>
            <w:tcBorders>
              <w:top w:val="nil"/>
              <w:bottom w:val="single" w:sz="4" w:space="0" w:color="auto"/>
            </w:tcBorders>
          </w:tcPr>
          <w:p w:rsidR="00000000" w:rsidRDefault="00000000">
            <w:pPr>
              <w:ind w:right="113"/>
              <w:jc w:val="right"/>
              <w:rPr>
                <w:snapToGrid w:val="0"/>
                <w:sz w:val="18"/>
              </w:rPr>
            </w:pPr>
            <w:r>
              <w:rPr>
                <w:snapToGrid w:val="0"/>
                <w:sz w:val="18"/>
              </w:rPr>
              <w:t>1 855</w:t>
            </w:r>
          </w:p>
        </w:tc>
        <w:tc>
          <w:tcPr>
            <w:tcW w:w="1134" w:type="dxa"/>
            <w:tcBorders>
              <w:top w:val="nil"/>
              <w:bottom w:val="single" w:sz="4" w:space="0" w:color="auto"/>
            </w:tcBorders>
          </w:tcPr>
          <w:p w:rsidR="00000000" w:rsidRDefault="00000000">
            <w:pPr>
              <w:ind w:right="113"/>
              <w:jc w:val="right"/>
              <w:rPr>
                <w:snapToGrid w:val="0"/>
                <w:sz w:val="18"/>
              </w:rPr>
            </w:pPr>
            <w:r>
              <w:rPr>
                <w:snapToGrid w:val="0"/>
                <w:sz w:val="18"/>
              </w:rPr>
              <w:t>624</w:t>
            </w:r>
          </w:p>
        </w:tc>
        <w:tc>
          <w:tcPr>
            <w:tcW w:w="992" w:type="dxa"/>
            <w:tcBorders>
              <w:top w:val="nil"/>
              <w:bottom w:val="single" w:sz="4" w:space="0" w:color="auto"/>
            </w:tcBorders>
          </w:tcPr>
          <w:p w:rsidR="00000000" w:rsidRDefault="00000000">
            <w:pPr>
              <w:ind w:right="113"/>
              <w:jc w:val="right"/>
              <w:rPr>
                <w:snapToGrid w:val="0"/>
                <w:sz w:val="18"/>
              </w:rPr>
            </w:pPr>
            <w:r>
              <w:rPr>
                <w:snapToGrid w:val="0"/>
                <w:sz w:val="18"/>
              </w:rPr>
              <w:t>85</w:t>
            </w:r>
          </w:p>
        </w:tc>
        <w:tc>
          <w:tcPr>
            <w:tcW w:w="710" w:type="dxa"/>
            <w:tcBorders>
              <w:top w:val="nil"/>
              <w:bottom w:val="single" w:sz="4" w:space="0" w:color="auto"/>
            </w:tcBorders>
          </w:tcPr>
          <w:p w:rsidR="00000000" w:rsidRDefault="00000000">
            <w:pPr>
              <w:ind w:right="57"/>
              <w:jc w:val="right"/>
              <w:rPr>
                <w:snapToGrid w:val="0"/>
                <w:sz w:val="18"/>
              </w:rPr>
            </w:pPr>
            <w:r>
              <w:rPr>
                <w:snapToGrid w:val="0"/>
                <w:sz w:val="18"/>
              </w:rPr>
              <w:t>38</w:t>
            </w:r>
          </w:p>
        </w:tc>
      </w:tr>
    </w:tbl>
    <w:p w:rsidR="00000000" w:rsidRDefault="00000000">
      <w:pPr>
        <w:jc w:val="center"/>
      </w:pPr>
    </w:p>
    <w:tbl>
      <w:tblPr>
        <w:tblW w:w="0" w:type="auto"/>
        <w:jc w:val="center"/>
        <w:tblInd w:w="-1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70"/>
        <w:gridCol w:w="1821"/>
        <w:gridCol w:w="71"/>
        <w:gridCol w:w="613"/>
        <w:gridCol w:w="70"/>
        <w:gridCol w:w="780"/>
        <w:gridCol w:w="70"/>
        <w:gridCol w:w="929"/>
        <w:gridCol w:w="70"/>
        <w:gridCol w:w="799"/>
        <w:gridCol w:w="66"/>
        <w:gridCol w:w="926"/>
        <w:gridCol w:w="66"/>
        <w:gridCol w:w="1068"/>
        <w:gridCol w:w="66"/>
        <w:gridCol w:w="926"/>
        <w:gridCol w:w="66"/>
        <w:gridCol w:w="639"/>
        <w:gridCol w:w="71"/>
      </w:tblGrid>
      <w:tr w:rsidR="00000000">
        <w:tblPrEx>
          <w:tblCellMar>
            <w:top w:w="0" w:type="dxa"/>
            <w:bottom w:w="0" w:type="dxa"/>
          </w:tblCellMar>
        </w:tblPrEx>
        <w:trPr>
          <w:gridBefore w:val="1"/>
          <w:wBefore w:w="70" w:type="dxa"/>
          <w:cantSplit/>
          <w:trHeight w:val="192"/>
          <w:jc w:val="center"/>
        </w:trPr>
        <w:tc>
          <w:tcPr>
            <w:tcW w:w="9117" w:type="dxa"/>
            <w:gridSpan w:val="18"/>
            <w:tcBorders>
              <w:top w:val="nil"/>
              <w:left w:val="nil"/>
              <w:bottom w:val="single" w:sz="4" w:space="0" w:color="auto"/>
              <w:right w:val="nil"/>
            </w:tcBorders>
          </w:tcPr>
          <w:p w:rsidR="00000000" w:rsidRDefault="00000000">
            <w:pPr>
              <w:ind w:right="57"/>
              <w:jc w:val="center"/>
              <w:rPr>
                <w:b/>
                <w:bCs/>
                <w:snapToGrid w:val="0"/>
                <w:sz w:val="18"/>
              </w:rPr>
            </w:pPr>
            <w:r>
              <w:br w:type="page"/>
            </w:r>
            <w:r>
              <w:rPr>
                <w:b/>
                <w:bCs/>
                <w:snapToGrid w:val="0"/>
                <w:sz w:val="18"/>
              </w:rPr>
              <w:t>Table 32 (</w:t>
            </w:r>
            <w:r>
              <w:rPr>
                <w:b/>
                <w:bCs/>
                <w:snapToGrid w:val="0"/>
                <w:sz w:val="18"/>
                <w:u w:val="single"/>
              </w:rPr>
              <w:t>continued</w:t>
            </w:r>
            <w:r>
              <w:rPr>
                <w:b/>
                <w:bCs/>
                <w:snapToGrid w:val="0"/>
                <w:sz w:val="18"/>
              </w:rPr>
              <w:t>)</w:t>
            </w:r>
          </w:p>
          <w:p w:rsidR="00000000" w:rsidRDefault="00000000">
            <w:pPr>
              <w:ind w:right="57"/>
              <w:jc w:val="center"/>
              <w:rPr>
                <w:snapToGrid w:val="0"/>
                <w:sz w:val="18"/>
              </w:rPr>
            </w:pPr>
          </w:p>
        </w:tc>
      </w:tr>
      <w:tr w:rsidR="00000000">
        <w:tblPrEx>
          <w:tblCellMar>
            <w:top w:w="0" w:type="dxa"/>
            <w:bottom w:w="0" w:type="dxa"/>
          </w:tblCellMar>
        </w:tblPrEx>
        <w:trPr>
          <w:gridBefore w:val="1"/>
          <w:wBefore w:w="70" w:type="dxa"/>
          <w:cantSplit/>
          <w:trHeight w:val="192"/>
          <w:jc w:val="center"/>
        </w:trPr>
        <w:tc>
          <w:tcPr>
            <w:tcW w:w="1892" w:type="dxa"/>
            <w:gridSpan w:val="2"/>
            <w:vMerge w:val="restart"/>
            <w:tcBorders>
              <w:top w:val="single" w:sz="4" w:space="0" w:color="auto"/>
              <w:bottom w:val="nil"/>
              <w:right w:val="single" w:sz="4" w:space="0" w:color="auto"/>
            </w:tcBorders>
            <w:vAlign w:val="center"/>
          </w:tcPr>
          <w:p w:rsidR="00000000" w:rsidRDefault="00000000">
            <w:pPr>
              <w:jc w:val="center"/>
              <w:rPr>
                <w:bCs/>
                <w:snapToGrid w:val="0"/>
                <w:sz w:val="18"/>
              </w:rPr>
            </w:pPr>
            <w:r>
              <w:rPr>
                <w:bCs/>
                <w:snapToGrid w:val="0"/>
                <w:sz w:val="18"/>
              </w:rPr>
              <w:t>Regions and states</w:t>
            </w:r>
          </w:p>
        </w:tc>
        <w:tc>
          <w:tcPr>
            <w:tcW w:w="683" w:type="dxa"/>
            <w:gridSpan w:val="2"/>
            <w:vMerge w:val="restart"/>
            <w:tcBorders>
              <w:top w:val="single" w:sz="4" w:space="0" w:color="auto"/>
              <w:left w:val="single" w:sz="4" w:space="0" w:color="auto"/>
              <w:bottom w:val="nil"/>
              <w:right w:val="single" w:sz="4" w:space="0" w:color="auto"/>
            </w:tcBorders>
            <w:vAlign w:val="center"/>
          </w:tcPr>
          <w:p w:rsidR="00000000" w:rsidRDefault="00000000">
            <w:pPr>
              <w:jc w:val="center"/>
              <w:rPr>
                <w:bCs/>
                <w:snapToGrid w:val="0"/>
                <w:sz w:val="18"/>
              </w:rPr>
            </w:pPr>
            <w:r>
              <w:rPr>
                <w:bCs/>
                <w:snapToGrid w:val="0"/>
                <w:sz w:val="18"/>
              </w:rPr>
              <w:t>Years</w:t>
            </w:r>
          </w:p>
        </w:tc>
        <w:tc>
          <w:tcPr>
            <w:tcW w:w="6542" w:type="dxa"/>
            <w:gridSpan w:val="14"/>
            <w:tcBorders>
              <w:top w:val="single" w:sz="4" w:space="0" w:color="auto"/>
              <w:left w:val="single" w:sz="4" w:space="0" w:color="auto"/>
              <w:bottom w:val="single" w:sz="4" w:space="0" w:color="auto"/>
            </w:tcBorders>
            <w:vAlign w:val="center"/>
          </w:tcPr>
          <w:p w:rsidR="00000000" w:rsidRDefault="00000000">
            <w:pPr>
              <w:ind w:right="57"/>
              <w:jc w:val="center"/>
              <w:rPr>
                <w:snapToGrid w:val="0"/>
                <w:sz w:val="18"/>
              </w:rPr>
            </w:pPr>
            <w:r>
              <w:rPr>
                <w:bCs/>
                <w:snapToGrid w:val="0"/>
                <w:sz w:val="18"/>
              </w:rPr>
              <w:t>Number of workplace accidents settled</w:t>
            </w:r>
          </w:p>
        </w:tc>
      </w:tr>
      <w:tr w:rsidR="00000000">
        <w:tblPrEx>
          <w:tblCellMar>
            <w:top w:w="0" w:type="dxa"/>
            <w:bottom w:w="0" w:type="dxa"/>
          </w:tblCellMar>
        </w:tblPrEx>
        <w:trPr>
          <w:gridBefore w:val="1"/>
          <w:wBefore w:w="70" w:type="dxa"/>
          <w:cantSplit/>
          <w:trHeight w:val="192"/>
          <w:jc w:val="center"/>
        </w:trPr>
        <w:tc>
          <w:tcPr>
            <w:tcW w:w="1892" w:type="dxa"/>
            <w:gridSpan w:val="2"/>
            <w:vMerge/>
            <w:tcBorders>
              <w:top w:val="nil"/>
              <w:right w:val="single" w:sz="4" w:space="0" w:color="auto"/>
            </w:tcBorders>
          </w:tcPr>
          <w:p w:rsidR="00000000" w:rsidRDefault="00000000">
            <w:pPr>
              <w:rPr>
                <w:bCs/>
                <w:snapToGrid w:val="0"/>
                <w:sz w:val="18"/>
              </w:rPr>
            </w:pPr>
          </w:p>
        </w:tc>
        <w:tc>
          <w:tcPr>
            <w:tcW w:w="683" w:type="dxa"/>
            <w:gridSpan w:val="2"/>
            <w:vMerge/>
            <w:tcBorders>
              <w:top w:val="nil"/>
              <w:left w:val="single" w:sz="4" w:space="0" w:color="auto"/>
              <w:right w:val="single" w:sz="4" w:space="0" w:color="auto"/>
            </w:tcBorders>
          </w:tcPr>
          <w:p w:rsidR="00000000" w:rsidRDefault="00000000">
            <w:pPr>
              <w:jc w:val="center"/>
              <w:rPr>
                <w:bCs/>
                <w:snapToGrid w:val="0"/>
                <w:sz w:val="18"/>
              </w:rPr>
            </w:pPr>
          </w:p>
        </w:tc>
        <w:tc>
          <w:tcPr>
            <w:tcW w:w="850" w:type="dxa"/>
            <w:gridSpan w:val="2"/>
            <w:vMerge w:val="restart"/>
            <w:tcBorders>
              <w:top w:val="nil"/>
              <w:left w:val="single" w:sz="4" w:space="0" w:color="auto"/>
              <w:right w:val="single" w:sz="4" w:space="0" w:color="auto"/>
            </w:tcBorders>
            <w:vAlign w:val="center"/>
          </w:tcPr>
          <w:p w:rsidR="00000000" w:rsidRDefault="00000000">
            <w:pPr>
              <w:jc w:val="center"/>
              <w:rPr>
                <w:bCs/>
                <w:snapToGrid w:val="0"/>
                <w:sz w:val="18"/>
              </w:rPr>
            </w:pPr>
            <w:r>
              <w:rPr>
                <w:bCs/>
                <w:snapToGrid w:val="0"/>
                <w:sz w:val="18"/>
              </w:rPr>
              <w:t>Total</w:t>
            </w:r>
          </w:p>
        </w:tc>
        <w:tc>
          <w:tcPr>
            <w:tcW w:w="5692" w:type="dxa"/>
            <w:gridSpan w:val="12"/>
            <w:tcBorders>
              <w:top w:val="nil"/>
              <w:left w:val="single" w:sz="4" w:space="0" w:color="auto"/>
              <w:bottom w:val="single" w:sz="4" w:space="0" w:color="auto"/>
            </w:tcBorders>
            <w:vAlign w:val="center"/>
          </w:tcPr>
          <w:p w:rsidR="00000000" w:rsidRDefault="00000000">
            <w:pPr>
              <w:ind w:right="57"/>
              <w:jc w:val="center"/>
              <w:rPr>
                <w:snapToGrid w:val="0"/>
                <w:sz w:val="18"/>
              </w:rPr>
            </w:pPr>
            <w:r>
              <w:rPr>
                <w:bCs/>
                <w:snapToGrid w:val="0"/>
                <w:sz w:val="18"/>
              </w:rPr>
              <w:t>Results</w:t>
            </w:r>
          </w:p>
        </w:tc>
      </w:tr>
      <w:tr w:rsidR="00000000">
        <w:tblPrEx>
          <w:tblCellMar>
            <w:top w:w="0" w:type="dxa"/>
            <w:bottom w:w="0" w:type="dxa"/>
          </w:tblCellMar>
        </w:tblPrEx>
        <w:trPr>
          <w:gridBefore w:val="1"/>
          <w:wBefore w:w="70" w:type="dxa"/>
          <w:cantSplit/>
          <w:trHeight w:val="192"/>
          <w:jc w:val="center"/>
        </w:trPr>
        <w:tc>
          <w:tcPr>
            <w:tcW w:w="1892" w:type="dxa"/>
            <w:gridSpan w:val="2"/>
            <w:vMerge/>
            <w:tcBorders>
              <w:right w:val="single" w:sz="4" w:space="0" w:color="auto"/>
            </w:tcBorders>
          </w:tcPr>
          <w:p w:rsidR="00000000" w:rsidRDefault="00000000">
            <w:pPr>
              <w:rPr>
                <w:bCs/>
                <w:snapToGrid w:val="0"/>
                <w:sz w:val="18"/>
              </w:rPr>
            </w:pPr>
          </w:p>
        </w:tc>
        <w:tc>
          <w:tcPr>
            <w:tcW w:w="683" w:type="dxa"/>
            <w:gridSpan w:val="2"/>
            <w:vMerge/>
            <w:tcBorders>
              <w:left w:val="single" w:sz="4" w:space="0" w:color="auto"/>
              <w:right w:val="single" w:sz="4" w:space="0" w:color="auto"/>
            </w:tcBorders>
          </w:tcPr>
          <w:p w:rsidR="00000000" w:rsidRDefault="00000000">
            <w:pPr>
              <w:jc w:val="center"/>
              <w:rPr>
                <w:bCs/>
                <w:snapToGrid w:val="0"/>
                <w:sz w:val="18"/>
              </w:rPr>
            </w:pPr>
          </w:p>
        </w:tc>
        <w:tc>
          <w:tcPr>
            <w:tcW w:w="850" w:type="dxa"/>
            <w:gridSpan w:val="2"/>
            <w:vMerge/>
            <w:tcBorders>
              <w:left w:val="single" w:sz="4" w:space="0" w:color="auto"/>
              <w:right w:val="single" w:sz="4" w:space="0" w:color="auto"/>
            </w:tcBorders>
          </w:tcPr>
          <w:p w:rsidR="00000000" w:rsidRDefault="00000000">
            <w:pPr>
              <w:rPr>
                <w:bCs/>
                <w:snapToGrid w:val="0"/>
                <w:sz w:val="18"/>
              </w:rPr>
            </w:pPr>
          </w:p>
        </w:tc>
        <w:tc>
          <w:tcPr>
            <w:tcW w:w="999" w:type="dxa"/>
            <w:gridSpan w:val="2"/>
            <w:vMerge w:val="restart"/>
            <w:tcBorders>
              <w:top w:val="nil"/>
              <w:left w:val="single" w:sz="4" w:space="0" w:color="auto"/>
              <w:right w:val="single" w:sz="4" w:space="0" w:color="auto"/>
            </w:tcBorders>
            <w:vAlign w:val="center"/>
          </w:tcPr>
          <w:p w:rsidR="00000000" w:rsidRDefault="00000000">
            <w:pPr>
              <w:jc w:val="center"/>
              <w:rPr>
                <w:bCs/>
                <w:snapToGrid w:val="0"/>
                <w:sz w:val="18"/>
              </w:rPr>
            </w:pPr>
            <w:r>
              <w:rPr>
                <w:bCs/>
                <w:snapToGrid w:val="0"/>
                <w:sz w:val="18"/>
              </w:rPr>
              <w:t>Medical assistance</w:t>
            </w:r>
          </w:p>
        </w:tc>
        <w:tc>
          <w:tcPr>
            <w:tcW w:w="2991" w:type="dxa"/>
            <w:gridSpan w:val="6"/>
            <w:tcBorders>
              <w:top w:val="nil"/>
              <w:left w:val="single" w:sz="4" w:space="0" w:color="auto"/>
              <w:bottom w:val="single" w:sz="4" w:space="0" w:color="auto"/>
              <w:right w:val="single" w:sz="4" w:space="0" w:color="auto"/>
            </w:tcBorders>
            <w:vAlign w:val="center"/>
          </w:tcPr>
          <w:p w:rsidR="00000000" w:rsidRDefault="00000000">
            <w:pPr>
              <w:jc w:val="center"/>
              <w:rPr>
                <w:bCs/>
                <w:snapToGrid w:val="0"/>
                <w:sz w:val="18"/>
              </w:rPr>
            </w:pPr>
            <w:r>
              <w:rPr>
                <w:bCs/>
                <w:snapToGrid w:val="0"/>
                <w:sz w:val="18"/>
              </w:rPr>
              <w:t>Temporary disability</w:t>
            </w:r>
          </w:p>
        </w:tc>
        <w:tc>
          <w:tcPr>
            <w:tcW w:w="992" w:type="dxa"/>
            <w:gridSpan w:val="2"/>
            <w:vMerge w:val="restart"/>
            <w:tcBorders>
              <w:top w:val="nil"/>
              <w:left w:val="single" w:sz="4" w:space="0" w:color="auto"/>
              <w:right w:val="single" w:sz="4" w:space="0" w:color="auto"/>
            </w:tcBorders>
            <w:vAlign w:val="center"/>
          </w:tcPr>
          <w:p w:rsidR="00000000" w:rsidRDefault="00000000">
            <w:pPr>
              <w:rPr>
                <w:bCs/>
                <w:snapToGrid w:val="0"/>
                <w:sz w:val="18"/>
              </w:rPr>
            </w:pPr>
            <w:r>
              <w:rPr>
                <w:bCs/>
                <w:snapToGrid w:val="0"/>
                <w:sz w:val="18"/>
              </w:rPr>
              <w:t>Permanent disability</w:t>
            </w:r>
          </w:p>
        </w:tc>
        <w:tc>
          <w:tcPr>
            <w:tcW w:w="710" w:type="dxa"/>
            <w:gridSpan w:val="2"/>
            <w:vMerge w:val="restart"/>
            <w:tcBorders>
              <w:top w:val="nil"/>
              <w:left w:val="single" w:sz="4" w:space="0" w:color="auto"/>
            </w:tcBorders>
            <w:vAlign w:val="center"/>
          </w:tcPr>
          <w:p w:rsidR="00000000" w:rsidRDefault="00000000">
            <w:pPr>
              <w:rPr>
                <w:bCs/>
                <w:snapToGrid w:val="0"/>
                <w:sz w:val="18"/>
              </w:rPr>
            </w:pPr>
            <w:r>
              <w:rPr>
                <w:bCs/>
                <w:snapToGrid w:val="0"/>
                <w:sz w:val="18"/>
              </w:rPr>
              <w:t>Death</w:t>
            </w:r>
          </w:p>
        </w:tc>
      </w:tr>
      <w:tr w:rsidR="00000000">
        <w:tblPrEx>
          <w:tblCellMar>
            <w:top w:w="0" w:type="dxa"/>
            <w:bottom w:w="0" w:type="dxa"/>
          </w:tblCellMar>
        </w:tblPrEx>
        <w:trPr>
          <w:gridBefore w:val="1"/>
          <w:wBefore w:w="70" w:type="dxa"/>
          <w:cantSplit/>
          <w:trHeight w:val="192"/>
          <w:jc w:val="center"/>
        </w:trPr>
        <w:tc>
          <w:tcPr>
            <w:tcW w:w="1892" w:type="dxa"/>
            <w:gridSpan w:val="2"/>
            <w:vMerge/>
            <w:tcBorders>
              <w:bottom w:val="single" w:sz="4" w:space="0" w:color="auto"/>
              <w:right w:val="single" w:sz="4" w:space="0" w:color="auto"/>
            </w:tcBorders>
          </w:tcPr>
          <w:p w:rsidR="00000000" w:rsidRDefault="00000000">
            <w:pPr>
              <w:rPr>
                <w:bCs/>
                <w:snapToGrid w:val="0"/>
                <w:sz w:val="18"/>
              </w:rPr>
            </w:pPr>
          </w:p>
        </w:tc>
        <w:tc>
          <w:tcPr>
            <w:tcW w:w="683" w:type="dxa"/>
            <w:gridSpan w:val="2"/>
            <w:vMerge/>
            <w:tcBorders>
              <w:left w:val="single" w:sz="4" w:space="0" w:color="auto"/>
              <w:bottom w:val="single" w:sz="4" w:space="0" w:color="auto"/>
              <w:right w:val="single" w:sz="4" w:space="0" w:color="auto"/>
            </w:tcBorders>
          </w:tcPr>
          <w:p w:rsidR="00000000" w:rsidRDefault="00000000">
            <w:pPr>
              <w:jc w:val="center"/>
              <w:rPr>
                <w:bCs/>
                <w:snapToGrid w:val="0"/>
                <w:sz w:val="18"/>
              </w:rPr>
            </w:pPr>
          </w:p>
        </w:tc>
        <w:tc>
          <w:tcPr>
            <w:tcW w:w="850" w:type="dxa"/>
            <w:gridSpan w:val="2"/>
            <w:vMerge/>
            <w:tcBorders>
              <w:left w:val="single" w:sz="4" w:space="0" w:color="auto"/>
              <w:bottom w:val="single" w:sz="4" w:space="0" w:color="auto"/>
              <w:right w:val="single" w:sz="4" w:space="0" w:color="auto"/>
            </w:tcBorders>
          </w:tcPr>
          <w:p w:rsidR="00000000" w:rsidRDefault="00000000">
            <w:pPr>
              <w:rPr>
                <w:bCs/>
                <w:snapToGrid w:val="0"/>
                <w:sz w:val="18"/>
              </w:rPr>
            </w:pPr>
          </w:p>
        </w:tc>
        <w:tc>
          <w:tcPr>
            <w:tcW w:w="999" w:type="dxa"/>
            <w:gridSpan w:val="2"/>
            <w:vMerge/>
            <w:tcBorders>
              <w:left w:val="single" w:sz="4" w:space="0" w:color="auto"/>
              <w:bottom w:val="single" w:sz="4" w:space="0" w:color="auto"/>
              <w:right w:val="single" w:sz="4" w:space="0" w:color="auto"/>
            </w:tcBorders>
          </w:tcPr>
          <w:p w:rsidR="00000000" w:rsidRDefault="00000000">
            <w:pPr>
              <w:rPr>
                <w:bCs/>
                <w:snapToGrid w:val="0"/>
                <w:sz w:val="18"/>
              </w:rPr>
            </w:pPr>
          </w:p>
        </w:tc>
        <w:tc>
          <w:tcPr>
            <w:tcW w:w="865" w:type="dxa"/>
            <w:gridSpan w:val="2"/>
            <w:tcBorders>
              <w:top w:val="nil"/>
              <w:left w:val="single" w:sz="4" w:space="0" w:color="auto"/>
              <w:bottom w:val="single" w:sz="4" w:space="0" w:color="auto"/>
              <w:right w:val="single" w:sz="4" w:space="0" w:color="auto"/>
            </w:tcBorders>
            <w:vAlign w:val="center"/>
          </w:tcPr>
          <w:p w:rsidR="00000000" w:rsidRDefault="00000000">
            <w:pPr>
              <w:rPr>
                <w:bCs/>
                <w:snapToGrid w:val="0"/>
                <w:sz w:val="18"/>
              </w:rPr>
            </w:pPr>
            <w:r>
              <w:rPr>
                <w:bCs/>
                <w:snapToGrid w:val="0"/>
                <w:sz w:val="18"/>
              </w:rPr>
              <w:t>Total</w:t>
            </w:r>
          </w:p>
        </w:tc>
        <w:tc>
          <w:tcPr>
            <w:tcW w:w="992" w:type="dxa"/>
            <w:gridSpan w:val="2"/>
            <w:tcBorders>
              <w:top w:val="nil"/>
              <w:left w:val="single" w:sz="4" w:space="0" w:color="auto"/>
              <w:bottom w:val="single" w:sz="4" w:space="0" w:color="auto"/>
              <w:right w:val="single" w:sz="4" w:space="0" w:color="auto"/>
            </w:tcBorders>
            <w:vAlign w:val="center"/>
          </w:tcPr>
          <w:p w:rsidR="00000000" w:rsidRDefault="00000000">
            <w:pPr>
              <w:rPr>
                <w:bCs/>
                <w:snapToGrid w:val="0"/>
                <w:sz w:val="18"/>
              </w:rPr>
            </w:pPr>
            <w:r>
              <w:rPr>
                <w:bCs/>
                <w:snapToGrid w:val="0"/>
                <w:sz w:val="18"/>
              </w:rPr>
              <w:t>Less than 15 days</w:t>
            </w:r>
          </w:p>
        </w:tc>
        <w:tc>
          <w:tcPr>
            <w:tcW w:w="1134" w:type="dxa"/>
            <w:gridSpan w:val="2"/>
            <w:tcBorders>
              <w:top w:val="nil"/>
              <w:left w:val="single" w:sz="4" w:space="0" w:color="auto"/>
              <w:bottom w:val="single" w:sz="4" w:space="0" w:color="auto"/>
              <w:right w:val="single" w:sz="4" w:space="0" w:color="auto"/>
            </w:tcBorders>
            <w:vAlign w:val="center"/>
          </w:tcPr>
          <w:p w:rsidR="00000000" w:rsidRDefault="00000000">
            <w:pPr>
              <w:rPr>
                <w:bCs/>
                <w:snapToGrid w:val="0"/>
                <w:sz w:val="18"/>
              </w:rPr>
            </w:pPr>
            <w:r>
              <w:rPr>
                <w:bCs/>
                <w:snapToGrid w:val="0"/>
                <w:sz w:val="18"/>
              </w:rPr>
              <w:t>More than 15 days</w:t>
            </w:r>
          </w:p>
        </w:tc>
        <w:tc>
          <w:tcPr>
            <w:tcW w:w="992" w:type="dxa"/>
            <w:gridSpan w:val="2"/>
            <w:vMerge/>
            <w:tcBorders>
              <w:left w:val="single" w:sz="4" w:space="0" w:color="auto"/>
              <w:bottom w:val="single" w:sz="4" w:space="0" w:color="auto"/>
              <w:right w:val="single" w:sz="4" w:space="0" w:color="auto"/>
            </w:tcBorders>
          </w:tcPr>
          <w:p w:rsidR="00000000" w:rsidRDefault="00000000">
            <w:pPr>
              <w:rPr>
                <w:bCs/>
                <w:snapToGrid w:val="0"/>
                <w:sz w:val="18"/>
              </w:rPr>
            </w:pPr>
          </w:p>
        </w:tc>
        <w:tc>
          <w:tcPr>
            <w:tcW w:w="710" w:type="dxa"/>
            <w:gridSpan w:val="2"/>
            <w:vMerge/>
            <w:tcBorders>
              <w:left w:val="single" w:sz="4" w:space="0" w:color="auto"/>
              <w:bottom w:val="single" w:sz="4" w:space="0" w:color="auto"/>
            </w:tcBorders>
          </w:tcPr>
          <w:p w:rsidR="00000000" w:rsidRDefault="00000000">
            <w:pPr>
              <w:rPr>
                <w:bCs/>
                <w:snapToGrid w:val="0"/>
                <w:sz w:val="18"/>
              </w:rPr>
            </w:pPr>
          </w:p>
        </w:tc>
      </w:tr>
      <w:tr w:rsidR="00000000">
        <w:tblPrEx>
          <w:tblCellMar>
            <w:top w:w="0" w:type="dxa"/>
            <w:bottom w:w="0" w:type="dxa"/>
          </w:tblCellMar>
        </w:tblPrEx>
        <w:trPr>
          <w:gridBefore w:val="1"/>
          <w:wBefore w:w="70" w:type="dxa"/>
          <w:trHeight w:val="192"/>
          <w:jc w:val="center"/>
        </w:trPr>
        <w:tc>
          <w:tcPr>
            <w:tcW w:w="1892" w:type="dxa"/>
            <w:gridSpan w:val="2"/>
            <w:tcBorders>
              <w:top w:val="single" w:sz="4" w:space="0" w:color="auto"/>
            </w:tcBorders>
          </w:tcPr>
          <w:p w:rsidR="00000000" w:rsidRDefault="00000000">
            <w:pPr>
              <w:rPr>
                <w:snapToGrid w:val="0"/>
                <w:sz w:val="18"/>
              </w:rPr>
            </w:pPr>
          </w:p>
        </w:tc>
        <w:tc>
          <w:tcPr>
            <w:tcW w:w="683" w:type="dxa"/>
            <w:gridSpan w:val="2"/>
            <w:tcBorders>
              <w:top w:val="single" w:sz="4" w:space="0" w:color="auto"/>
            </w:tcBorders>
          </w:tcPr>
          <w:p w:rsidR="00000000" w:rsidRDefault="00000000">
            <w:pPr>
              <w:jc w:val="center"/>
              <w:rPr>
                <w:snapToGrid w:val="0"/>
                <w:sz w:val="18"/>
              </w:rPr>
            </w:pPr>
            <w:r>
              <w:rPr>
                <w:snapToGrid w:val="0"/>
                <w:sz w:val="18"/>
              </w:rPr>
              <w:t>1997</w:t>
            </w:r>
          </w:p>
        </w:tc>
        <w:tc>
          <w:tcPr>
            <w:tcW w:w="850" w:type="dxa"/>
            <w:gridSpan w:val="2"/>
            <w:tcBorders>
              <w:top w:val="single" w:sz="4" w:space="0" w:color="auto"/>
            </w:tcBorders>
          </w:tcPr>
          <w:p w:rsidR="00000000" w:rsidRDefault="00000000">
            <w:pPr>
              <w:jc w:val="right"/>
              <w:rPr>
                <w:snapToGrid w:val="0"/>
                <w:sz w:val="18"/>
              </w:rPr>
            </w:pPr>
            <w:r>
              <w:rPr>
                <w:snapToGrid w:val="0"/>
                <w:sz w:val="18"/>
              </w:rPr>
              <w:t>1 355</w:t>
            </w:r>
          </w:p>
        </w:tc>
        <w:tc>
          <w:tcPr>
            <w:tcW w:w="999" w:type="dxa"/>
            <w:gridSpan w:val="2"/>
            <w:tcBorders>
              <w:top w:val="single" w:sz="4" w:space="0" w:color="auto"/>
            </w:tcBorders>
          </w:tcPr>
          <w:p w:rsidR="00000000" w:rsidRDefault="00000000">
            <w:pPr>
              <w:ind w:right="113"/>
              <w:jc w:val="right"/>
              <w:rPr>
                <w:snapToGrid w:val="0"/>
                <w:sz w:val="18"/>
              </w:rPr>
            </w:pPr>
            <w:r>
              <w:rPr>
                <w:snapToGrid w:val="0"/>
                <w:sz w:val="18"/>
              </w:rPr>
              <w:t>296</w:t>
            </w:r>
          </w:p>
        </w:tc>
        <w:tc>
          <w:tcPr>
            <w:tcW w:w="865" w:type="dxa"/>
            <w:gridSpan w:val="2"/>
            <w:tcBorders>
              <w:top w:val="single" w:sz="4" w:space="0" w:color="auto"/>
            </w:tcBorders>
          </w:tcPr>
          <w:p w:rsidR="00000000" w:rsidRDefault="00000000">
            <w:pPr>
              <w:ind w:right="57"/>
              <w:jc w:val="right"/>
              <w:rPr>
                <w:snapToGrid w:val="0"/>
                <w:sz w:val="18"/>
              </w:rPr>
            </w:pPr>
            <w:r>
              <w:rPr>
                <w:snapToGrid w:val="0"/>
                <w:sz w:val="18"/>
              </w:rPr>
              <w:t>940</w:t>
            </w:r>
          </w:p>
        </w:tc>
        <w:tc>
          <w:tcPr>
            <w:tcW w:w="992" w:type="dxa"/>
            <w:gridSpan w:val="2"/>
            <w:tcBorders>
              <w:top w:val="single" w:sz="4" w:space="0" w:color="auto"/>
            </w:tcBorders>
          </w:tcPr>
          <w:p w:rsidR="00000000" w:rsidRDefault="00000000">
            <w:pPr>
              <w:ind w:right="113"/>
              <w:jc w:val="right"/>
              <w:rPr>
                <w:snapToGrid w:val="0"/>
                <w:sz w:val="18"/>
              </w:rPr>
            </w:pPr>
            <w:r>
              <w:rPr>
                <w:snapToGrid w:val="0"/>
                <w:sz w:val="18"/>
              </w:rPr>
              <w:t>471</w:t>
            </w:r>
          </w:p>
        </w:tc>
        <w:tc>
          <w:tcPr>
            <w:tcW w:w="1134" w:type="dxa"/>
            <w:gridSpan w:val="2"/>
            <w:tcBorders>
              <w:top w:val="single" w:sz="4" w:space="0" w:color="auto"/>
            </w:tcBorders>
          </w:tcPr>
          <w:p w:rsidR="00000000" w:rsidRDefault="00000000">
            <w:pPr>
              <w:ind w:right="113"/>
              <w:jc w:val="right"/>
              <w:rPr>
                <w:snapToGrid w:val="0"/>
                <w:sz w:val="18"/>
              </w:rPr>
            </w:pPr>
            <w:r>
              <w:rPr>
                <w:snapToGrid w:val="0"/>
                <w:sz w:val="18"/>
              </w:rPr>
              <w:t>469</w:t>
            </w:r>
          </w:p>
        </w:tc>
        <w:tc>
          <w:tcPr>
            <w:tcW w:w="992" w:type="dxa"/>
            <w:gridSpan w:val="2"/>
            <w:tcBorders>
              <w:top w:val="single" w:sz="4" w:space="0" w:color="auto"/>
            </w:tcBorders>
          </w:tcPr>
          <w:p w:rsidR="00000000" w:rsidRDefault="00000000">
            <w:pPr>
              <w:ind w:right="113"/>
              <w:jc w:val="right"/>
              <w:rPr>
                <w:snapToGrid w:val="0"/>
                <w:sz w:val="18"/>
              </w:rPr>
            </w:pPr>
            <w:r>
              <w:rPr>
                <w:snapToGrid w:val="0"/>
                <w:sz w:val="18"/>
              </w:rPr>
              <w:t>62</w:t>
            </w:r>
          </w:p>
        </w:tc>
        <w:tc>
          <w:tcPr>
            <w:tcW w:w="710" w:type="dxa"/>
            <w:gridSpan w:val="2"/>
            <w:tcBorders>
              <w:top w:val="single" w:sz="4" w:space="0" w:color="auto"/>
            </w:tcBorders>
          </w:tcPr>
          <w:p w:rsidR="00000000" w:rsidRDefault="00000000">
            <w:pPr>
              <w:ind w:right="57"/>
              <w:jc w:val="right"/>
              <w:rPr>
                <w:snapToGrid w:val="0"/>
                <w:sz w:val="18"/>
              </w:rPr>
            </w:pPr>
            <w:r>
              <w:rPr>
                <w:snapToGrid w:val="0"/>
                <w:sz w:val="18"/>
              </w:rPr>
              <w:t>57</w:t>
            </w:r>
          </w:p>
        </w:tc>
      </w:tr>
      <w:tr w:rsidR="00000000">
        <w:tblPrEx>
          <w:tblCellMar>
            <w:top w:w="0" w:type="dxa"/>
            <w:bottom w:w="0" w:type="dxa"/>
          </w:tblCellMar>
        </w:tblPrEx>
        <w:trPr>
          <w:gridBefore w:val="1"/>
          <w:wBefore w:w="70" w:type="dxa"/>
          <w:trHeight w:val="192"/>
          <w:jc w:val="center"/>
        </w:trPr>
        <w:tc>
          <w:tcPr>
            <w:tcW w:w="1892" w:type="dxa"/>
            <w:gridSpan w:val="2"/>
            <w:tcBorders>
              <w:bottom w:val="nil"/>
            </w:tcBorders>
          </w:tcPr>
          <w:p w:rsidR="00000000" w:rsidRDefault="00000000">
            <w:pPr>
              <w:rPr>
                <w:snapToGrid w:val="0"/>
                <w:sz w:val="18"/>
              </w:rPr>
            </w:pPr>
            <w:r>
              <w:rPr>
                <w:snapToGrid w:val="0"/>
                <w:sz w:val="18"/>
              </w:rPr>
              <w:t>Sergipe</w:t>
            </w:r>
          </w:p>
        </w:tc>
        <w:tc>
          <w:tcPr>
            <w:tcW w:w="683" w:type="dxa"/>
            <w:gridSpan w:val="2"/>
            <w:tcBorders>
              <w:bottom w:val="nil"/>
            </w:tcBorders>
          </w:tcPr>
          <w:p w:rsidR="00000000" w:rsidRDefault="00000000">
            <w:pPr>
              <w:jc w:val="center"/>
              <w:rPr>
                <w:snapToGrid w:val="0"/>
                <w:sz w:val="18"/>
              </w:rPr>
            </w:pPr>
            <w:r>
              <w:rPr>
                <w:snapToGrid w:val="0"/>
                <w:sz w:val="18"/>
              </w:rPr>
              <w:t>1998</w:t>
            </w:r>
          </w:p>
        </w:tc>
        <w:tc>
          <w:tcPr>
            <w:tcW w:w="850" w:type="dxa"/>
            <w:gridSpan w:val="2"/>
            <w:tcBorders>
              <w:bottom w:val="nil"/>
            </w:tcBorders>
          </w:tcPr>
          <w:p w:rsidR="00000000" w:rsidRDefault="00000000">
            <w:pPr>
              <w:jc w:val="right"/>
              <w:rPr>
                <w:snapToGrid w:val="0"/>
                <w:sz w:val="18"/>
              </w:rPr>
            </w:pPr>
            <w:r>
              <w:rPr>
                <w:snapToGrid w:val="0"/>
                <w:sz w:val="18"/>
              </w:rPr>
              <w:t>1 458</w:t>
            </w:r>
          </w:p>
        </w:tc>
        <w:tc>
          <w:tcPr>
            <w:tcW w:w="999" w:type="dxa"/>
            <w:gridSpan w:val="2"/>
            <w:tcBorders>
              <w:bottom w:val="nil"/>
            </w:tcBorders>
          </w:tcPr>
          <w:p w:rsidR="00000000" w:rsidRDefault="00000000">
            <w:pPr>
              <w:ind w:right="113"/>
              <w:jc w:val="right"/>
              <w:rPr>
                <w:snapToGrid w:val="0"/>
                <w:sz w:val="18"/>
              </w:rPr>
            </w:pPr>
            <w:r>
              <w:rPr>
                <w:snapToGrid w:val="0"/>
                <w:sz w:val="18"/>
              </w:rPr>
              <w:t>413</w:t>
            </w:r>
          </w:p>
        </w:tc>
        <w:tc>
          <w:tcPr>
            <w:tcW w:w="865" w:type="dxa"/>
            <w:gridSpan w:val="2"/>
            <w:tcBorders>
              <w:bottom w:val="nil"/>
            </w:tcBorders>
          </w:tcPr>
          <w:p w:rsidR="00000000" w:rsidRDefault="00000000">
            <w:pPr>
              <w:ind w:right="57"/>
              <w:jc w:val="right"/>
              <w:rPr>
                <w:snapToGrid w:val="0"/>
                <w:sz w:val="18"/>
              </w:rPr>
            </w:pPr>
            <w:r>
              <w:rPr>
                <w:snapToGrid w:val="0"/>
                <w:sz w:val="18"/>
              </w:rPr>
              <w:t>941</w:t>
            </w:r>
          </w:p>
        </w:tc>
        <w:tc>
          <w:tcPr>
            <w:tcW w:w="992" w:type="dxa"/>
            <w:gridSpan w:val="2"/>
            <w:tcBorders>
              <w:bottom w:val="nil"/>
            </w:tcBorders>
          </w:tcPr>
          <w:p w:rsidR="00000000" w:rsidRDefault="00000000">
            <w:pPr>
              <w:ind w:right="113"/>
              <w:jc w:val="right"/>
              <w:rPr>
                <w:snapToGrid w:val="0"/>
                <w:sz w:val="18"/>
              </w:rPr>
            </w:pPr>
            <w:r>
              <w:rPr>
                <w:snapToGrid w:val="0"/>
                <w:sz w:val="18"/>
              </w:rPr>
              <w:t>480</w:t>
            </w:r>
          </w:p>
        </w:tc>
        <w:tc>
          <w:tcPr>
            <w:tcW w:w="1134" w:type="dxa"/>
            <w:gridSpan w:val="2"/>
            <w:tcBorders>
              <w:bottom w:val="nil"/>
            </w:tcBorders>
          </w:tcPr>
          <w:p w:rsidR="00000000" w:rsidRDefault="00000000">
            <w:pPr>
              <w:ind w:right="113"/>
              <w:jc w:val="right"/>
              <w:rPr>
                <w:snapToGrid w:val="0"/>
                <w:sz w:val="18"/>
              </w:rPr>
            </w:pPr>
            <w:r>
              <w:rPr>
                <w:snapToGrid w:val="0"/>
                <w:sz w:val="18"/>
              </w:rPr>
              <w:t>461</w:t>
            </w:r>
          </w:p>
        </w:tc>
        <w:tc>
          <w:tcPr>
            <w:tcW w:w="992" w:type="dxa"/>
            <w:gridSpan w:val="2"/>
            <w:tcBorders>
              <w:bottom w:val="nil"/>
            </w:tcBorders>
          </w:tcPr>
          <w:p w:rsidR="00000000" w:rsidRDefault="00000000">
            <w:pPr>
              <w:ind w:right="113"/>
              <w:jc w:val="right"/>
              <w:rPr>
                <w:snapToGrid w:val="0"/>
                <w:sz w:val="18"/>
              </w:rPr>
            </w:pPr>
            <w:r>
              <w:rPr>
                <w:snapToGrid w:val="0"/>
                <w:sz w:val="18"/>
              </w:rPr>
              <w:t>67</w:t>
            </w:r>
          </w:p>
        </w:tc>
        <w:tc>
          <w:tcPr>
            <w:tcW w:w="710" w:type="dxa"/>
            <w:gridSpan w:val="2"/>
            <w:tcBorders>
              <w:bottom w:val="nil"/>
            </w:tcBorders>
          </w:tcPr>
          <w:p w:rsidR="00000000" w:rsidRDefault="00000000">
            <w:pPr>
              <w:ind w:right="57"/>
              <w:jc w:val="right"/>
              <w:rPr>
                <w:snapToGrid w:val="0"/>
                <w:sz w:val="18"/>
              </w:rPr>
            </w:pPr>
            <w:r>
              <w:rPr>
                <w:snapToGrid w:val="0"/>
                <w:sz w:val="18"/>
              </w:rPr>
              <w:t>37</w:t>
            </w:r>
          </w:p>
        </w:tc>
      </w:tr>
      <w:tr w:rsidR="00000000">
        <w:tblPrEx>
          <w:tblCellMar>
            <w:top w:w="0" w:type="dxa"/>
            <w:bottom w:w="0" w:type="dxa"/>
          </w:tblCellMar>
        </w:tblPrEx>
        <w:trPr>
          <w:gridBefore w:val="1"/>
          <w:wBefore w:w="70" w:type="dxa"/>
          <w:trHeight w:val="192"/>
          <w:jc w:val="center"/>
        </w:trPr>
        <w:tc>
          <w:tcPr>
            <w:tcW w:w="1892" w:type="dxa"/>
            <w:gridSpan w:val="2"/>
            <w:tcBorders>
              <w:top w:val="nil"/>
              <w:bottom w:val="single" w:sz="4" w:space="0" w:color="auto"/>
            </w:tcBorders>
          </w:tcPr>
          <w:p w:rsidR="00000000" w:rsidRDefault="00000000">
            <w:pPr>
              <w:rPr>
                <w:snapToGrid w:val="0"/>
                <w:sz w:val="18"/>
              </w:rPr>
            </w:pPr>
          </w:p>
        </w:tc>
        <w:tc>
          <w:tcPr>
            <w:tcW w:w="683" w:type="dxa"/>
            <w:gridSpan w:val="2"/>
            <w:tcBorders>
              <w:top w:val="nil"/>
              <w:bottom w:val="single" w:sz="4" w:space="0" w:color="auto"/>
            </w:tcBorders>
          </w:tcPr>
          <w:p w:rsidR="00000000" w:rsidRDefault="00000000">
            <w:pPr>
              <w:jc w:val="center"/>
              <w:rPr>
                <w:snapToGrid w:val="0"/>
                <w:sz w:val="18"/>
              </w:rPr>
            </w:pPr>
            <w:r>
              <w:rPr>
                <w:snapToGrid w:val="0"/>
                <w:sz w:val="18"/>
              </w:rPr>
              <w:t>1999</w:t>
            </w:r>
          </w:p>
        </w:tc>
        <w:tc>
          <w:tcPr>
            <w:tcW w:w="850" w:type="dxa"/>
            <w:gridSpan w:val="2"/>
            <w:tcBorders>
              <w:top w:val="nil"/>
              <w:bottom w:val="single" w:sz="4" w:space="0" w:color="auto"/>
            </w:tcBorders>
          </w:tcPr>
          <w:p w:rsidR="00000000" w:rsidRDefault="00000000">
            <w:pPr>
              <w:jc w:val="right"/>
              <w:rPr>
                <w:snapToGrid w:val="0"/>
                <w:sz w:val="18"/>
              </w:rPr>
            </w:pPr>
            <w:r>
              <w:rPr>
                <w:snapToGrid w:val="0"/>
                <w:sz w:val="18"/>
              </w:rPr>
              <w:t>1 248</w:t>
            </w:r>
          </w:p>
        </w:tc>
        <w:tc>
          <w:tcPr>
            <w:tcW w:w="999" w:type="dxa"/>
            <w:gridSpan w:val="2"/>
            <w:tcBorders>
              <w:top w:val="nil"/>
              <w:bottom w:val="single" w:sz="4" w:space="0" w:color="auto"/>
            </w:tcBorders>
          </w:tcPr>
          <w:p w:rsidR="00000000" w:rsidRDefault="00000000">
            <w:pPr>
              <w:ind w:right="113"/>
              <w:jc w:val="right"/>
              <w:rPr>
                <w:snapToGrid w:val="0"/>
                <w:sz w:val="18"/>
              </w:rPr>
            </w:pPr>
            <w:r>
              <w:rPr>
                <w:snapToGrid w:val="0"/>
                <w:sz w:val="18"/>
              </w:rPr>
              <w:t>260</w:t>
            </w:r>
          </w:p>
        </w:tc>
        <w:tc>
          <w:tcPr>
            <w:tcW w:w="865" w:type="dxa"/>
            <w:gridSpan w:val="2"/>
            <w:tcBorders>
              <w:top w:val="nil"/>
              <w:bottom w:val="single" w:sz="4" w:space="0" w:color="auto"/>
            </w:tcBorders>
          </w:tcPr>
          <w:p w:rsidR="00000000" w:rsidRDefault="00000000">
            <w:pPr>
              <w:ind w:right="57"/>
              <w:jc w:val="right"/>
              <w:rPr>
                <w:snapToGrid w:val="0"/>
                <w:sz w:val="18"/>
              </w:rPr>
            </w:pPr>
            <w:r>
              <w:rPr>
                <w:snapToGrid w:val="0"/>
                <w:sz w:val="18"/>
              </w:rPr>
              <w:t>879</w:t>
            </w:r>
          </w:p>
        </w:tc>
        <w:tc>
          <w:tcPr>
            <w:tcW w:w="992" w:type="dxa"/>
            <w:gridSpan w:val="2"/>
            <w:tcBorders>
              <w:top w:val="nil"/>
              <w:bottom w:val="single" w:sz="4" w:space="0" w:color="auto"/>
            </w:tcBorders>
          </w:tcPr>
          <w:p w:rsidR="00000000" w:rsidRDefault="00000000">
            <w:pPr>
              <w:ind w:right="113"/>
              <w:jc w:val="right"/>
              <w:rPr>
                <w:snapToGrid w:val="0"/>
                <w:sz w:val="18"/>
              </w:rPr>
            </w:pPr>
            <w:r>
              <w:rPr>
                <w:snapToGrid w:val="0"/>
                <w:sz w:val="18"/>
              </w:rPr>
              <w:t>444</w:t>
            </w:r>
          </w:p>
        </w:tc>
        <w:tc>
          <w:tcPr>
            <w:tcW w:w="1134" w:type="dxa"/>
            <w:gridSpan w:val="2"/>
            <w:tcBorders>
              <w:top w:val="nil"/>
              <w:bottom w:val="single" w:sz="4" w:space="0" w:color="auto"/>
            </w:tcBorders>
          </w:tcPr>
          <w:p w:rsidR="00000000" w:rsidRDefault="00000000">
            <w:pPr>
              <w:ind w:right="113"/>
              <w:jc w:val="right"/>
              <w:rPr>
                <w:snapToGrid w:val="0"/>
                <w:sz w:val="18"/>
              </w:rPr>
            </w:pPr>
            <w:r>
              <w:rPr>
                <w:snapToGrid w:val="0"/>
                <w:sz w:val="18"/>
              </w:rPr>
              <w:t>435</w:t>
            </w:r>
          </w:p>
        </w:tc>
        <w:tc>
          <w:tcPr>
            <w:tcW w:w="992" w:type="dxa"/>
            <w:gridSpan w:val="2"/>
            <w:tcBorders>
              <w:top w:val="nil"/>
              <w:bottom w:val="single" w:sz="4" w:space="0" w:color="auto"/>
            </w:tcBorders>
          </w:tcPr>
          <w:p w:rsidR="00000000" w:rsidRDefault="00000000">
            <w:pPr>
              <w:ind w:right="113"/>
              <w:jc w:val="right"/>
              <w:rPr>
                <w:snapToGrid w:val="0"/>
                <w:sz w:val="18"/>
              </w:rPr>
            </w:pPr>
            <w:r>
              <w:rPr>
                <w:snapToGrid w:val="0"/>
                <w:sz w:val="18"/>
              </w:rPr>
              <w:t>92</w:t>
            </w:r>
          </w:p>
        </w:tc>
        <w:tc>
          <w:tcPr>
            <w:tcW w:w="710" w:type="dxa"/>
            <w:gridSpan w:val="2"/>
            <w:tcBorders>
              <w:top w:val="nil"/>
              <w:bottom w:val="single" w:sz="4" w:space="0" w:color="auto"/>
            </w:tcBorders>
          </w:tcPr>
          <w:p w:rsidR="00000000" w:rsidRDefault="00000000">
            <w:pPr>
              <w:ind w:right="57"/>
              <w:jc w:val="right"/>
              <w:rPr>
                <w:snapToGrid w:val="0"/>
                <w:sz w:val="18"/>
              </w:rPr>
            </w:pPr>
            <w:r>
              <w:rPr>
                <w:snapToGrid w:val="0"/>
                <w:sz w:val="18"/>
              </w:rPr>
              <w:t>17</w:t>
            </w:r>
          </w:p>
        </w:tc>
      </w:tr>
      <w:tr w:rsidR="00000000">
        <w:tblPrEx>
          <w:tblCellMar>
            <w:top w:w="0" w:type="dxa"/>
            <w:bottom w:w="0" w:type="dxa"/>
          </w:tblCellMar>
        </w:tblPrEx>
        <w:trPr>
          <w:gridBefore w:val="1"/>
          <w:wBefore w:w="70" w:type="dxa"/>
          <w:trHeight w:val="192"/>
          <w:jc w:val="center"/>
        </w:trPr>
        <w:tc>
          <w:tcPr>
            <w:tcW w:w="1892" w:type="dxa"/>
            <w:gridSpan w:val="2"/>
            <w:tcBorders>
              <w:top w:val="single" w:sz="4" w:space="0" w:color="auto"/>
            </w:tcBorders>
          </w:tcPr>
          <w:p w:rsidR="00000000" w:rsidRDefault="00000000">
            <w:pPr>
              <w:rPr>
                <w:snapToGrid w:val="0"/>
                <w:sz w:val="18"/>
              </w:rPr>
            </w:pPr>
          </w:p>
        </w:tc>
        <w:tc>
          <w:tcPr>
            <w:tcW w:w="683" w:type="dxa"/>
            <w:gridSpan w:val="2"/>
            <w:tcBorders>
              <w:top w:val="single" w:sz="4" w:space="0" w:color="auto"/>
            </w:tcBorders>
          </w:tcPr>
          <w:p w:rsidR="00000000" w:rsidRDefault="00000000">
            <w:pPr>
              <w:jc w:val="center"/>
              <w:rPr>
                <w:snapToGrid w:val="0"/>
                <w:sz w:val="18"/>
              </w:rPr>
            </w:pPr>
            <w:r>
              <w:rPr>
                <w:snapToGrid w:val="0"/>
                <w:sz w:val="18"/>
              </w:rPr>
              <w:t>1997</w:t>
            </w:r>
          </w:p>
        </w:tc>
        <w:tc>
          <w:tcPr>
            <w:tcW w:w="850" w:type="dxa"/>
            <w:gridSpan w:val="2"/>
            <w:tcBorders>
              <w:top w:val="single" w:sz="4" w:space="0" w:color="auto"/>
            </w:tcBorders>
          </w:tcPr>
          <w:p w:rsidR="00000000" w:rsidRDefault="00000000">
            <w:pPr>
              <w:jc w:val="right"/>
              <w:rPr>
                <w:snapToGrid w:val="0"/>
                <w:sz w:val="18"/>
              </w:rPr>
            </w:pPr>
            <w:r>
              <w:rPr>
                <w:snapToGrid w:val="0"/>
                <w:sz w:val="18"/>
              </w:rPr>
              <w:t>10 689</w:t>
            </w:r>
          </w:p>
        </w:tc>
        <w:tc>
          <w:tcPr>
            <w:tcW w:w="999" w:type="dxa"/>
            <w:gridSpan w:val="2"/>
            <w:tcBorders>
              <w:top w:val="single" w:sz="4" w:space="0" w:color="auto"/>
            </w:tcBorders>
          </w:tcPr>
          <w:p w:rsidR="00000000" w:rsidRDefault="00000000">
            <w:pPr>
              <w:ind w:right="113"/>
              <w:jc w:val="right"/>
              <w:rPr>
                <w:snapToGrid w:val="0"/>
                <w:sz w:val="18"/>
              </w:rPr>
            </w:pPr>
            <w:r>
              <w:rPr>
                <w:snapToGrid w:val="0"/>
                <w:sz w:val="18"/>
              </w:rPr>
              <w:t>1 968</w:t>
            </w:r>
          </w:p>
        </w:tc>
        <w:tc>
          <w:tcPr>
            <w:tcW w:w="865" w:type="dxa"/>
            <w:gridSpan w:val="2"/>
            <w:tcBorders>
              <w:top w:val="single" w:sz="4" w:space="0" w:color="auto"/>
            </w:tcBorders>
          </w:tcPr>
          <w:p w:rsidR="00000000" w:rsidRDefault="00000000">
            <w:pPr>
              <w:ind w:right="57"/>
              <w:jc w:val="right"/>
              <w:rPr>
                <w:snapToGrid w:val="0"/>
                <w:sz w:val="18"/>
              </w:rPr>
            </w:pPr>
            <w:r>
              <w:rPr>
                <w:snapToGrid w:val="0"/>
                <w:sz w:val="18"/>
              </w:rPr>
              <w:t>7 625</w:t>
            </w:r>
          </w:p>
        </w:tc>
        <w:tc>
          <w:tcPr>
            <w:tcW w:w="992" w:type="dxa"/>
            <w:gridSpan w:val="2"/>
            <w:tcBorders>
              <w:top w:val="single" w:sz="4" w:space="0" w:color="auto"/>
            </w:tcBorders>
          </w:tcPr>
          <w:p w:rsidR="00000000" w:rsidRDefault="00000000">
            <w:pPr>
              <w:ind w:right="113"/>
              <w:jc w:val="right"/>
              <w:rPr>
                <w:snapToGrid w:val="0"/>
                <w:sz w:val="18"/>
              </w:rPr>
            </w:pPr>
            <w:r>
              <w:rPr>
                <w:snapToGrid w:val="0"/>
                <w:sz w:val="18"/>
              </w:rPr>
              <w:t>2 224</w:t>
            </w:r>
          </w:p>
        </w:tc>
        <w:tc>
          <w:tcPr>
            <w:tcW w:w="1134" w:type="dxa"/>
            <w:gridSpan w:val="2"/>
            <w:tcBorders>
              <w:top w:val="single" w:sz="4" w:space="0" w:color="auto"/>
            </w:tcBorders>
          </w:tcPr>
          <w:p w:rsidR="00000000" w:rsidRDefault="00000000">
            <w:pPr>
              <w:ind w:right="113"/>
              <w:jc w:val="right"/>
              <w:rPr>
                <w:snapToGrid w:val="0"/>
                <w:sz w:val="18"/>
              </w:rPr>
            </w:pPr>
            <w:r>
              <w:rPr>
                <w:snapToGrid w:val="0"/>
                <w:sz w:val="18"/>
              </w:rPr>
              <w:t>5 401</w:t>
            </w:r>
          </w:p>
        </w:tc>
        <w:tc>
          <w:tcPr>
            <w:tcW w:w="992" w:type="dxa"/>
            <w:gridSpan w:val="2"/>
            <w:tcBorders>
              <w:top w:val="single" w:sz="4" w:space="0" w:color="auto"/>
            </w:tcBorders>
          </w:tcPr>
          <w:p w:rsidR="00000000" w:rsidRDefault="00000000">
            <w:pPr>
              <w:ind w:right="113"/>
              <w:jc w:val="right"/>
              <w:rPr>
                <w:snapToGrid w:val="0"/>
                <w:sz w:val="18"/>
              </w:rPr>
            </w:pPr>
            <w:r>
              <w:rPr>
                <w:snapToGrid w:val="0"/>
                <w:sz w:val="18"/>
              </w:rPr>
              <w:t>959</w:t>
            </w:r>
          </w:p>
        </w:tc>
        <w:tc>
          <w:tcPr>
            <w:tcW w:w="710" w:type="dxa"/>
            <w:gridSpan w:val="2"/>
            <w:tcBorders>
              <w:top w:val="single" w:sz="4" w:space="0" w:color="auto"/>
            </w:tcBorders>
          </w:tcPr>
          <w:p w:rsidR="00000000" w:rsidRDefault="00000000">
            <w:pPr>
              <w:ind w:right="57"/>
              <w:jc w:val="right"/>
              <w:rPr>
                <w:snapToGrid w:val="0"/>
                <w:sz w:val="18"/>
              </w:rPr>
            </w:pPr>
            <w:r>
              <w:rPr>
                <w:snapToGrid w:val="0"/>
                <w:sz w:val="18"/>
              </w:rPr>
              <w:t>137</w:t>
            </w:r>
          </w:p>
        </w:tc>
      </w:tr>
      <w:tr w:rsidR="00000000">
        <w:tblPrEx>
          <w:tblCellMar>
            <w:top w:w="0" w:type="dxa"/>
            <w:bottom w:w="0" w:type="dxa"/>
          </w:tblCellMar>
        </w:tblPrEx>
        <w:trPr>
          <w:gridBefore w:val="1"/>
          <w:wBefore w:w="70" w:type="dxa"/>
          <w:trHeight w:val="192"/>
          <w:jc w:val="center"/>
        </w:trPr>
        <w:tc>
          <w:tcPr>
            <w:tcW w:w="1892" w:type="dxa"/>
            <w:gridSpan w:val="2"/>
            <w:tcBorders>
              <w:bottom w:val="nil"/>
            </w:tcBorders>
          </w:tcPr>
          <w:p w:rsidR="00000000" w:rsidRDefault="00000000">
            <w:pPr>
              <w:rPr>
                <w:snapToGrid w:val="0"/>
                <w:sz w:val="18"/>
              </w:rPr>
            </w:pPr>
            <w:r>
              <w:rPr>
                <w:snapToGrid w:val="0"/>
                <w:sz w:val="18"/>
              </w:rPr>
              <w:t>Bahia</w:t>
            </w:r>
          </w:p>
        </w:tc>
        <w:tc>
          <w:tcPr>
            <w:tcW w:w="683" w:type="dxa"/>
            <w:gridSpan w:val="2"/>
            <w:tcBorders>
              <w:bottom w:val="nil"/>
            </w:tcBorders>
          </w:tcPr>
          <w:p w:rsidR="00000000" w:rsidRDefault="00000000">
            <w:pPr>
              <w:jc w:val="center"/>
              <w:rPr>
                <w:snapToGrid w:val="0"/>
                <w:sz w:val="18"/>
              </w:rPr>
            </w:pPr>
            <w:r>
              <w:rPr>
                <w:snapToGrid w:val="0"/>
                <w:sz w:val="18"/>
              </w:rPr>
              <w:t>1998</w:t>
            </w:r>
          </w:p>
        </w:tc>
        <w:tc>
          <w:tcPr>
            <w:tcW w:w="850" w:type="dxa"/>
            <w:gridSpan w:val="2"/>
            <w:tcBorders>
              <w:bottom w:val="nil"/>
            </w:tcBorders>
          </w:tcPr>
          <w:p w:rsidR="00000000" w:rsidRDefault="00000000">
            <w:pPr>
              <w:jc w:val="right"/>
              <w:rPr>
                <w:snapToGrid w:val="0"/>
                <w:sz w:val="18"/>
              </w:rPr>
            </w:pPr>
            <w:r>
              <w:rPr>
                <w:snapToGrid w:val="0"/>
                <w:sz w:val="18"/>
              </w:rPr>
              <w:t>8 876</w:t>
            </w:r>
          </w:p>
        </w:tc>
        <w:tc>
          <w:tcPr>
            <w:tcW w:w="999" w:type="dxa"/>
            <w:gridSpan w:val="2"/>
            <w:tcBorders>
              <w:bottom w:val="nil"/>
            </w:tcBorders>
          </w:tcPr>
          <w:p w:rsidR="00000000" w:rsidRDefault="00000000">
            <w:pPr>
              <w:ind w:right="113"/>
              <w:jc w:val="right"/>
              <w:rPr>
                <w:snapToGrid w:val="0"/>
                <w:sz w:val="18"/>
              </w:rPr>
            </w:pPr>
            <w:r>
              <w:rPr>
                <w:snapToGrid w:val="0"/>
                <w:sz w:val="18"/>
              </w:rPr>
              <w:t>1 826</w:t>
            </w:r>
          </w:p>
        </w:tc>
        <w:tc>
          <w:tcPr>
            <w:tcW w:w="865" w:type="dxa"/>
            <w:gridSpan w:val="2"/>
            <w:tcBorders>
              <w:bottom w:val="nil"/>
            </w:tcBorders>
          </w:tcPr>
          <w:p w:rsidR="00000000" w:rsidRDefault="00000000">
            <w:pPr>
              <w:ind w:right="57"/>
              <w:jc w:val="right"/>
              <w:rPr>
                <w:snapToGrid w:val="0"/>
                <w:sz w:val="18"/>
              </w:rPr>
            </w:pPr>
            <w:r>
              <w:rPr>
                <w:snapToGrid w:val="0"/>
                <w:sz w:val="18"/>
              </w:rPr>
              <w:t>6 023</w:t>
            </w:r>
          </w:p>
        </w:tc>
        <w:tc>
          <w:tcPr>
            <w:tcW w:w="992" w:type="dxa"/>
            <w:gridSpan w:val="2"/>
            <w:tcBorders>
              <w:bottom w:val="nil"/>
            </w:tcBorders>
          </w:tcPr>
          <w:p w:rsidR="00000000" w:rsidRDefault="00000000">
            <w:pPr>
              <w:ind w:right="113"/>
              <w:jc w:val="right"/>
              <w:rPr>
                <w:snapToGrid w:val="0"/>
                <w:sz w:val="18"/>
              </w:rPr>
            </w:pPr>
            <w:r>
              <w:rPr>
                <w:snapToGrid w:val="0"/>
                <w:sz w:val="18"/>
              </w:rPr>
              <w:t>1 590</w:t>
            </w:r>
          </w:p>
        </w:tc>
        <w:tc>
          <w:tcPr>
            <w:tcW w:w="1134" w:type="dxa"/>
            <w:gridSpan w:val="2"/>
            <w:tcBorders>
              <w:bottom w:val="nil"/>
            </w:tcBorders>
          </w:tcPr>
          <w:p w:rsidR="00000000" w:rsidRDefault="00000000">
            <w:pPr>
              <w:ind w:right="113"/>
              <w:jc w:val="right"/>
              <w:rPr>
                <w:snapToGrid w:val="0"/>
                <w:sz w:val="18"/>
              </w:rPr>
            </w:pPr>
            <w:r>
              <w:rPr>
                <w:snapToGrid w:val="0"/>
                <w:sz w:val="18"/>
              </w:rPr>
              <w:t>4 433</w:t>
            </w:r>
          </w:p>
        </w:tc>
        <w:tc>
          <w:tcPr>
            <w:tcW w:w="992" w:type="dxa"/>
            <w:gridSpan w:val="2"/>
            <w:tcBorders>
              <w:bottom w:val="nil"/>
            </w:tcBorders>
          </w:tcPr>
          <w:p w:rsidR="00000000" w:rsidRDefault="00000000">
            <w:pPr>
              <w:ind w:right="113"/>
              <w:jc w:val="right"/>
              <w:rPr>
                <w:snapToGrid w:val="0"/>
                <w:sz w:val="18"/>
              </w:rPr>
            </w:pPr>
            <w:r>
              <w:rPr>
                <w:snapToGrid w:val="0"/>
                <w:sz w:val="18"/>
              </w:rPr>
              <w:t>863</w:t>
            </w:r>
          </w:p>
        </w:tc>
        <w:tc>
          <w:tcPr>
            <w:tcW w:w="710" w:type="dxa"/>
            <w:gridSpan w:val="2"/>
            <w:tcBorders>
              <w:bottom w:val="nil"/>
            </w:tcBorders>
          </w:tcPr>
          <w:p w:rsidR="00000000" w:rsidRDefault="00000000">
            <w:pPr>
              <w:ind w:right="57"/>
              <w:jc w:val="right"/>
              <w:rPr>
                <w:snapToGrid w:val="0"/>
                <w:sz w:val="18"/>
              </w:rPr>
            </w:pPr>
            <w:r>
              <w:rPr>
                <w:snapToGrid w:val="0"/>
                <w:sz w:val="18"/>
              </w:rPr>
              <w:t>164</w:t>
            </w:r>
          </w:p>
        </w:tc>
      </w:tr>
      <w:tr w:rsidR="00000000">
        <w:tblPrEx>
          <w:tblCellMar>
            <w:top w:w="0" w:type="dxa"/>
            <w:bottom w:w="0" w:type="dxa"/>
          </w:tblCellMar>
        </w:tblPrEx>
        <w:trPr>
          <w:gridBefore w:val="1"/>
          <w:wBefore w:w="70" w:type="dxa"/>
          <w:trHeight w:val="192"/>
          <w:jc w:val="center"/>
        </w:trPr>
        <w:tc>
          <w:tcPr>
            <w:tcW w:w="1892" w:type="dxa"/>
            <w:gridSpan w:val="2"/>
            <w:tcBorders>
              <w:top w:val="nil"/>
              <w:bottom w:val="single" w:sz="4" w:space="0" w:color="auto"/>
            </w:tcBorders>
          </w:tcPr>
          <w:p w:rsidR="00000000" w:rsidRDefault="00000000">
            <w:pPr>
              <w:rPr>
                <w:snapToGrid w:val="0"/>
                <w:sz w:val="18"/>
              </w:rPr>
            </w:pPr>
          </w:p>
        </w:tc>
        <w:tc>
          <w:tcPr>
            <w:tcW w:w="683" w:type="dxa"/>
            <w:gridSpan w:val="2"/>
            <w:tcBorders>
              <w:top w:val="nil"/>
              <w:bottom w:val="single" w:sz="4" w:space="0" w:color="auto"/>
            </w:tcBorders>
          </w:tcPr>
          <w:p w:rsidR="00000000" w:rsidRDefault="00000000">
            <w:pPr>
              <w:jc w:val="center"/>
              <w:rPr>
                <w:snapToGrid w:val="0"/>
                <w:sz w:val="18"/>
              </w:rPr>
            </w:pPr>
            <w:r>
              <w:rPr>
                <w:snapToGrid w:val="0"/>
                <w:sz w:val="18"/>
              </w:rPr>
              <w:t>1999</w:t>
            </w:r>
          </w:p>
        </w:tc>
        <w:tc>
          <w:tcPr>
            <w:tcW w:w="850" w:type="dxa"/>
            <w:gridSpan w:val="2"/>
            <w:tcBorders>
              <w:top w:val="nil"/>
              <w:bottom w:val="single" w:sz="4" w:space="0" w:color="auto"/>
            </w:tcBorders>
          </w:tcPr>
          <w:p w:rsidR="00000000" w:rsidRDefault="00000000">
            <w:pPr>
              <w:jc w:val="right"/>
              <w:rPr>
                <w:snapToGrid w:val="0"/>
                <w:sz w:val="18"/>
              </w:rPr>
            </w:pPr>
            <w:r>
              <w:rPr>
                <w:snapToGrid w:val="0"/>
                <w:sz w:val="18"/>
              </w:rPr>
              <w:t>7 976</w:t>
            </w:r>
          </w:p>
        </w:tc>
        <w:tc>
          <w:tcPr>
            <w:tcW w:w="999" w:type="dxa"/>
            <w:gridSpan w:val="2"/>
            <w:tcBorders>
              <w:top w:val="nil"/>
              <w:bottom w:val="single" w:sz="4" w:space="0" w:color="auto"/>
            </w:tcBorders>
          </w:tcPr>
          <w:p w:rsidR="00000000" w:rsidRDefault="00000000">
            <w:pPr>
              <w:ind w:right="113"/>
              <w:jc w:val="right"/>
              <w:rPr>
                <w:snapToGrid w:val="0"/>
                <w:sz w:val="18"/>
              </w:rPr>
            </w:pPr>
            <w:r>
              <w:rPr>
                <w:snapToGrid w:val="0"/>
                <w:sz w:val="18"/>
              </w:rPr>
              <w:t>1 436</w:t>
            </w:r>
          </w:p>
        </w:tc>
        <w:tc>
          <w:tcPr>
            <w:tcW w:w="865" w:type="dxa"/>
            <w:gridSpan w:val="2"/>
            <w:tcBorders>
              <w:top w:val="nil"/>
              <w:bottom w:val="single" w:sz="4" w:space="0" w:color="auto"/>
            </w:tcBorders>
          </w:tcPr>
          <w:p w:rsidR="00000000" w:rsidRDefault="00000000">
            <w:pPr>
              <w:ind w:right="57"/>
              <w:jc w:val="right"/>
              <w:rPr>
                <w:snapToGrid w:val="0"/>
                <w:sz w:val="18"/>
              </w:rPr>
            </w:pPr>
            <w:r>
              <w:rPr>
                <w:snapToGrid w:val="0"/>
                <w:sz w:val="18"/>
              </w:rPr>
              <w:t>5 224</w:t>
            </w:r>
          </w:p>
        </w:tc>
        <w:tc>
          <w:tcPr>
            <w:tcW w:w="992" w:type="dxa"/>
            <w:gridSpan w:val="2"/>
            <w:tcBorders>
              <w:top w:val="nil"/>
              <w:bottom w:val="single" w:sz="4" w:space="0" w:color="auto"/>
            </w:tcBorders>
          </w:tcPr>
          <w:p w:rsidR="00000000" w:rsidRDefault="00000000">
            <w:pPr>
              <w:ind w:right="113"/>
              <w:jc w:val="right"/>
              <w:rPr>
                <w:snapToGrid w:val="0"/>
                <w:sz w:val="18"/>
              </w:rPr>
            </w:pPr>
            <w:r>
              <w:rPr>
                <w:snapToGrid w:val="0"/>
                <w:sz w:val="18"/>
              </w:rPr>
              <w:t>1 590</w:t>
            </w:r>
          </w:p>
        </w:tc>
        <w:tc>
          <w:tcPr>
            <w:tcW w:w="1134" w:type="dxa"/>
            <w:gridSpan w:val="2"/>
            <w:tcBorders>
              <w:top w:val="nil"/>
              <w:bottom w:val="single" w:sz="4" w:space="0" w:color="auto"/>
            </w:tcBorders>
          </w:tcPr>
          <w:p w:rsidR="00000000" w:rsidRDefault="00000000">
            <w:pPr>
              <w:ind w:right="113"/>
              <w:jc w:val="right"/>
              <w:rPr>
                <w:snapToGrid w:val="0"/>
                <w:sz w:val="18"/>
              </w:rPr>
            </w:pPr>
            <w:r>
              <w:rPr>
                <w:snapToGrid w:val="0"/>
                <w:sz w:val="18"/>
              </w:rPr>
              <w:t>3 634</w:t>
            </w:r>
          </w:p>
        </w:tc>
        <w:tc>
          <w:tcPr>
            <w:tcW w:w="992" w:type="dxa"/>
            <w:gridSpan w:val="2"/>
            <w:tcBorders>
              <w:top w:val="nil"/>
              <w:bottom w:val="single" w:sz="4" w:space="0" w:color="auto"/>
            </w:tcBorders>
          </w:tcPr>
          <w:p w:rsidR="00000000" w:rsidRDefault="00000000">
            <w:pPr>
              <w:ind w:right="113"/>
              <w:jc w:val="right"/>
              <w:rPr>
                <w:snapToGrid w:val="0"/>
                <w:sz w:val="18"/>
              </w:rPr>
            </w:pPr>
            <w:r>
              <w:rPr>
                <w:snapToGrid w:val="0"/>
                <w:sz w:val="18"/>
              </w:rPr>
              <w:t>1 169</w:t>
            </w:r>
          </w:p>
        </w:tc>
        <w:tc>
          <w:tcPr>
            <w:tcW w:w="710" w:type="dxa"/>
            <w:gridSpan w:val="2"/>
            <w:tcBorders>
              <w:top w:val="nil"/>
              <w:bottom w:val="single" w:sz="4" w:space="0" w:color="auto"/>
            </w:tcBorders>
          </w:tcPr>
          <w:p w:rsidR="00000000" w:rsidRDefault="00000000">
            <w:pPr>
              <w:ind w:right="57"/>
              <w:jc w:val="right"/>
              <w:rPr>
                <w:snapToGrid w:val="0"/>
                <w:sz w:val="18"/>
              </w:rPr>
            </w:pPr>
            <w:r>
              <w:rPr>
                <w:snapToGrid w:val="0"/>
                <w:sz w:val="18"/>
              </w:rPr>
              <w:t>147</w:t>
            </w:r>
          </w:p>
        </w:tc>
      </w:tr>
      <w:tr w:rsidR="00000000">
        <w:tblPrEx>
          <w:tblCellMar>
            <w:top w:w="0" w:type="dxa"/>
            <w:bottom w:w="0" w:type="dxa"/>
          </w:tblCellMar>
        </w:tblPrEx>
        <w:trPr>
          <w:gridAfter w:val="1"/>
          <w:wAfter w:w="71" w:type="dxa"/>
          <w:cantSplit/>
          <w:trHeight w:val="155"/>
          <w:jc w:val="center"/>
        </w:trPr>
        <w:tc>
          <w:tcPr>
            <w:tcW w:w="1891" w:type="dxa"/>
            <w:gridSpan w:val="2"/>
          </w:tcPr>
          <w:p w:rsidR="00000000" w:rsidRDefault="00000000">
            <w:pPr>
              <w:rPr>
                <w:snapToGrid w:val="0"/>
                <w:sz w:val="18"/>
              </w:rPr>
            </w:pPr>
            <w:r>
              <w:rPr>
                <w:b/>
                <w:sz w:val="18"/>
              </w:rPr>
              <w:t>South</w:t>
            </w:r>
            <w:r>
              <w:rPr>
                <w:b/>
                <w:sz w:val="18"/>
              </w:rPr>
              <w:noBreakHyphen/>
              <w:t>eastern</w:t>
            </w:r>
          </w:p>
        </w:tc>
        <w:tc>
          <w:tcPr>
            <w:tcW w:w="684" w:type="dxa"/>
            <w:gridSpan w:val="2"/>
          </w:tcPr>
          <w:p w:rsidR="00000000" w:rsidRDefault="00000000">
            <w:pPr>
              <w:rPr>
                <w:snapToGrid w:val="0"/>
                <w:sz w:val="18"/>
              </w:rPr>
            </w:pPr>
            <w:r>
              <w:rPr>
                <w:b/>
                <w:snapToGrid w:val="0"/>
                <w:sz w:val="18"/>
              </w:rPr>
              <w:t>1997</w:t>
            </w:r>
          </w:p>
        </w:tc>
        <w:tc>
          <w:tcPr>
            <w:tcW w:w="850" w:type="dxa"/>
            <w:gridSpan w:val="2"/>
          </w:tcPr>
          <w:p w:rsidR="00000000" w:rsidRDefault="00000000">
            <w:pPr>
              <w:jc w:val="right"/>
              <w:rPr>
                <w:b/>
                <w:snapToGrid w:val="0"/>
                <w:sz w:val="18"/>
              </w:rPr>
            </w:pPr>
            <w:r>
              <w:rPr>
                <w:b/>
                <w:snapToGrid w:val="0"/>
                <w:sz w:val="18"/>
              </w:rPr>
              <w:t>299 627</w:t>
            </w:r>
          </w:p>
        </w:tc>
        <w:tc>
          <w:tcPr>
            <w:tcW w:w="999" w:type="dxa"/>
            <w:gridSpan w:val="2"/>
          </w:tcPr>
          <w:p w:rsidR="00000000" w:rsidRDefault="00000000">
            <w:pPr>
              <w:ind w:right="113"/>
              <w:jc w:val="right"/>
              <w:rPr>
                <w:b/>
                <w:snapToGrid w:val="0"/>
                <w:sz w:val="18"/>
              </w:rPr>
            </w:pPr>
            <w:r>
              <w:rPr>
                <w:b/>
                <w:snapToGrid w:val="0"/>
                <w:sz w:val="18"/>
              </w:rPr>
              <w:t>40 866</w:t>
            </w:r>
          </w:p>
        </w:tc>
        <w:tc>
          <w:tcPr>
            <w:tcW w:w="869" w:type="dxa"/>
            <w:gridSpan w:val="2"/>
          </w:tcPr>
          <w:p w:rsidR="00000000" w:rsidRDefault="00000000">
            <w:pPr>
              <w:ind w:right="57"/>
              <w:jc w:val="right"/>
              <w:rPr>
                <w:b/>
                <w:snapToGrid w:val="0"/>
                <w:sz w:val="18"/>
              </w:rPr>
            </w:pPr>
            <w:r>
              <w:rPr>
                <w:b/>
                <w:snapToGrid w:val="0"/>
                <w:sz w:val="18"/>
              </w:rPr>
              <w:t>245 185</w:t>
            </w:r>
          </w:p>
        </w:tc>
        <w:tc>
          <w:tcPr>
            <w:tcW w:w="992" w:type="dxa"/>
            <w:gridSpan w:val="2"/>
          </w:tcPr>
          <w:p w:rsidR="00000000" w:rsidRDefault="00000000">
            <w:pPr>
              <w:ind w:right="113"/>
              <w:jc w:val="right"/>
              <w:rPr>
                <w:b/>
                <w:snapToGrid w:val="0"/>
                <w:sz w:val="18"/>
              </w:rPr>
            </w:pPr>
            <w:r>
              <w:rPr>
                <w:b/>
                <w:snapToGrid w:val="0"/>
                <w:sz w:val="18"/>
              </w:rPr>
              <w:t>153 957</w:t>
            </w:r>
          </w:p>
        </w:tc>
        <w:tc>
          <w:tcPr>
            <w:tcW w:w="1134" w:type="dxa"/>
            <w:gridSpan w:val="2"/>
          </w:tcPr>
          <w:p w:rsidR="00000000" w:rsidRDefault="00000000">
            <w:pPr>
              <w:ind w:right="113"/>
              <w:jc w:val="right"/>
              <w:rPr>
                <w:b/>
                <w:snapToGrid w:val="0"/>
                <w:sz w:val="18"/>
              </w:rPr>
            </w:pPr>
            <w:r>
              <w:rPr>
                <w:b/>
                <w:snapToGrid w:val="0"/>
                <w:sz w:val="18"/>
              </w:rPr>
              <w:t>91 228</w:t>
            </w:r>
          </w:p>
        </w:tc>
        <w:tc>
          <w:tcPr>
            <w:tcW w:w="992" w:type="dxa"/>
            <w:gridSpan w:val="2"/>
          </w:tcPr>
          <w:p w:rsidR="00000000" w:rsidRDefault="00000000">
            <w:pPr>
              <w:ind w:right="113"/>
              <w:jc w:val="right"/>
              <w:rPr>
                <w:b/>
                <w:snapToGrid w:val="0"/>
                <w:sz w:val="18"/>
              </w:rPr>
            </w:pPr>
            <w:r>
              <w:rPr>
                <w:b/>
                <w:snapToGrid w:val="0"/>
                <w:sz w:val="18"/>
              </w:rPr>
              <w:t>11 786</w:t>
            </w:r>
          </w:p>
        </w:tc>
        <w:tc>
          <w:tcPr>
            <w:tcW w:w="705" w:type="dxa"/>
            <w:gridSpan w:val="2"/>
          </w:tcPr>
          <w:p w:rsidR="00000000" w:rsidRDefault="00000000">
            <w:pPr>
              <w:ind w:right="57"/>
              <w:jc w:val="right"/>
              <w:rPr>
                <w:b/>
                <w:snapToGrid w:val="0"/>
                <w:sz w:val="18"/>
              </w:rPr>
            </w:pPr>
            <w:r>
              <w:rPr>
                <w:b/>
                <w:snapToGrid w:val="0"/>
                <w:sz w:val="18"/>
              </w:rPr>
              <w:t>1 790</w:t>
            </w:r>
          </w:p>
        </w:tc>
      </w:tr>
      <w:tr w:rsidR="00000000">
        <w:tblPrEx>
          <w:tblCellMar>
            <w:top w:w="0" w:type="dxa"/>
            <w:bottom w:w="0" w:type="dxa"/>
          </w:tblCellMar>
        </w:tblPrEx>
        <w:trPr>
          <w:gridAfter w:val="1"/>
          <w:wAfter w:w="71" w:type="dxa"/>
          <w:cantSplit/>
          <w:trHeight w:val="155"/>
          <w:jc w:val="center"/>
        </w:trPr>
        <w:tc>
          <w:tcPr>
            <w:tcW w:w="1891" w:type="dxa"/>
            <w:gridSpan w:val="2"/>
            <w:tcBorders>
              <w:bottom w:val="nil"/>
            </w:tcBorders>
          </w:tcPr>
          <w:p w:rsidR="00000000" w:rsidRDefault="00000000">
            <w:pPr>
              <w:rPr>
                <w:snapToGrid w:val="0"/>
                <w:sz w:val="18"/>
              </w:rPr>
            </w:pPr>
            <w:r>
              <w:rPr>
                <w:b/>
                <w:sz w:val="18"/>
              </w:rPr>
              <w:t>Region</w:t>
            </w:r>
          </w:p>
        </w:tc>
        <w:tc>
          <w:tcPr>
            <w:tcW w:w="684" w:type="dxa"/>
            <w:gridSpan w:val="2"/>
            <w:tcBorders>
              <w:bottom w:val="nil"/>
            </w:tcBorders>
          </w:tcPr>
          <w:p w:rsidR="00000000" w:rsidRDefault="00000000">
            <w:pPr>
              <w:rPr>
                <w:snapToGrid w:val="0"/>
                <w:sz w:val="18"/>
              </w:rPr>
            </w:pPr>
            <w:r>
              <w:rPr>
                <w:b/>
                <w:snapToGrid w:val="0"/>
                <w:sz w:val="18"/>
              </w:rPr>
              <w:t>1998</w:t>
            </w:r>
          </w:p>
        </w:tc>
        <w:tc>
          <w:tcPr>
            <w:tcW w:w="850" w:type="dxa"/>
            <w:gridSpan w:val="2"/>
            <w:tcBorders>
              <w:bottom w:val="nil"/>
            </w:tcBorders>
          </w:tcPr>
          <w:p w:rsidR="00000000" w:rsidRDefault="00000000">
            <w:pPr>
              <w:jc w:val="right"/>
              <w:rPr>
                <w:b/>
                <w:snapToGrid w:val="0"/>
                <w:sz w:val="18"/>
              </w:rPr>
            </w:pPr>
            <w:r>
              <w:rPr>
                <w:b/>
                <w:snapToGrid w:val="0"/>
                <w:sz w:val="18"/>
              </w:rPr>
              <w:t>270 998</w:t>
            </w:r>
          </w:p>
        </w:tc>
        <w:tc>
          <w:tcPr>
            <w:tcW w:w="999" w:type="dxa"/>
            <w:gridSpan w:val="2"/>
            <w:tcBorders>
              <w:bottom w:val="nil"/>
            </w:tcBorders>
          </w:tcPr>
          <w:p w:rsidR="00000000" w:rsidRDefault="00000000">
            <w:pPr>
              <w:ind w:right="113"/>
              <w:jc w:val="right"/>
              <w:rPr>
                <w:b/>
                <w:snapToGrid w:val="0"/>
                <w:sz w:val="18"/>
              </w:rPr>
            </w:pPr>
            <w:r>
              <w:rPr>
                <w:b/>
                <w:snapToGrid w:val="0"/>
                <w:sz w:val="18"/>
              </w:rPr>
              <w:t>38 125</w:t>
            </w:r>
          </w:p>
        </w:tc>
        <w:tc>
          <w:tcPr>
            <w:tcW w:w="869" w:type="dxa"/>
            <w:gridSpan w:val="2"/>
            <w:tcBorders>
              <w:bottom w:val="nil"/>
            </w:tcBorders>
          </w:tcPr>
          <w:p w:rsidR="00000000" w:rsidRDefault="00000000">
            <w:pPr>
              <w:ind w:right="57"/>
              <w:jc w:val="right"/>
              <w:rPr>
                <w:b/>
                <w:snapToGrid w:val="0"/>
                <w:sz w:val="18"/>
              </w:rPr>
            </w:pPr>
            <w:r>
              <w:rPr>
                <w:b/>
                <w:snapToGrid w:val="0"/>
                <w:sz w:val="18"/>
              </w:rPr>
              <w:t>220 960</w:t>
            </w:r>
          </w:p>
        </w:tc>
        <w:tc>
          <w:tcPr>
            <w:tcW w:w="992" w:type="dxa"/>
            <w:gridSpan w:val="2"/>
            <w:tcBorders>
              <w:bottom w:val="nil"/>
            </w:tcBorders>
          </w:tcPr>
          <w:p w:rsidR="00000000" w:rsidRDefault="00000000">
            <w:pPr>
              <w:ind w:right="113"/>
              <w:jc w:val="right"/>
              <w:rPr>
                <w:b/>
                <w:snapToGrid w:val="0"/>
                <w:sz w:val="18"/>
              </w:rPr>
            </w:pPr>
            <w:r>
              <w:rPr>
                <w:b/>
                <w:snapToGrid w:val="0"/>
                <w:sz w:val="18"/>
              </w:rPr>
              <w:t>139 642</w:t>
            </w:r>
          </w:p>
        </w:tc>
        <w:tc>
          <w:tcPr>
            <w:tcW w:w="1134" w:type="dxa"/>
            <w:gridSpan w:val="2"/>
            <w:tcBorders>
              <w:bottom w:val="nil"/>
            </w:tcBorders>
          </w:tcPr>
          <w:p w:rsidR="00000000" w:rsidRDefault="00000000">
            <w:pPr>
              <w:ind w:right="113"/>
              <w:jc w:val="right"/>
              <w:rPr>
                <w:b/>
                <w:snapToGrid w:val="0"/>
                <w:sz w:val="18"/>
              </w:rPr>
            </w:pPr>
            <w:r>
              <w:rPr>
                <w:b/>
                <w:snapToGrid w:val="0"/>
                <w:sz w:val="18"/>
              </w:rPr>
              <w:t>81 318</w:t>
            </w:r>
          </w:p>
        </w:tc>
        <w:tc>
          <w:tcPr>
            <w:tcW w:w="992" w:type="dxa"/>
            <w:gridSpan w:val="2"/>
            <w:tcBorders>
              <w:bottom w:val="nil"/>
            </w:tcBorders>
          </w:tcPr>
          <w:p w:rsidR="00000000" w:rsidRDefault="00000000">
            <w:pPr>
              <w:ind w:right="113"/>
              <w:jc w:val="right"/>
              <w:rPr>
                <w:b/>
                <w:snapToGrid w:val="0"/>
                <w:sz w:val="18"/>
              </w:rPr>
            </w:pPr>
            <w:r>
              <w:rPr>
                <w:b/>
                <w:snapToGrid w:val="0"/>
                <w:sz w:val="18"/>
              </w:rPr>
              <w:t>9 833</w:t>
            </w:r>
          </w:p>
        </w:tc>
        <w:tc>
          <w:tcPr>
            <w:tcW w:w="705" w:type="dxa"/>
            <w:gridSpan w:val="2"/>
            <w:tcBorders>
              <w:bottom w:val="nil"/>
            </w:tcBorders>
          </w:tcPr>
          <w:p w:rsidR="00000000" w:rsidRDefault="00000000">
            <w:pPr>
              <w:ind w:right="57"/>
              <w:jc w:val="right"/>
              <w:rPr>
                <w:b/>
                <w:snapToGrid w:val="0"/>
                <w:sz w:val="18"/>
              </w:rPr>
            </w:pPr>
            <w:r>
              <w:rPr>
                <w:b/>
                <w:snapToGrid w:val="0"/>
                <w:sz w:val="18"/>
              </w:rPr>
              <w:t>2 080</w:t>
            </w:r>
          </w:p>
        </w:tc>
      </w:tr>
      <w:tr w:rsidR="00000000">
        <w:tblPrEx>
          <w:tblCellMar>
            <w:top w:w="0" w:type="dxa"/>
            <w:bottom w:w="0" w:type="dxa"/>
          </w:tblCellMar>
        </w:tblPrEx>
        <w:trPr>
          <w:gridAfter w:val="1"/>
          <w:wAfter w:w="71" w:type="dxa"/>
          <w:cantSplit/>
          <w:trHeight w:val="155"/>
          <w:jc w:val="center"/>
        </w:trPr>
        <w:tc>
          <w:tcPr>
            <w:tcW w:w="1891" w:type="dxa"/>
            <w:gridSpan w:val="2"/>
            <w:tcBorders>
              <w:top w:val="nil"/>
              <w:bottom w:val="single" w:sz="4" w:space="0" w:color="auto"/>
            </w:tcBorders>
          </w:tcPr>
          <w:p w:rsidR="00000000" w:rsidRDefault="00000000">
            <w:pPr>
              <w:rPr>
                <w:snapToGrid w:val="0"/>
                <w:sz w:val="18"/>
              </w:rPr>
            </w:pPr>
          </w:p>
        </w:tc>
        <w:tc>
          <w:tcPr>
            <w:tcW w:w="684" w:type="dxa"/>
            <w:gridSpan w:val="2"/>
            <w:tcBorders>
              <w:top w:val="nil"/>
              <w:bottom w:val="single" w:sz="4" w:space="0" w:color="auto"/>
            </w:tcBorders>
          </w:tcPr>
          <w:p w:rsidR="00000000" w:rsidRDefault="00000000">
            <w:pPr>
              <w:rPr>
                <w:snapToGrid w:val="0"/>
                <w:sz w:val="18"/>
              </w:rPr>
            </w:pPr>
            <w:r>
              <w:rPr>
                <w:b/>
                <w:snapToGrid w:val="0"/>
                <w:sz w:val="18"/>
              </w:rPr>
              <w:t>1999</w:t>
            </w:r>
          </w:p>
        </w:tc>
        <w:tc>
          <w:tcPr>
            <w:tcW w:w="850" w:type="dxa"/>
            <w:gridSpan w:val="2"/>
            <w:tcBorders>
              <w:top w:val="nil"/>
              <w:bottom w:val="single" w:sz="4" w:space="0" w:color="auto"/>
            </w:tcBorders>
          </w:tcPr>
          <w:p w:rsidR="00000000" w:rsidRDefault="00000000">
            <w:pPr>
              <w:jc w:val="right"/>
              <w:rPr>
                <w:b/>
                <w:snapToGrid w:val="0"/>
                <w:sz w:val="18"/>
              </w:rPr>
            </w:pPr>
            <w:r>
              <w:rPr>
                <w:b/>
                <w:snapToGrid w:val="0"/>
                <w:sz w:val="18"/>
              </w:rPr>
              <w:t>260 579</w:t>
            </w:r>
          </w:p>
        </w:tc>
        <w:tc>
          <w:tcPr>
            <w:tcW w:w="999" w:type="dxa"/>
            <w:gridSpan w:val="2"/>
            <w:tcBorders>
              <w:top w:val="nil"/>
              <w:bottom w:val="single" w:sz="4" w:space="0" w:color="auto"/>
            </w:tcBorders>
          </w:tcPr>
          <w:p w:rsidR="00000000" w:rsidRDefault="00000000">
            <w:pPr>
              <w:ind w:right="113"/>
              <w:jc w:val="right"/>
              <w:rPr>
                <w:b/>
                <w:snapToGrid w:val="0"/>
                <w:sz w:val="18"/>
              </w:rPr>
            </w:pPr>
            <w:r>
              <w:rPr>
                <w:b/>
                <w:snapToGrid w:val="0"/>
                <w:sz w:val="18"/>
              </w:rPr>
              <w:t>37 810</w:t>
            </w:r>
          </w:p>
        </w:tc>
        <w:tc>
          <w:tcPr>
            <w:tcW w:w="869" w:type="dxa"/>
            <w:gridSpan w:val="2"/>
            <w:tcBorders>
              <w:top w:val="nil"/>
              <w:bottom w:val="single" w:sz="4" w:space="0" w:color="auto"/>
            </w:tcBorders>
          </w:tcPr>
          <w:p w:rsidR="00000000" w:rsidRDefault="00000000">
            <w:pPr>
              <w:ind w:right="57"/>
              <w:jc w:val="right"/>
              <w:rPr>
                <w:b/>
                <w:snapToGrid w:val="0"/>
                <w:sz w:val="18"/>
              </w:rPr>
            </w:pPr>
            <w:r>
              <w:rPr>
                <w:b/>
                <w:snapToGrid w:val="0"/>
                <w:sz w:val="18"/>
              </w:rPr>
              <w:t>210 834</w:t>
            </w:r>
          </w:p>
        </w:tc>
        <w:tc>
          <w:tcPr>
            <w:tcW w:w="992" w:type="dxa"/>
            <w:gridSpan w:val="2"/>
            <w:tcBorders>
              <w:top w:val="nil"/>
              <w:bottom w:val="single" w:sz="4" w:space="0" w:color="auto"/>
            </w:tcBorders>
          </w:tcPr>
          <w:p w:rsidR="00000000" w:rsidRDefault="00000000">
            <w:pPr>
              <w:ind w:right="113"/>
              <w:jc w:val="right"/>
              <w:rPr>
                <w:b/>
                <w:snapToGrid w:val="0"/>
                <w:sz w:val="18"/>
              </w:rPr>
            </w:pPr>
            <w:r>
              <w:rPr>
                <w:b/>
                <w:snapToGrid w:val="0"/>
                <w:sz w:val="18"/>
              </w:rPr>
              <w:t>135 738</w:t>
            </w:r>
          </w:p>
        </w:tc>
        <w:tc>
          <w:tcPr>
            <w:tcW w:w="1134" w:type="dxa"/>
            <w:gridSpan w:val="2"/>
            <w:tcBorders>
              <w:top w:val="nil"/>
              <w:bottom w:val="single" w:sz="4" w:space="0" w:color="auto"/>
            </w:tcBorders>
          </w:tcPr>
          <w:p w:rsidR="00000000" w:rsidRDefault="00000000">
            <w:pPr>
              <w:ind w:right="113"/>
              <w:jc w:val="right"/>
              <w:rPr>
                <w:b/>
                <w:snapToGrid w:val="0"/>
                <w:sz w:val="18"/>
              </w:rPr>
            </w:pPr>
            <w:r>
              <w:rPr>
                <w:b/>
                <w:snapToGrid w:val="0"/>
                <w:sz w:val="18"/>
              </w:rPr>
              <w:t>75 096</w:t>
            </w:r>
          </w:p>
        </w:tc>
        <w:tc>
          <w:tcPr>
            <w:tcW w:w="992" w:type="dxa"/>
            <w:gridSpan w:val="2"/>
            <w:tcBorders>
              <w:top w:val="nil"/>
              <w:bottom w:val="single" w:sz="4" w:space="0" w:color="auto"/>
            </w:tcBorders>
          </w:tcPr>
          <w:p w:rsidR="00000000" w:rsidRDefault="00000000">
            <w:pPr>
              <w:ind w:right="113"/>
              <w:jc w:val="right"/>
              <w:rPr>
                <w:b/>
                <w:snapToGrid w:val="0"/>
                <w:sz w:val="18"/>
              </w:rPr>
            </w:pPr>
            <w:r>
              <w:rPr>
                <w:b/>
                <w:snapToGrid w:val="0"/>
                <w:sz w:val="18"/>
              </w:rPr>
              <w:t>9 940</w:t>
            </w:r>
          </w:p>
        </w:tc>
        <w:tc>
          <w:tcPr>
            <w:tcW w:w="705" w:type="dxa"/>
            <w:gridSpan w:val="2"/>
            <w:tcBorders>
              <w:top w:val="nil"/>
              <w:bottom w:val="single" w:sz="4" w:space="0" w:color="auto"/>
            </w:tcBorders>
          </w:tcPr>
          <w:p w:rsidR="00000000" w:rsidRDefault="00000000">
            <w:pPr>
              <w:ind w:right="57"/>
              <w:jc w:val="right"/>
              <w:rPr>
                <w:b/>
                <w:snapToGrid w:val="0"/>
                <w:sz w:val="18"/>
              </w:rPr>
            </w:pPr>
            <w:r>
              <w:rPr>
                <w:b/>
                <w:snapToGrid w:val="0"/>
                <w:sz w:val="18"/>
              </w:rPr>
              <w:t>1 995</w:t>
            </w:r>
          </w:p>
        </w:tc>
      </w:tr>
      <w:tr w:rsidR="00000000">
        <w:tblPrEx>
          <w:tblCellMar>
            <w:top w:w="0" w:type="dxa"/>
            <w:bottom w:w="0" w:type="dxa"/>
          </w:tblCellMar>
        </w:tblPrEx>
        <w:trPr>
          <w:gridAfter w:val="1"/>
          <w:wAfter w:w="71" w:type="dxa"/>
          <w:cantSplit/>
          <w:trHeight w:val="155"/>
          <w:jc w:val="center"/>
        </w:trPr>
        <w:tc>
          <w:tcPr>
            <w:tcW w:w="1891" w:type="dxa"/>
            <w:gridSpan w:val="2"/>
            <w:tcBorders>
              <w:top w:val="single" w:sz="4" w:space="0" w:color="auto"/>
            </w:tcBorders>
          </w:tcPr>
          <w:p w:rsidR="00000000" w:rsidRDefault="00000000">
            <w:pPr>
              <w:rPr>
                <w:snapToGrid w:val="0"/>
                <w:sz w:val="18"/>
              </w:rPr>
            </w:pPr>
          </w:p>
        </w:tc>
        <w:tc>
          <w:tcPr>
            <w:tcW w:w="684" w:type="dxa"/>
            <w:gridSpan w:val="2"/>
            <w:tcBorders>
              <w:top w:val="single" w:sz="4" w:space="0" w:color="auto"/>
            </w:tcBorders>
          </w:tcPr>
          <w:p w:rsidR="00000000" w:rsidRDefault="00000000">
            <w:pPr>
              <w:rPr>
                <w:snapToGrid w:val="0"/>
                <w:sz w:val="18"/>
              </w:rPr>
            </w:pPr>
            <w:r>
              <w:rPr>
                <w:snapToGrid w:val="0"/>
                <w:sz w:val="18"/>
              </w:rPr>
              <w:t>1997</w:t>
            </w:r>
          </w:p>
        </w:tc>
        <w:tc>
          <w:tcPr>
            <w:tcW w:w="850" w:type="dxa"/>
            <w:gridSpan w:val="2"/>
            <w:tcBorders>
              <w:top w:val="single" w:sz="4" w:space="0" w:color="auto"/>
            </w:tcBorders>
          </w:tcPr>
          <w:p w:rsidR="00000000" w:rsidRDefault="00000000">
            <w:pPr>
              <w:jc w:val="right"/>
              <w:rPr>
                <w:snapToGrid w:val="0"/>
                <w:sz w:val="18"/>
              </w:rPr>
            </w:pPr>
            <w:r>
              <w:rPr>
                <w:snapToGrid w:val="0"/>
                <w:sz w:val="18"/>
              </w:rPr>
              <w:t>54 886</w:t>
            </w:r>
          </w:p>
        </w:tc>
        <w:tc>
          <w:tcPr>
            <w:tcW w:w="999" w:type="dxa"/>
            <w:gridSpan w:val="2"/>
            <w:tcBorders>
              <w:top w:val="single" w:sz="4" w:space="0" w:color="auto"/>
            </w:tcBorders>
          </w:tcPr>
          <w:p w:rsidR="00000000" w:rsidRDefault="00000000">
            <w:pPr>
              <w:ind w:right="113"/>
              <w:jc w:val="right"/>
              <w:rPr>
                <w:snapToGrid w:val="0"/>
                <w:sz w:val="18"/>
              </w:rPr>
            </w:pPr>
            <w:r>
              <w:rPr>
                <w:snapToGrid w:val="0"/>
                <w:sz w:val="18"/>
              </w:rPr>
              <w:t>8 565</w:t>
            </w:r>
          </w:p>
        </w:tc>
        <w:tc>
          <w:tcPr>
            <w:tcW w:w="869" w:type="dxa"/>
            <w:gridSpan w:val="2"/>
            <w:tcBorders>
              <w:top w:val="single" w:sz="4" w:space="0" w:color="auto"/>
            </w:tcBorders>
          </w:tcPr>
          <w:p w:rsidR="00000000" w:rsidRDefault="00000000">
            <w:pPr>
              <w:ind w:right="57"/>
              <w:jc w:val="right"/>
              <w:rPr>
                <w:snapToGrid w:val="0"/>
                <w:sz w:val="18"/>
              </w:rPr>
            </w:pPr>
            <w:r>
              <w:rPr>
                <w:snapToGrid w:val="0"/>
                <w:sz w:val="18"/>
              </w:rPr>
              <w:t>41 507</w:t>
            </w:r>
          </w:p>
        </w:tc>
        <w:tc>
          <w:tcPr>
            <w:tcW w:w="992" w:type="dxa"/>
            <w:gridSpan w:val="2"/>
            <w:tcBorders>
              <w:top w:val="single" w:sz="4" w:space="0" w:color="auto"/>
            </w:tcBorders>
          </w:tcPr>
          <w:p w:rsidR="00000000" w:rsidRDefault="00000000">
            <w:pPr>
              <w:ind w:right="113"/>
              <w:jc w:val="right"/>
              <w:rPr>
                <w:snapToGrid w:val="0"/>
                <w:sz w:val="18"/>
              </w:rPr>
            </w:pPr>
            <w:r>
              <w:rPr>
                <w:snapToGrid w:val="0"/>
                <w:sz w:val="18"/>
              </w:rPr>
              <w:t>23 677</w:t>
            </w:r>
          </w:p>
        </w:tc>
        <w:tc>
          <w:tcPr>
            <w:tcW w:w="1134" w:type="dxa"/>
            <w:gridSpan w:val="2"/>
            <w:tcBorders>
              <w:top w:val="single" w:sz="4" w:space="0" w:color="auto"/>
            </w:tcBorders>
          </w:tcPr>
          <w:p w:rsidR="00000000" w:rsidRDefault="00000000">
            <w:pPr>
              <w:ind w:right="113"/>
              <w:jc w:val="right"/>
              <w:rPr>
                <w:snapToGrid w:val="0"/>
                <w:sz w:val="18"/>
              </w:rPr>
            </w:pPr>
            <w:r>
              <w:rPr>
                <w:snapToGrid w:val="0"/>
                <w:sz w:val="18"/>
              </w:rPr>
              <w:t>17 830</w:t>
            </w:r>
          </w:p>
        </w:tc>
        <w:tc>
          <w:tcPr>
            <w:tcW w:w="992" w:type="dxa"/>
            <w:gridSpan w:val="2"/>
            <w:tcBorders>
              <w:top w:val="single" w:sz="4" w:space="0" w:color="auto"/>
            </w:tcBorders>
          </w:tcPr>
          <w:p w:rsidR="00000000" w:rsidRDefault="00000000">
            <w:pPr>
              <w:ind w:right="113"/>
              <w:jc w:val="right"/>
              <w:rPr>
                <w:snapToGrid w:val="0"/>
                <w:sz w:val="18"/>
              </w:rPr>
            </w:pPr>
            <w:r>
              <w:rPr>
                <w:snapToGrid w:val="0"/>
                <w:sz w:val="18"/>
              </w:rPr>
              <w:t>4 417</w:t>
            </w:r>
          </w:p>
        </w:tc>
        <w:tc>
          <w:tcPr>
            <w:tcW w:w="705" w:type="dxa"/>
            <w:gridSpan w:val="2"/>
            <w:tcBorders>
              <w:top w:val="single" w:sz="4" w:space="0" w:color="auto"/>
            </w:tcBorders>
          </w:tcPr>
          <w:p w:rsidR="00000000" w:rsidRDefault="00000000">
            <w:pPr>
              <w:ind w:right="57"/>
              <w:jc w:val="right"/>
              <w:rPr>
                <w:snapToGrid w:val="0"/>
                <w:sz w:val="18"/>
              </w:rPr>
            </w:pPr>
            <w:r>
              <w:rPr>
                <w:snapToGrid w:val="0"/>
                <w:sz w:val="18"/>
              </w:rPr>
              <w:t>397</w:t>
            </w:r>
          </w:p>
        </w:tc>
      </w:tr>
      <w:tr w:rsidR="00000000">
        <w:tblPrEx>
          <w:tblCellMar>
            <w:top w:w="0" w:type="dxa"/>
            <w:bottom w:w="0" w:type="dxa"/>
          </w:tblCellMar>
        </w:tblPrEx>
        <w:trPr>
          <w:gridAfter w:val="1"/>
          <w:wAfter w:w="71" w:type="dxa"/>
          <w:cantSplit/>
          <w:trHeight w:val="155"/>
          <w:jc w:val="center"/>
        </w:trPr>
        <w:tc>
          <w:tcPr>
            <w:tcW w:w="1891" w:type="dxa"/>
            <w:gridSpan w:val="2"/>
            <w:tcBorders>
              <w:bottom w:val="nil"/>
            </w:tcBorders>
          </w:tcPr>
          <w:p w:rsidR="00000000" w:rsidRDefault="00000000">
            <w:pPr>
              <w:rPr>
                <w:snapToGrid w:val="0"/>
                <w:sz w:val="18"/>
              </w:rPr>
            </w:pPr>
            <w:r>
              <w:rPr>
                <w:snapToGrid w:val="0"/>
                <w:sz w:val="18"/>
              </w:rPr>
              <w:t>Minas Gerais</w:t>
            </w:r>
          </w:p>
        </w:tc>
        <w:tc>
          <w:tcPr>
            <w:tcW w:w="684" w:type="dxa"/>
            <w:gridSpan w:val="2"/>
            <w:tcBorders>
              <w:bottom w:val="nil"/>
            </w:tcBorders>
          </w:tcPr>
          <w:p w:rsidR="00000000" w:rsidRDefault="00000000">
            <w:pPr>
              <w:rPr>
                <w:snapToGrid w:val="0"/>
                <w:sz w:val="18"/>
              </w:rPr>
            </w:pPr>
            <w:r>
              <w:rPr>
                <w:snapToGrid w:val="0"/>
                <w:sz w:val="18"/>
              </w:rPr>
              <w:t>1998</w:t>
            </w:r>
          </w:p>
        </w:tc>
        <w:tc>
          <w:tcPr>
            <w:tcW w:w="850" w:type="dxa"/>
            <w:gridSpan w:val="2"/>
            <w:tcBorders>
              <w:bottom w:val="nil"/>
            </w:tcBorders>
          </w:tcPr>
          <w:p w:rsidR="00000000" w:rsidRDefault="00000000">
            <w:pPr>
              <w:jc w:val="right"/>
              <w:rPr>
                <w:snapToGrid w:val="0"/>
                <w:sz w:val="18"/>
              </w:rPr>
            </w:pPr>
            <w:r>
              <w:rPr>
                <w:snapToGrid w:val="0"/>
                <w:sz w:val="18"/>
              </w:rPr>
              <w:t>49 699</w:t>
            </w:r>
          </w:p>
        </w:tc>
        <w:tc>
          <w:tcPr>
            <w:tcW w:w="999" w:type="dxa"/>
            <w:gridSpan w:val="2"/>
            <w:tcBorders>
              <w:bottom w:val="nil"/>
            </w:tcBorders>
          </w:tcPr>
          <w:p w:rsidR="00000000" w:rsidRDefault="00000000">
            <w:pPr>
              <w:ind w:right="113"/>
              <w:jc w:val="right"/>
              <w:rPr>
                <w:snapToGrid w:val="0"/>
                <w:sz w:val="18"/>
              </w:rPr>
            </w:pPr>
            <w:r>
              <w:rPr>
                <w:snapToGrid w:val="0"/>
                <w:sz w:val="18"/>
              </w:rPr>
              <w:t>8 877</w:t>
            </w:r>
          </w:p>
        </w:tc>
        <w:tc>
          <w:tcPr>
            <w:tcW w:w="869" w:type="dxa"/>
            <w:gridSpan w:val="2"/>
            <w:tcBorders>
              <w:bottom w:val="nil"/>
            </w:tcBorders>
          </w:tcPr>
          <w:p w:rsidR="00000000" w:rsidRDefault="00000000">
            <w:pPr>
              <w:ind w:right="57"/>
              <w:jc w:val="right"/>
              <w:rPr>
                <w:snapToGrid w:val="0"/>
                <w:sz w:val="18"/>
              </w:rPr>
            </w:pPr>
            <w:r>
              <w:rPr>
                <w:snapToGrid w:val="0"/>
                <w:sz w:val="18"/>
              </w:rPr>
              <w:t>36 707</w:t>
            </w:r>
          </w:p>
        </w:tc>
        <w:tc>
          <w:tcPr>
            <w:tcW w:w="992" w:type="dxa"/>
            <w:gridSpan w:val="2"/>
            <w:tcBorders>
              <w:bottom w:val="nil"/>
            </w:tcBorders>
          </w:tcPr>
          <w:p w:rsidR="00000000" w:rsidRDefault="00000000">
            <w:pPr>
              <w:ind w:right="113"/>
              <w:jc w:val="right"/>
              <w:rPr>
                <w:snapToGrid w:val="0"/>
                <w:sz w:val="18"/>
              </w:rPr>
            </w:pPr>
            <w:r>
              <w:rPr>
                <w:snapToGrid w:val="0"/>
                <w:sz w:val="18"/>
              </w:rPr>
              <w:t>21 691</w:t>
            </w:r>
          </w:p>
        </w:tc>
        <w:tc>
          <w:tcPr>
            <w:tcW w:w="1134" w:type="dxa"/>
            <w:gridSpan w:val="2"/>
            <w:tcBorders>
              <w:bottom w:val="nil"/>
            </w:tcBorders>
          </w:tcPr>
          <w:p w:rsidR="00000000" w:rsidRDefault="00000000">
            <w:pPr>
              <w:ind w:right="113"/>
              <w:jc w:val="right"/>
              <w:rPr>
                <w:snapToGrid w:val="0"/>
                <w:sz w:val="18"/>
              </w:rPr>
            </w:pPr>
            <w:r>
              <w:rPr>
                <w:snapToGrid w:val="0"/>
                <w:sz w:val="18"/>
              </w:rPr>
              <w:t>15 016</w:t>
            </w:r>
          </w:p>
        </w:tc>
        <w:tc>
          <w:tcPr>
            <w:tcW w:w="992" w:type="dxa"/>
            <w:gridSpan w:val="2"/>
            <w:tcBorders>
              <w:bottom w:val="nil"/>
            </w:tcBorders>
          </w:tcPr>
          <w:p w:rsidR="00000000" w:rsidRDefault="00000000">
            <w:pPr>
              <w:ind w:right="113"/>
              <w:jc w:val="right"/>
              <w:rPr>
                <w:snapToGrid w:val="0"/>
                <w:sz w:val="18"/>
              </w:rPr>
            </w:pPr>
            <w:r>
              <w:rPr>
                <w:snapToGrid w:val="0"/>
                <w:sz w:val="18"/>
              </w:rPr>
              <w:t>3 646</w:t>
            </w:r>
          </w:p>
        </w:tc>
        <w:tc>
          <w:tcPr>
            <w:tcW w:w="705" w:type="dxa"/>
            <w:gridSpan w:val="2"/>
            <w:tcBorders>
              <w:bottom w:val="nil"/>
            </w:tcBorders>
          </w:tcPr>
          <w:p w:rsidR="00000000" w:rsidRDefault="00000000">
            <w:pPr>
              <w:ind w:right="57"/>
              <w:jc w:val="right"/>
              <w:rPr>
                <w:snapToGrid w:val="0"/>
                <w:sz w:val="18"/>
              </w:rPr>
            </w:pPr>
            <w:r>
              <w:rPr>
                <w:snapToGrid w:val="0"/>
                <w:sz w:val="18"/>
              </w:rPr>
              <w:t>469</w:t>
            </w:r>
          </w:p>
        </w:tc>
      </w:tr>
      <w:tr w:rsidR="00000000">
        <w:tblPrEx>
          <w:tblCellMar>
            <w:top w:w="0" w:type="dxa"/>
            <w:bottom w:w="0" w:type="dxa"/>
          </w:tblCellMar>
        </w:tblPrEx>
        <w:trPr>
          <w:gridAfter w:val="1"/>
          <w:wAfter w:w="71" w:type="dxa"/>
          <w:cantSplit/>
          <w:trHeight w:val="155"/>
          <w:jc w:val="center"/>
        </w:trPr>
        <w:tc>
          <w:tcPr>
            <w:tcW w:w="1891" w:type="dxa"/>
            <w:gridSpan w:val="2"/>
            <w:tcBorders>
              <w:top w:val="nil"/>
              <w:bottom w:val="single" w:sz="4" w:space="0" w:color="auto"/>
            </w:tcBorders>
          </w:tcPr>
          <w:p w:rsidR="00000000" w:rsidRDefault="00000000">
            <w:pPr>
              <w:rPr>
                <w:snapToGrid w:val="0"/>
                <w:sz w:val="18"/>
              </w:rPr>
            </w:pPr>
          </w:p>
        </w:tc>
        <w:tc>
          <w:tcPr>
            <w:tcW w:w="684" w:type="dxa"/>
            <w:gridSpan w:val="2"/>
            <w:tcBorders>
              <w:top w:val="nil"/>
              <w:bottom w:val="single" w:sz="4" w:space="0" w:color="auto"/>
            </w:tcBorders>
          </w:tcPr>
          <w:p w:rsidR="00000000" w:rsidRDefault="00000000">
            <w:pPr>
              <w:rPr>
                <w:snapToGrid w:val="0"/>
                <w:sz w:val="18"/>
              </w:rPr>
            </w:pPr>
            <w:r>
              <w:rPr>
                <w:snapToGrid w:val="0"/>
                <w:sz w:val="18"/>
              </w:rPr>
              <w:t>1999</w:t>
            </w:r>
          </w:p>
        </w:tc>
        <w:tc>
          <w:tcPr>
            <w:tcW w:w="850" w:type="dxa"/>
            <w:gridSpan w:val="2"/>
            <w:tcBorders>
              <w:top w:val="nil"/>
              <w:bottom w:val="single" w:sz="4" w:space="0" w:color="auto"/>
            </w:tcBorders>
          </w:tcPr>
          <w:p w:rsidR="00000000" w:rsidRDefault="00000000">
            <w:pPr>
              <w:jc w:val="right"/>
              <w:rPr>
                <w:snapToGrid w:val="0"/>
                <w:sz w:val="18"/>
              </w:rPr>
            </w:pPr>
            <w:r>
              <w:rPr>
                <w:snapToGrid w:val="0"/>
                <w:sz w:val="18"/>
              </w:rPr>
              <w:t>50 802</w:t>
            </w:r>
          </w:p>
        </w:tc>
        <w:tc>
          <w:tcPr>
            <w:tcW w:w="999" w:type="dxa"/>
            <w:gridSpan w:val="2"/>
            <w:tcBorders>
              <w:top w:val="nil"/>
              <w:bottom w:val="single" w:sz="4" w:space="0" w:color="auto"/>
            </w:tcBorders>
          </w:tcPr>
          <w:p w:rsidR="00000000" w:rsidRDefault="00000000">
            <w:pPr>
              <w:ind w:right="113"/>
              <w:jc w:val="right"/>
              <w:rPr>
                <w:snapToGrid w:val="0"/>
                <w:sz w:val="18"/>
              </w:rPr>
            </w:pPr>
            <w:r>
              <w:rPr>
                <w:snapToGrid w:val="0"/>
                <w:sz w:val="18"/>
              </w:rPr>
              <w:t>10 682</w:t>
            </w:r>
          </w:p>
        </w:tc>
        <w:tc>
          <w:tcPr>
            <w:tcW w:w="869" w:type="dxa"/>
            <w:gridSpan w:val="2"/>
            <w:tcBorders>
              <w:top w:val="nil"/>
              <w:bottom w:val="single" w:sz="4" w:space="0" w:color="auto"/>
            </w:tcBorders>
          </w:tcPr>
          <w:p w:rsidR="00000000" w:rsidRDefault="00000000">
            <w:pPr>
              <w:ind w:right="57"/>
              <w:jc w:val="right"/>
              <w:rPr>
                <w:snapToGrid w:val="0"/>
                <w:sz w:val="18"/>
              </w:rPr>
            </w:pPr>
            <w:r>
              <w:rPr>
                <w:snapToGrid w:val="0"/>
                <w:sz w:val="18"/>
              </w:rPr>
              <w:t>36 633</w:t>
            </w:r>
          </w:p>
        </w:tc>
        <w:tc>
          <w:tcPr>
            <w:tcW w:w="992" w:type="dxa"/>
            <w:gridSpan w:val="2"/>
            <w:tcBorders>
              <w:top w:val="nil"/>
              <w:bottom w:val="single" w:sz="4" w:space="0" w:color="auto"/>
            </w:tcBorders>
          </w:tcPr>
          <w:p w:rsidR="00000000" w:rsidRDefault="00000000">
            <w:pPr>
              <w:ind w:right="113"/>
              <w:jc w:val="right"/>
              <w:rPr>
                <w:snapToGrid w:val="0"/>
                <w:sz w:val="18"/>
              </w:rPr>
            </w:pPr>
            <w:r>
              <w:rPr>
                <w:snapToGrid w:val="0"/>
                <w:sz w:val="18"/>
              </w:rPr>
              <w:t>23 517</w:t>
            </w:r>
          </w:p>
        </w:tc>
        <w:tc>
          <w:tcPr>
            <w:tcW w:w="1134" w:type="dxa"/>
            <w:gridSpan w:val="2"/>
            <w:tcBorders>
              <w:top w:val="nil"/>
              <w:bottom w:val="single" w:sz="4" w:space="0" w:color="auto"/>
            </w:tcBorders>
          </w:tcPr>
          <w:p w:rsidR="00000000" w:rsidRDefault="00000000">
            <w:pPr>
              <w:ind w:right="113"/>
              <w:jc w:val="right"/>
              <w:rPr>
                <w:snapToGrid w:val="0"/>
                <w:sz w:val="18"/>
              </w:rPr>
            </w:pPr>
            <w:r>
              <w:rPr>
                <w:snapToGrid w:val="0"/>
                <w:sz w:val="18"/>
              </w:rPr>
              <w:t>13 116</w:t>
            </w:r>
          </w:p>
        </w:tc>
        <w:tc>
          <w:tcPr>
            <w:tcW w:w="992" w:type="dxa"/>
            <w:gridSpan w:val="2"/>
            <w:tcBorders>
              <w:top w:val="nil"/>
              <w:bottom w:val="single" w:sz="4" w:space="0" w:color="auto"/>
            </w:tcBorders>
          </w:tcPr>
          <w:p w:rsidR="00000000" w:rsidRDefault="00000000">
            <w:pPr>
              <w:ind w:right="113"/>
              <w:jc w:val="right"/>
              <w:rPr>
                <w:snapToGrid w:val="0"/>
                <w:sz w:val="18"/>
              </w:rPr>
            </w:pPr>
            <w:r>
              <w:rPr>
                <w:snapToGrid w:val="0"/>
                <w:sz w:val="18"/>
              </w:rPr>
              <w:t>2 994</w:t>
            </w:r>
          </w:p>
        </w:tc>
        <w:tc>
          <w:tcPr>
            <w:tcW w:w="705" w:type="dxa"/>
            <w:gridSpan w:val="2"/>
            <w:tcBorders>
              <w:top w:val="nil"/>
              <w:bottom w:val="single" w:sz="4" w:space="0" w:color="auto"/>
            </w:tcBorders>
          </w:tcPr>
          <w:p w:rsidR="00000000" w:rsidRDefault="00000000">
            <w:pPr>
              <w:ind w:right="57"/>
              <w:jc w:val="right"/>
              <w:rPr>
                <w:snapToGrid w:val="0"/>
                <w:sz w:val="18"/>
              </w:rPr>
            </w:pPr>
            <w:r>
              <w:rPr>
                <w:snapToGrid w:val="0"/>
                <w:sz w:val="18"/>
              </w:rPr>
              <w:t>493</w:t>
            </w:r>
          </w:p>
        </w:tc>
      </w:tr>
      <w:tr w:rsidR="00000000">
        <w:tblPrEx>
          <w:tblCellMar>
            <w:top w:w="0" w:type="dxa"/>
            <w:bottom w:w="0" w:type="dxa"/>
          </w:tblCellMar>
        </w:tblPrEx>
        <w:trPr>
          <w:gridAfter w:val="1"/>
          <w:wAfter w:w="71" w:type="dxa"/>
          <w:cantSplit/>
          <w:trHeight w:val="155"/>
          <w:jc w:val="center"/>
        </w:trPr>
        <w:tc>
          <w:tcPr>
            <w:tcW w:w="1891" w:type="dxa"/>
            <w:gridSpan w:val="2"/>
            <w:tcBorders>
              <w:top w:val="single" w:sz="4" w:space="0" w:color="auto"/>
            </w:tcBorders>
          </w:tcPr>
          <w:p w:rsidR="00000000" w:rsidRDefault="00000000">
            <w:pPr>
              <w:rPr>
                <w:snapToGrid w:val="0"/>
                <w:sz w:val="18"/>
              </w:rPr>
            </w:pPr>
          </w:p>
        </w:tc>
        <w:tc>
          <w:tcPr>
            <w:tcW w:w="684" w:type="dxa"/>
            <w:gridSpan w:val="2"/>
            <w:tcBorders>
              <w:top w:val="single" w:sz="4" w:space="0" w:color="auto"/>
            </w:tcBorders>
          </w:tcPr>
          <w:p w:rsidR="00000000" w:rsidRDefault="00000000">
            <w:pPr>
              <w:rPr>
                <w:snapToGrid w:val="0"/>
                <w:sz w:val="18"/>
              </w:rPr>
            </w:pPr>
            <w:r>
              <w:rPr>
                <w:snapToGrid w:val="0"/>
                <w:sz w:val="18"/>
              </w:rPr>
              <w:t>1997</w:t>
            </w:r>
          </w:p>
        </w:tc>
        <w:tc>
          <w:tcPr>
            <w:tcW w:w="850" w:type="dxa"/>
            <w:gridSpan w:val="2"/>
            <w:tcBorders>
              <w:top w:val="single" w:sz="4" w:space="0" w:color="auto"/>
            </w:tcBorders>
          </w:tcPr>
          <w:p w:rsidR="00000000" w:rsidRDefault="00000000">
            <w:pPr>
              <w:jc w:val="right"/>
              <w:rPr>
                <w:snapToGrid w:val="0"/>
                <w:sz w:val="18"/>
              </w:rPr>
            </w:pPr>
            <w:r>
              <w:rPr>
                <w:snapToGrid w:val="0"/>
                <w:sz w:val="18"/>
              </w:rPr>
              <w:t>6 081</w:t>
            </w:r>
          </w:p>
        </w:tc>
        <w:tc>
          <w:tcPr>
            <w:tcW w:w="999" w:type="dxa"/>
            <w:gridSpan w:val="2"/>
            <w:tcBorders>
              <w:top w:val="single" w:sz="4" w:space="0" w:color="auto"/>
            </w:tcBorders>
          </w:tcPr>
          <w:p w:rsidR="00000000" w:rsidRDefault="00000000">
            <w:pPr>
              <w:ind w:right="113"/>
              <w:jc w:val="right"/>
              <w:rPr>
                <w:snapToGrid w:val="0"/>
                <w:sz w:val="18"/>
              </w:rPr>
            </w:pPr>
            <w:r>
              <w:rPr>
                <w:snapToGrid w:val="0"/>
                <w:sz w:val="18"/>
              </w:rPr>
              <w:t>835</w:t>
            </w:r>
          </w:p>
        </w:tc>
        <w:tc>
          <w:tcPr>
            <w:tcW w:w="869" w:type="dxa"/>
            <w:gridSpan w:val="2"/>
            <w:tcBorders>
              <w:top w:val="single" w:sz="4" w:space="0" w:color="auto"/>
            </w:tcBorders>
          </w:tcPr>
          <w:p w:rsidR="00000000" w:rsidRDefault="00000000">
            <w:pPr>
              <w:ind w:right="57"/>
              <w:jc w:val="right"/>
              <w:rPr>
                <w:snapToGrid w:val="0"/>
                <w:sz w:val="18"/>
              </w:rPr>
            </w:pPr>
            <w:r>
              <w:rPr>
                <w:snapToGrid w:val="0"/>
                <w:sz w:val="18"/>
              </w:rPr>
              <w:t>4 616</w:t>
            </w:r>
          </w:p>
        </w:tc>
        <w:tc>
          <w:tcPr>
            <w:tcW w:w="992" w:type="dxa"/>
            <w:gridSpan w:val="2"/>
            <w:tcBorders>
              <w:top w:val="single" w:sz="4" w:space="0" w:color="auto"/>
            </w:tcBorders>
          </w:tcPr>
          <w:p w:rsidR="00000000" w:rsidRDefault="00000000">
            <w:pPr>
              <w:ind w:right="113"/>
              <w:jc w:val="right"/>
              <w:rPr>
                <w:snapToGrid w:val="0"/>
                <w:sz w:val="18"/>
              </w:rPr>
            </w:pPr>
            <w:r>
              <w:rPr>
                <w:snapToGrid w:val="0"/>
                <w:sz w:val="18"/>
              </w:rPr>
              <w:t>1 944</w:t>
            </w:r>
          </w:p>
        </w:tc>
        <w:tc>
          <w:tcPr>
            <w:tcW w:w="1134" w:type="dxa"/>
            <w:gridSpan w:val="2"/>
            <w:tcBorders>
              <w:top w:val="single" w:sz="4" w:space="0" w:color="auto"/>
            </w:tcBorders>
          </w:tcPr>
          <w:p w:rsidR="00000000" w:rsidRDefault="00000000">
            <w:pPr>
              <w:ind w:right="113"/>
              <w:jc w:val="right"/>
              <w:rPr>
                <w:snapToGrid w:val="0"/>
                <w:sz w:val="18"/>
              </w:rPr>
            </w:pPr>
            <w:r>
              <w:rPr>
                <w:snapToGrid w:val="0"/>
                <w:sz w:val="18"/>
              </w:rPr>
              <w:t>2 672</w:t>
            </w:r>
          </w:p>
        </w:tc>
        <w:tc>
          <w:tcPr>
            <w:tcW w:w="992" w:type="dxa"/>
            <w:gridSpan w:val="2"/>
            <w:tcBorders>
              <w:top w:val="single" w:sz="4" w:space="0" w:color="auto"/>
            </w:tcBorders>
          </w:tcPr>
          <w:p w:rsidR="00000000" w:rsidRDefault="00000000">
            <w:pPr>
              <w:ind w:right="113"/>
              <w:jc w:val="right"/>
              <w:rPr>
                <w:snapToGrid w:val="0"/>
                <w:sz w:val="18"/>
              </w:rPr>
            </w:pPr>
            <w:r>
              <w:rPr>
                <w:snapToGrid w:val="0"/>
                <w:sz w:val="18"/>
              </w:rPr>
              <w:t>509</w:t>
            </w:r>
          </w:p>
        </w:tc>
        <w:tc>
          <w:tcPr>
            <w:tcW w:w="705" w:type="dxa"/>
            <w:gridSpan w:val="2"/>
            <w:tcBorders>
              <w:top w:val="single" w:sz="4" w:space="0" w:color="auto"/>
            </w:tcBorders>
          </w:tcPr>
          <w:p w:rsidR="00000000" w:rsidRDefault="00000000">
            <w:pPr>
              <w:ind w:right="57"/>
              <w:jc w:val="right"/>
              <w:rPr>
                <w:snapToGrid w:val="0"/>
                <w:sz w:val="18"/>
              </w:rPr>
            </w:pPr>
            <w:r>
              <w:rPr>
                <w:snapToGrid w:val="0"/>
                <w:sz w:val="18"/>
              </w:rPr>
              <w:t>121</w:t>
            </w:r>
          </w:p>
        </w:tc>
      </w:tr>
      <w:tr w:rsidR="00000000">
        <w:tblPrEx>
          <w:tblCellMar>
            <w:top w:w="0" w:type="dxa"/>
            <w:bottom w:w="0" w:type="dxa"/>
          </w:tblCellMar>
        </w:tblPrEx>
        <w:trPr>
          <w:gridAfter w:val="1"/>
          <w:wAfter w:w="71" w:type="dxa"/>
          <w:cantSplit/>
          <w:trHeight w:val="155"/>
          <w:jc w:val="center"/>
        </w:trPr>
        <w:tc>
          <w:tcPr>
            <w:tcW w:w="1891" w:type="dxa"/>
            <w:gridSpan w:val="2"/>
            <w:tcBorders>
              <w:bottom w:val="nil"/>
            </w:tcBorders>
          </w:tcPr>
          <w:p w:rsidR="00000000" w:rsidRDefault="00000000">
            <w:pPr>
              <w:rPr>
                <w:snapToGrid w:val="0"/>
                <w:sz w:val="18"/>
              </w:rPr>
            </w:pPr>
            <w:r>
              <w:rPr>
                <w:snapToGrid w:val="0"/>
                <w:sz w:val="18"/>
              </w:rPr>
              <w:t>Espírito Santo</w:t>
            </w:r>
          </w:p>
        </w:tc>
        <w:tc>
          <w:tcPr>
            <w:tcW w:w="684" w:type="dxa"/>
            <w:gridSpan w:val="2"/>
            <w:tcBorders>
              <w:bottom w:val="nil"/>
            </w:tcBorders>
          </w:tcPr>
          <w:p w:rsidR="00000000" w:rsidRDefault="00000000">
            <w:pPr>
              <w:rPr>
                <w:snapToGrid w:val="0"/>
                <w:sz w:val="18"/>
              </w:rPr>
            </w:pPr>
            <w:r>
              <w:rPr>
                <w:snapToGrid w:val="0"/>
                <w:sz w:val="18"/>
              </w:rPr>
              <w:t>1998</w:t>
            </w:r>
          </w:p>
        </w:tc>
        <w:tc>
          <w:tcPr>
            <w:tcW w:w="850" w:type="dxa"/>
            <w:gridSpan w:val="2"/>
            <w:tcBorders>
              <w:bottom w:val="nil"/>
            </w:tcBorders>
          </w:tcPr>
          <w:p w:rsidR="00000000" w:rsidRDefault="00000000">
            <w:pPr>
              <w:jc w:val="right"/>
              <w:rPr>
                <w:snapToGrid w:val="0"/>
                <w:sz w:val="18"/>
              </w:rPr>
            </w:pPr>
            <w:r>
              <w:rPr>
                <w:snapToGrid w:val="0"/>
                <w:sz w:val="18"/>
              </w:rPr>
              <w:t>5 811</w:t>
            </w:r>
          </w:p>
        </w:tc>
        <w:tc>
          <w:tcPr>
            <w:tcW w:w="999" w:type="dxa"/>
            <w:gridSpan w:val="2"/>
            <w:tcBorders>
              <w:bottom w:val="nil"/>
            </w:tcBorders>
          </w:tcPr>
          <w:p w:rsidR="00000000" w:rsidRDefault="00000000">
            <w:pPr>
              <w:ind w:right="113"/>
              <w:jc w:val="right"/>
              <w:rPr>
                <w:snapToGrid w:val="0"/>
                <w:sz w:val="18"/>
              </w:rPr>
            </w:pPr>
            <w:r>
              <w:rPr>
                <w:snapToGrid w:val="0"/>
                <w:sz w:val="18"/>
              </w:rPr>
              <w:t>972</w:t>
            </w:r>
          </w:p>
        </w:tc>
        <w:tc>
          <w:tcPr>
            <w:tcW w:w="869" w:type="dxa"/>
            <w:gridSpan w:val="2"/>
            <w:tcBorders>
              <w:bottom w:val="nil"/>
            </w:tcBorders>
          </w:tcPr>
          <w:p w:rsidR="00000000" w:rsidRDefault="00000000">
            <w:pPr>
              <w:ind w:right="57"/>
              <w:jc w:val="right"/>
              <w:rPr>
                <w:snapToGrid w:val="0"/>
                <w:sz w:val="18"/>
              </w:rPr>
            </w:pPr>
            <w:r>
              <w:rPr>
                <w:snapToGrid w:val="0"/>
                <w:sz w:val="18"/>
              </w:rPr>
              <w:t>4 378</w:t>
            </w:r>
          </w:p>
        </w:tc>
        <w:tc>
          <w:tcPr>
            <w:tcW w:w="992" w:type="dxa"/>
            <w:gridSpan w:val="2"/>
            <w:tcBorders>
              <w:bottom w:val="nil"/>
            </w:tcBorders>
          </w:tcPr>
          <w:p w:rsidR="00000000" w:rsidRDefault="00000000">
            <w:pPr>
              <w:ind w:right="113"/>
              <w:jc w:val="right"/>
              <w:rPr>
                <w:snapToGrid w:val="0"/>
                <w:sz w:val="18"/>
              </w:rPr>
            </w:pPr>
            <w:r>
              <w:rPr>
                <w:snapToGrid w:val="0"/>
                <w:sz w:val="18"/>
              </w:rPr>
              <w:t>1 805</w:t>
            </w:r>
          </w:p>
        </w:tc>
        <w:tc>
          <w:tcPr>
            <w:tcW w:w="1134" w:type="dxa"/>
            <w:gridSpan w:val="2"/>
            <w:tcBorders>
              <w:bottom w:val="nil"/>
            </w:tcBorders>
          </w:tcPr>
          <w:p w:rsidR="00000000" w:rsidRDefault="00000000">
            <w:pPr>
              <w:ind w:right="113"/>
              <w:jc w:val="right"/>
              <w:rPr>
                <w:snapToGrid w:val="0"/>
                <w:sz w:val="18"/>
              </w:rPr>
            </w:pPr>
            <w:r>
              <w:rPr>
                <w:snapToGrid w:val="0"/>
                <w:sz w:val="18"/>
              </w:rPr>
              <w:t>2 573</w:t>
            </w:r>
          </w:p>
        </w:tc>
        <w:tc>
          <w:tcPr>
            <w:tcW w:w="992" w:type="dxa"/>
            <w:gridSpan w:val="2"/>
            <w:tcBorders>
              <w:bottom w:val="nil"/>
            </w:tcBorders>
          </w:tcPr>
          <w:p w:rsidR="00000000" w:rsidRDefault="00000000">
            <w:pPr>
              <w:ind w:right="113"/>
              <w:jc w:val="right"/>
              <w:rPr>
                <w:snapToGrid w:val="0"/>
                <w:sz w:val="18"/>
              </w:rPr>
            </w:pPr>
            <w:r>
              <w:rPr>
                <w:snapToGrid w:val="0"/>
                <w:sz w:val="18"/>
              </w:rPr>
              <w:t>338</w:t>
            </w:r>
          </w:p>
        </w:tc>
        <w:tc>
          <w:tcPr>
            <w:tcW w:w="705" w:type="dxa"/>
            <w:gridSpan w:val="2"/>
            <w:tcBorders>
              <w:bottom w:val="nil"/>
            </w:tcBorders>
          </w:tcPr>
          <w:p w:rsidR="00000000" w:rsidRDefault="00000000">
            <w:pPr>
              <w:ind w:right="57"/>
              <w:jc w:val="right"/>
              <w:rPr>
                <w:snapToGrid w:val="0"/>
                <w:sz w:val="18"/>
              </w:rPr>
            </w:pPr>
            <w:r>
              <w:rPr>
                <w:snapToGrid w:val="0"/>
                <w:sz w:val="18"/>
              </w:rPr>
              <w:t>123</w:t>
            </w:r>
          </w:p>
        </w:tc>
      </w:tr>
      <w:tr w:rsidR="00000000">
        <w:tblPrEx>
          <w:tblCellMar>
            <w:top w:w="0" w:type="dxa"/>
            <w:bottom w:w="0" w:type="dxa"/>
          </w:tblCellMar>
        </w:tblPrEx>
        <w:trPr>
          <w:gridAfter w:val="1"/>
          <w:wAfter w:w="71" w:type="dxa"/>
          <w:cantSplit/>
          <w:trHeight w:val="155"/>
          <w:jc w:val="center"/>
        </w:trPr>
        <w:tc>
          <w:tcPr>
            <w:tcW w:w="1891" w:type="dxa"/>
            <w:gridSpan w:val="2"/>
            <w:tcBorders>
              <w:top w:val="nil"/>
              <w:bottom w:val="single" w:sz="4" w:space="0" w:color="auto"/>
            </w:tcBorders>
          </w:tcPr>
          <w:p w:rsidR="00000000" w:rsidRDefault="00000000">
            <w:pPr>
              <w:rPr>
                <w:snapToGrid w:val="0"/>
                <w:sz w:val="18"/>
              </w:rPr>
            </w:pPr>
          </w:p>
        </w:tc>
        <w:tc>
          <w:tcPr>
            <w:tcW w:w="684" w:type="dxa"/>
            <w:gridSpan w:val="2"/>
            <w:tcBorders>
              <w:top w:val="nil"/>
              <w:bottom w:val="single" w:sz="4" w:space="0" w:color="auto"/>
            </w:tcBorders>
          </w:tcPr>
          <w:p w:rsidR="00000000" w:rsidRDefault="00000000">
            <w:pPr>
              <w:rPr>
                <w:snapToGrid w:val="0"/>
                <w:sz w:val="18"/>
              </w:rPr>
            </w:pPr>
            <w:r>
              <w:rPr>
                <w:snapToGrid w:val="0"/>
                <w:sz w:val="18"/>
              </w:rPr>
              <w:t>1999</w:t>
            </w:r>
          </w:p>
        </w:tc>
        <w:tc>
          <w:tcPr>
            <w:tcW w:w="850" w:type="dxa"/>
            <w:gridSpan w:val="2"/>
            <w:tcBorders>
              <w:top w:val="nil"/>
              <w:bottom w:val="single" w:sz="4" w:space="0" w:color="auto"/>
            </w:tcBorders>
          </w:tcPr>
          <w:p w:rsidR="00000000" w:rsidRDefault="00000000">
            <w:pPr>
              <w:jc w:val="right"/>
              <w:rPr>
                <w:snapToGrid w:val="0"/>
                <w:sz w:val="18"/>
              </w:rPr>
            </w:pPr>
            <w:r>
              <w:rPr>
                <w:snapToGrid w:val="0"/>
                <w:sz w:val="18"/>
              </w:rPr>
              <w:t>5 597</w:t>
            </w:r>
          </w:p>
        </w:tc>
        <w:tc>
          <w:tcPr>
            <w:tcW w:w="999" w:type="dxa"/>
            <w:gridSpan w:val="2"/>
            <w:tcBorders>
              <w:top w:val="nil"/>
              <w:bottom w:val="single" w:sz="4" w:space="0" w:color="auto"/>
            </w:tcBorders>
          </w:tcPr>
          <w:p w:rsidR="00000000" w:rsidRDefault="00000000">
            <w:pPr>
              <w:ind w:right="113"/>
              <w:jc w:val="right"/>
              <w:rPr>
                <w:snapToGrid w:val="0"/>
                <w:sz w:val="18"/>
              </w:rPr>
            </w:pPr>
            <w:r>
              <w:rPr>
                <w:snapToGrid w:val="0"/>
                <w:sz w:val="18"/>
              </w:rPr>
              <w:t>1 039</w:t>
            </w:r>
          </w:p>
        </w:tc>
        <w:tc>
          <w:tcPr>
            <w:tcW w:w="869" w:type="dxa"/>
            <w:gridSpan w:val="2"/>
            <w:tcBorders>
              <w:top w:val="nil"/>
              <w:bottom w:val="single" w:sz="4" w:space="0" w:color="auto"/>
            </w:tcBorders>
          </w:tcPr>
          <w:p w:rsidR="00000000" w:rsidRDefault="00000000">
            <w:pPr>
              <w:ind w:right="57"/>
              <w:jc w:val="right"/>
              <w:rPr>
                <w:snapToGrid w:val="0"/>
                <w:sz w:val="18"/>
              </w:rPr>
            </w:pPr>
            <w:r>
              <w:rPr>
                <w:snapToGrid w:val="0"/>
                <w:sz w:val="18"/>
              </w:rPr>
              <w:t>4 137</w:t>
            </w:r>
          </w:p>
        </w:tc>
        <w:tc>
          <w:tcPr>
            <w:tcW w:w="992" w:type="dxa"/>
            <w:gridSpan w:val="2"/>
            <w:tcBorders>
              <w:top w:val="nil"/>
              <w:bottom w:val="single" w:sz="4" w:space="0" w:color="auto"/>
            </w:tcBorders>
          </w:tcPr>
          <w:p w:rsidR="00000000" w:rsidRDefault="00000000">
            <w:pPr>
              <w:ind w:right="113"/>
              <w:jc w:val="right"/>
              <w:rPr>
                <w:snapToGrid w:val="0"/>
                <w:sz w:val="18"/>
              </w:rPr>
            </w:pPr>
            <w:r>
              <w:rPr>
                <w:snapToGrid w:val="0"/>
                <w:sz w:val="18"/>
              </w:rPr>
              <w:t>1 747</w:t>
            </w:r>
          </w:p>
        </w:tc>
        <w:tc>
          <w:tcPr>
            <w:tcW w:w="1134" w:type="dxa"/>
            <w:gridSpan w:val="2"/>
            <w:tcBorders>
              <w:top w:val="nil"/>
              <w:bottom w:val="single" w:sz="4" w:space="0" w:color="auto"/>
            </w:tcBorders>
          </w:tcPr>
          <w:p w:rsidR="00000000" w:rsidRDefault="00000000">
            <w:pPr>
              <w:ind w:right="113"/>
              <w:jc w:val="right"/>
              <w:rPr>
                <w:snapToGrid w:val="0"/>
                <w:sz w:val="18"/>
              </w:rPr>
            </w:pPr>
            <w:r>
              <w:rPr>
                <w:snapToGrid w:val="0"/>
                <w:sz w:val="18"/>
              </w:rPr>
              <w:t>2 390</w:t>
            </w:r>
          </w:p>
        </w:tc>
        <w:tc>
          <w:tcPr>
            <w:tcW w:w="992" w:type="dxa"/>
            <w:gridSpan w:val="2"/>
            <w:tcBorders>
              <w:top w:val="nil"/>
              <w:bottom w:val="single" w:sz="4" w:space="0" w:color="auto"/>
            </w:tcBorders>
          </w:tcPr>
          <w:p w:rsidR="00000000" w:rsidRDefault="00000000">
            <w:pPr>
              <w:ind w:right="113"/>
              <w:jc w:val="right"/>
              <w:rPr>
                <w:snapToGrid w:val="0"/>
                <w:sz w:val="18"/>
              </w:rPr>
            </w:pPr>
            <w:r>
              <w:rPr>
                <w:snapToGrid w:val="0"/>
                <w:sz w:val="18"/>
              </w:rPr>
              <w:t>304</w:t>
            </w:r>
          </w:p>
        </w:tc>
        <w:tc>
          <w:tcPr>
            <w:tcW w:w="705" w:type="dxa"/>
            <w:gridSpan w:val="2"/>
            <w:tcBorders>
              <w:top w:val="nil"/>
              <w:bottom w:val="single" w:sz="4" w:space="0" w:color="auto"/>
            </w:tcBorders>
          </w:tcPr>
          <w:p w:rsidR="00000000" w:rsidRDefault="00000000">
            <w:pPr>
              <w:ind w:right="57"/>
              <w:jc w:val="right"/>
              <w:rPr>
                <w:snapToGrid w:val="0"/>
                <w:sz w:val="18"/>
              </w:rPr>
            </w:pPr>
            <w:r>
              <w:rPr>
                <w:snapToGrid w:val="0"/>
                <w:sz w:val="18"/>
              </w:rPr>
              <w:t>117</w:t>
            </w:r>
          </w:p>
        </w:tc>
      </w:tr>
      <w:tr w:rsidR="00000000">
        <w:tblPrEx>
          <w:tblCellMar>
            <w:top w:w="0" w:type="dxa"/>
            <w:bottom w:w="0" w:type="dxa"/>
          </w:tblCellMar>
        </w:tblPrEx>
        <w:trPr>
          <w:gridAfter w:val="1"/>
          <w:wAfter w:w="71" w:type="dxa"/>
          <w:cantSplit/>
          <w:trHeight w:val="155"/>
          <w:jc w:val="center"/>
        </w:trPr>
        <w:tc>
          <w:tcPr>
            <w:tcW w:w="1891" w:type="dxa"/>
            <w:gridSpan w:val="2"/>
            <w:tcBorders>
              <w:top w:val="single" w:sz="4" w:space="0" w:color="auto"/>
            </w:tcBorders>
          </w:tcPr>
          <w:p w:rsidR="00000000" w:rsidRDefault="00000000">
            <w:pPr>
              <w:rPr>
                <w:snapToGrid w:val="0"/>
                <w:sz w:val="18"/>
              </w:rPr>
            </w:pPr>
          </w:p>
        </w:tc>
        <w:tc>
          <w:tcPr>
            <w:tcW w:w="684" w:type="dxa"/>
            <w:gridSpan w:val="2"/>
            <w:tcBorders>
              <w:top w:val="single" w:sz="4" w:space="0" w:color="auto"/>
            </w:tcBorders>
          </w:tcPr>
          <w:p w:rsidR="00000000" w:rsidRDefault="00000000">
            <w:pPr>
              <w:rPr>
                <w:snapToGrid w:val="0"/>
                <w:sz w:val="18"/>
              </w:rPr>
            </w:pPr>
            <w:r>
              <w:rPr>
                <w:snapToGrid w:val="0"/>
                <w:sz w:val="18"/>
              </w:rPr>
              <w:t>1997</w:t>
            </w:r>
          </w:p>
        </w:tc>
        <w:tc>
          <w:tcPr>
            <w:tcW w:w="850" w:type="dxa"/>
            <w:gridSpan w:val="2"/>
            <w:tcBorders>
              <w:top w:val="single" w:sz="4" w:space="0" w:color="auto"/>
            </w:tcBorders>
          </w:tcPr>
          <w:p w:rsidR="00000000" w:rsidRDefault="00000000">
            <w:pPr>
              <w:jc w:val="right"/>
              <w:rPr>
                <w:snapToGrid w:val="0"/>
                <w:sz w:val="18"/>
              </w:rPr>
            </w:pPr>
            <w:r>
              <w:rPr>
                <w:snapToGrid w:val="0"/>
                <w:sz w:val="18"/>
              </w:rPr>
              <w:t>24 692</w:t>
            </w:r>
          </w:p>
        </w:tc>
        <w:tc>
          <w:tcPr>
            <w:tcW w:w="999" w:type="dxa"/>
            <w:gridSpan w:val="2"/>
            <w:tcBorders>
              <w:top w:val="single" w:sz="4" w:space="0" w:color="auto"/>
            </w:tcBorders>
          </w:tcPr>
          <w:p w:rsidR="00000000" w:rsidRDefault="00000000">
            <w:pPr>
              <w:ind w:right="113"/>
              <w:jc w:val="right"/>
              <w:rPr>
                <w:snapToGrid w:val="0"/>
                <w:sz w:val="18"/>
              </w:rPr>
            </w:pPr>
            <w:r>
              <w:rPr>
                <w:snapToGrid w:val="0"/>
                <w:sz w:val="18"/>
              </w:rPr>
              <w:t>3 380</w:t>
            </w:r>
          </w:p>
        </w:tc>
        <w:tc>
          <w:tcPr>
            <w:tcW w:w="869" w:type="dxa"/>
            <w:gridSpan w:val="2"/>
            <w:tcBorders>
              <w:top w:val="single" w:sz="4" w:space="0" w:color="auto"/>
            </w:tcBorders>
          </w:tcPr>
          <w:p w:rsidR="00000000" w:rsidRDefault="00000000">
            <w:pPr>
              <w:ind w:right="57"/>
              <w:jc w:val="right"/>
              <w:rPr>
                <w:snapToGrid w:val="0"/>
                <w:sz w:val="18"/>
              </w:rPr>
            </w:pPr>
            <w:r>
              <w:rPr>
                <w:snapToGrid w:val="0"/>
                <w:sz w:val="18"/>
              </w:rPr>
              <w:t>20 198</w:t>
            </w:r>
          </w:p>
        </w:tc>
        <w:tc>
          <w:tcPr>
            <w:tcW w:w="992" w:type="dxa"/>
            <w:gridSpan w:val="2"/>
            <w:tcBorders>
              <w:top w:val="single" w:sz="4" w:space="0" w:color="auto"/>
            </w:tcBorders>
          </w:tcPr>
          <w:p w:rsidR="00000000" w:rsidRDefault="00000000">
            <w:pPr>
              <w:ind w:right="113"/>
              <w:jc w:val="right"/>
              <w:rPr>
                <w:snapToGrid w:val="0"/>
                <w:sz w:val="18"/>
              </w:rPr>
            </w:pPr>
            <w:r>
              <w:rPr>
                <w:snapToGrid w:val="0"/>
                <w:sz w:val="18"/>
              </w:rPr>
              <w:t>8 781</w:t>
            </w:r>
          </w:p>
        </w:tc>
        <w:tc>
          <w:tcPr>
            <w:tcW w:w="1134" w:type="dxa"/>
            <w:gridSpan w:val="2"/>
            <w:tcBorders>
              <w:top w:val="single" w:sz="4" w:space="0" w:color="auto"/>
            </w:tcBorders>
          </w:tcPr>
          <w:p w:rsidR="00000000" w:rsidRDefault="00000000">
            <w:pPr>
              <w:ind w:right="113"/>
              <w:jc w:val="right"/>
              <w:rPr>
                <w:snapToGrid w:val="0"/>
                <w:sz w:val="18"/>
              </w:rPr>
            </w:pPr>
            <w:r>
              <w:rPr>
                <w:snapToGrid w:val="0"/>
                <w:sz w:val="18"/>
              </w:rPr>
              <w:t>11 417</w:t>
            </w:r>
          </w:p>
        </w:tc>
        <w:tc>
          <w:tcPr>
            <w:tcW w:w="992" w:type="dxa"/>
            <w:gridSpan w:val="2"/>
            <w:tcBorders>
              <w:top w:val="single" w:sz="4" w:space="0" w:color="auto"/>
            </w:tcBorders>
          </w:tcPr>
          <w:p w:rsidR="00000000" w:rsidRDefault="00000000">
            <w:pPr>
              <w:ind w:right="113"/>
              <w:jc w:val="right"/>
              <w:rPr>
                <w:snapToGrid w:val="0"/>
                <w:sz w:val="18"/>
              </w:rPr>
            </w:pPr>
            <w:r>
              <w:rPr>
                <w:snapToGrid w:val="0"/>
                <w:sz w:val="18"/>
              </w:rPr>
              <w:t>861</w:t>
            </w:r>
          </w:p>
        </w:tc>
        <w:tc>
          <w:tcPr>
            <w:tcW w:w="705" w:type="dxa"/>
            <w:gridSpan w:val="2"/>
            <w:tcBorders>
              <w:top w:val="single" w:sz="4" w:space="0" w:color="auto"/>
            </w:tcBorders>
          </w:tcPr>
          <w:p w:rsidR="00000000" w:rsidRDefault="00000000">
            <w:pPr>
              <w:ind w:right="57"/>
              <w:jc w:val="right"/>
              <w:rPr>
                <w:snapToGrid w:val="0"/>
                <w:sz w:val="18"/>
              </w:rPr>
            </w:pPr>
            <w:r>
              <w:rPr>
                <w:snapToGrid w:val="0"/>
                <w:sz w:val="18"/>
              </w:rPr>
              <w:t>253</w:t>
            </w:r>
          </w:p>
        </w:tc>
      </w:tr>
      <w:tr w:rsidR="00000000">
        <w:tblPrEx>
          <w:tblCellMar>
            <w:top w:w="0" w:type="dxa"/>
            <w:bottom w:w="0" w:type="dxa"/>
          </w:tblCellMar>
        </w:tblPrEx>
        <w:trPr>
          <w:gridAfter w:val="1"/>
          <w:wAfter w:w="71" w:type="dxa"/>
          <w:cantSplit/>
          <w:trHeight w:val="155"/>
          <w:jc w:val="center"/>
        </w:trPr>
        <w:tc>
          <w:tcPr>
            <w:tcW w:w="1891" w:type="dxa"/>
            <w:gridSpan w:val="2"/>
            <w:tcBorders>
              <w:bottom w:val="nil"/>
            </w:tcBorders>
          </w:tcPr>
          <w:p w:rsidR="00000000" w:rsidRDefault="00000000">
            <w:pPr>
              <w:rPr>
                <w:snapToGrid w:val="0"/>
                <w:sz w:val="18"/>
              </w:rPr>
            </w:pPr>
            <w:r>
              <w:rPr>
                <w:snapToGrid w:val="0"/>
                <w:sz w:val="18"/>
              </w:rPr>
              <w:t>Rio de Janeiro</w:t>
            </w:r>
          </w:p>
        </w:tc>
        <w:tc>
          <w:tcPr>
            <w:tcW w:w="684" w:type="dxa"/>
            <w:gridSpan w:val="2"/>
            <w:tcBorders>
              <w:bottom w:val="nil"/>
            </w:tcBorders>
          </w:tcPr>
          <w:p w:rsidR="00000000" w:rsidRDefault="00000000">
            <w:pPr>
              <w:rPr>
                <w:snapToGrid w:val="0"/>
                <w:sz w:val="18"/>
              </w:rPr>
            </w:pPr>
            <w:r>
              <w:rPr>
                <w:snapToGrid w:val="0"/>
                <w:sz w:val="18"/>
              </w:rPr>
              <w:t>1998</w:t>
            </w:r>
          </w:p>
        </w:tc>
        <w:tc>
          <w:tcPr>
            <w:tcW w:w="850" w:type="dxa"/>
            <w:gridSpan w:val="2"/>
            <w:tcBorders>
              <w:bottom w:val="nil"/>
            </w:tcBorders>
          </w:tcPr>
          <w:p w:rsidR="00000000" w:rsidRDefault="00000000">
            <w:pPr>
              <w:jc w:val="right"/>
              <w:rPr>
                <w:snapToGrid w:val="0"/>
                <w:sz w:val="18"/>
              </w:rPr>
            </w:pPr>
            <w:r>
              <w:rPr>
                <w:snapToGrid w:val="0"/>
                <w:sz w:val="18"/>
              </w:rPr>
              <w:t>23 253</w:t>
            </w:r>
          </w:p>
        </w:tc>
        <w:tc>
          <w:tcPr>
            <w:tcW w:w="999" w:type="dxa"/>
            <w:gridSpan w:val="2"/>
            <w:tcBorders>
              <w:bottom w:val="nil"/>
            </w:tcBorders>
          </w:tcPr>
          <w:p w:rsidR="00000000" w:rsidRDefault="00000000">
            <w:pPr>
              <w:ind w:right="113"/>
              <w:jc w:val="right"/>
              <w:rPr>
                <w:snapToGrid w:val="0"/>
                <w:sz w:val="18"/>
              </w:rPr>
            </w:pPr>
            <w:r>
              <w:rPr>
                <w:snapToGrid w:val="0"/>
                <w:sz w:val="18"/>
              </w:rPr>
              <w:t>3 498</w:t>
            </w:r>
          </w:p>
        </w:tc>
        <w:tc>
          <w:tcPr>
            <w:tcW w:w="869" w:type="dxa"/>
            <w:gridSpan w:val="2"/>
            <w:tcBorders>
              <w:bottom w:val="nil"/>
            </w:tcBorders>
          </w:tcPr>
          <w:p w:rsidR="00000000" w:rsidRDefault="00000000">
            <w:pPr>
              <w:ind w:right="57"/>
              <w:jc w:val="right"/>
              <w:rPr>
                <w:snapToGrid w:val="0"/>
                <w:sz w:val="18"/>
              </w:rPr>
            </w:pPr>
            <w:r>
              <w:rPr>
                <w:snapToGrid w:val="0"/>
                <w:sz w:val="18"/>
              </w:rPr>
              <w:t>18 627</w:t>
            </w:r>
          </w:p>
        </w:tc>
        <w:tc>
          <w:tcPr>
            <w:tcW w:w="992" w:type="dxa"/>
            <w:gridSpan w:val="2"/>
            <w:tcBorders>
              <w:bottom w:val="nil"/>
            </w:tcBorders>
          </w:tcPr>
          <w:p w:rsidR="00000000" w:rsidRDefault="00000000">
            <w:pPr>
              <w:ind w:right="113"/>
              <w:jc w:val="right"/>
              <w:rPr>
                <w:snapToGrid w:val="0"/>
                <w:sz w:val="18"/>
              </w:rPr>
            </w:pPr>
            <w:r>
              <w:rPr>
                <w:snapToGrid w:val="0"/>
                <w:sz w:val="18"/>
              </w:rPr>
              <w:t>8 166</w:t>
            </w:r>
          </w:p>
        </w:tc>
        <w:tc>
          <w:tcPr>
            <w:tcW w:w="1134" w:type="dxa"/>
            <w:gridSpan w:val="2"/>
            <w:tcBorders>
              <w:bottom w:val="nil"/>
            </w:tcBorders>
          </w:tcPr>
          <w:p w:rsidR="00000000" w:rsidRDefault="00000000">
            <w:pPr>
              <w:ind w:right="113"/>
              <w:jc w:val="right"/>
              <w:rPr>
                <w:snapToGrid w:val="0"/>
                <w:sz w:val="18"/>
              </w:rPr>
            </w:pPr>
            <w:r>
              <w:rPr>
                <w:snapToGrid w:val="0"/>
                <w:sz w:val="18"/>
              </w:rPr>
              <w:t>10 461</w:t>
            </w:r>
          </w:p>
        </w:tc>
        <w:tc>
          <w:tcPr>
            <w:tcW w:w="992" w:type="dxa"/>
            <w:gridSpan w:val="2"/>
            <w:tcBorders>
              <w:bottom w:val="nil"/>
            </w:tcBorders>
          </w:tcPr>
          <w:p w:rsidR="00000000" w:rsidRDefault="00000000">
            <w:pPr>
              <w:ind w:right="113"/>
              <w:jc w:val="right"/>
              <w:rPr>
                <w:snapToGrid w:val="0"/>
                <w:sz w:val="18"/>
              </w:rPr>
            </w:pPr>
            <w:r>
              <w:rPr>
                <w:snapToGrid w:val="0"/>
                <w:sz w:val="18"/>
              </w:rPr>
              <w:t>765</w:t>
            </w:r>
          </w:p>
        </w:tc>
        <w:tc>
          <w:tcPr>
            <w:tcW w:w="705" w:type="dxa"/>
            <w:gridSpan w:val="2"/>
            <w:tcBorders>
              <w:bottom w:val="nil"/>
            </w:tcBorders>
          </w:tcPr>
          <w:p w:rsidR="00000000" w:rsidRDefault="00000000">
            <w:pPr>
              <w:ind w:right="57"/>
              <w:jc w:val="right"/>
              <w:rPr>
                <w:snapToGrid w:val="0"/>
                <w:sz w:val="18"/>
              </w:rPr>
            </w:pPr>
            <w:r>
              <w:rPr>
                <w:snapToGrid w:val="0"/>
                <w:sz w:val="18"/>
              </w:rPr>
              <w:t>363</w:t>
            </w:r>
          </w:p>
        </w:tc>
      </w:tr>
      <w:tr w:rsidR="00000000">
        <w:tblPrEx>
          <w:tblCellMar>
            <w:top w:w="0" w:type="dxa"/>
            <w:bottom w:w="0" w:type="dxa"/>
          </w:tblCellMar>
        </w:tblPrEx>
        <w:trPr>
          <w:gridAfter w:val="1"/>
          <w:wAfter w:w="71" w:type="dxa"/>
          <w:cantSplit/>
          <w:trHeight w:val="155"/>
          <w:jc w:val="center"/>
        </w:trPr>
        <w:tc>
          <w:tcPr>
            <w:tcW w:w="1891" w:type="dxa"/>
            <w:gridSpan w:val="2"/>
            <w:tcBorders>
              <w:top w:val="nil"/>
              <w:bottom w:val="single" w:sz="4" w:space="0" w:color="auto"/>
            </w:tcBorders>
          </w:tcPr>
          <w:p w:rsidR="00000000" w:rsidRDefault="00000000">
            <w:pPr>
              <w:rPr>
                <w:snapToGrid w:val="0"/>
                <w:sz w:val="18"/>
              </w:rPr>
            </w:pPr>
          </w:p>
        </w:tc>
        <w:tc>
          <w:tcPr>
            <w:tcW w:w="684" w:type="dxa"/>
            <w:gridSpan w:val="2"/>
            <w:tcBorders>
              <w:top w:val="nil"/>
              <w:bottom w:val="single" w:sz="4" w:space="0" w:color="auto"/>
            </w:tcBorders>
          </w:tcPr>
          <w:p w:rsidR="00000000" w:rsidRDefault="00000000">
            <w:pPr>
              <w:rPr>
                <w:snapToGrid w:val="0"/>
                <w:sz w:val="18"/>
              </w:rPr>
            </w:pPr>
            <w:r>
              <w:rPr>
                <w:snapToGrid w:val="0"/>
                <w:sz w:val="18"/>
              </w:rPr>
              <w:t>1999</w:t>
            </w:r>
          </w:p>
        </w:tc>
        <w:tc>
          <w:tcPr>
            <w:tcW w:w="850" w:type="dxa"/>
            <w:gridSpan w:val="2"/>
            <w:tcBorders>
              <w:top w:val="nil"/>
              <w:bottom w:val="single" w:sz="4" w:space="0" w:color="auto"/>
            </w:tcBorders>
          </w:tcPr>
          <w:p w:rsidR="00000000" w:rsidRDefault="00000000">
            <w:pPr>
              <w:jc w:val="right"/>
              <w:rPr>
                <w:snapToGrid w:val="0"/>
                <w:sz w:val="18"/>
              </w:rPr>
            </w:pPr>
            <w:r>
              <w:rPr>
                <w:snapToGrid w:val="0"/>
                <w:sz w:val="18"/>
              </w:rPr>
              <w:t>21 443</w:t>
            </w:r>
          </w:p>
        </w:tc>
        <w:tc>
          <w:tcPr>
            <w:tcW w:w="999" w:type="dxa"/>
            <w:gridSpan w:val="2"/>
            <w:tcBorders>
              <w:top w:val="nil"/>
              <w:bottom w:val="single" w:sz="4" w:space="0" w:color="auto"/>
            </w:tcBorders>
          </w:tcPr>
          <w:p w:rsidR="00000000" w:rsidRDefault="00000000">
            <w:pPr>
              <w:ind w:right="113"/>
              <w:jc w:val="right"/>
              <w:rPr>
                <w:snapToGrid w:val="0"/>
                <w:sz w:val="18"/>
              </w:rPr>
            </w:pPr>
            <w:r>
              <w:rPr>
                <w:snapToGrid w:val="0"/>
                <w:sz w:val="18"/>
              </w:rPr>
              <w:t>3 463</w:t>
            </w:r>
          </w:p>
        </w:tc>
        <w:tc>
          <w:tcPr>
            <w:tcW w:w="869" w:type="dxa"/>
            <w:gridSpan w:val="2"/>
            <w:tcBorders>
              <w:top w:val="nil"/>
              <w:bottom w:val="single" w:sz="4" w:space="0" w:color="auto"/>
            </w:tcBorders>
          </w:tcPr>
          <w:p w:rsidR="00000000" w:rsidRDefault="00000000">
            <w:pPr>
              <w:ind w:right="57"/>
              <w:jc w:val="right"/>
              <w:rPr>
                <w:snapToGrid w:val="0"/>
                <w:sz w:val="18"/>
              </w:rPr>
            </w:pPr>
            <w:r>
              <w:rPr>
                <w:snapToGrid w:val="0"/>
                <w:sz w:val="18"/>
              </w:rPr>
              <w:t>16 417</w:t>
            </w:r>
          </w:p>
        </w:tc>
        <w:tc>
          <w:tcPr>
            <w:tcW w:w="992" w:type="dxa"/>
            <w:gridSpan w:val="2"/>
            <w:tcBorders>
              <w:top w:val="nil"/>
              <w:bottom w:val="single" w:sz="4" w:space="0" w:color="auto"/>
            </w:tcBorders>
          </w:tcPr>
          <w:p w:rsidR="00000000" w:rsidRDefault="00000000">
            <w:pPr>
              <w:ind w:right="113"/>
              <w:jc w:val="right"/>
              <w:rPr>
                <w:snapToGrid w:val="0"/>
                <w:sz w:val="18"/>
              </w:rPr>
            </w:pPr>
            <w:r>
              <w:rPr>
                <w:snapToGrid w:val="0"/>
                <w:sz w:val="18"/>
              </w:rPr>
              <w:t>7 237</w:t>
            </w:r>
          </w:p>
        </w:tc>
        <w:tc>
          <w:tcPr>
            <w:tcW w:w="1134" w:type="dxa"/>
            <w:gridSpan w:val="2"/>
            <w:tcBorders>
              <w:top w:val="nil"/>
              <w:bottom w:val="single" w:sz="4" w:space="0" w:color="auto"/>
            </w:tcBorders>
          </w:tcPr>
          <w:p w:rsidR="00000000" w:rsidRDefault="00000000">
            <w:pPr>
              <w:ind w:right="113"/>
              <w:jc w:val="right"/>
              <w:rPr>
                <w:snapToGrid w:val="0"/>
                <w:sz w:val="18"/>
              </w:rPr>
            </w:pPr>
            <w:r>
              <w:rPr>
                <w:snapToGrid w:val="0"/>
                <w:sz w:val="18"/>
              </w:rPr>
              <w:t>9 180</w:t>
            </w:r>
          </w:p>
        </w:tc>
        <w:tc>
          <w:tcPr>
            <w:tcW w:w="992" w:type="dxa"/>
            <w:gridSpan w:val="2"/>
            <w:tcBorders>
              <w:top w:val="nil"/>
              <w:bottom w:val="single" w:sz="4" w:space="0" w:color="auto"/>
            </w:tcBorders>
          </w:tcPr>
          <w:p w:rsidR="00000000" w:rsidRDefault="00000000">
            <w:pPr>
              <w:ind w:right="113"/>
              <w:jc w:val="right"/>
              <w:rPr>
                <w:snapToGrid w:val="0"/>
                <w:sz w:val="18"/>
              </w:rPr>
            </w:pPr>
            <w:r>
              <w:rPr>
                <w:snapToGrid w:val="0"/>
                <w:sz w:val="18"/>
              </w:rPr>
              <w:t>1 219</w:t>
            </w:r>
          </w:p>
        </w:tc>
        <w:tc>
          <w:tcPr>
            <w:tcW w:w="705" w:type="dxa"/>
            <w:gridSpan w:val="2"/>
            <w:tcBorders>
              <w:top w:val="nil"/>
              <w:bottom w:val="single" w:sz="4" w:space="0" w:color="auto"/>
            </w:tcBorders>
          </w:tcPr>
          <w:p w:rsidR="00000000" w:rsidRDefault="00000000">
            <w:pPr>
              <w:ind w:right="57"/>
              <w:jc w:val="right"/>
              <w:rPr>
                <w:snapToGrid w:val="0"/>
                <w:sz w:val="18"/>
              </w:rPr>
            </w:pPr>
            <w:r>
              <w:rPr>
                <w:snapToGrid w:val="0"/>
                <w:sz w:val="18"/>
              </w:rPr>
              <w:t>344</w:t>
            </w:r>
          </w:p>
        </w:tc>
      </w:tr>
      <w:tr w:rsidR="00000000">
        <w:tblPrEx>
          <w:tblCellMar>
            <w:top w:w="0" w:type="dxa"/>
            <w:bottom w:w="0" w:type="dxa"/>
          </w:tblCellMar>
        </w:tblPrEx>
        <w:trPr>
          <w:gridAfter w:val="1"/>
          <w:wAfter w:w="71" w:type="dxa"/>
          <w:cantSplit/>
          <w:trHeight w:val="155"/>
          <w:jc w:val="center"/>
        </w:trPr>
        <w:tc>
          <w:tcPr>
            <w:tcW w:w="1891" w:type="dxa"/>
            <w:gridSpan w:val="2"/>
            <w:tcBorders>
              <w:top w:val="single" w:sz="4" w:space="0" w:color="auto"/>
            </w:tcBorders>
          </w:tcPr>
          <w:p w:rsidR="00000000" w:rsidRDefault="00000000">
            <w:pPr>
              <w:rPr>
                <w:snapToGrid w:val="0"/>
                <w:sz w:val="18"/>
              </w:rPr>
            </w:pPr>
          </w:p>
        </w:tc>
        <w:tc>
          <w:tcPr>
            <w:tcW w:w="684" w:type="dxa"/>
            <w:gridSpan w:val="2"/>
            <w:tcBorders>
              <w:top w:val="single" w:sz="4" w:space="0" w:color="auto"/>
            </w:tcBorders>
          </w:tcPr>
          <w:p w:rsidR="00000000" w:rsidRDefault="00000000">
            <w:pPr>
              <w:rPr>
                <w:snapToGrid w:val="0"/>
                <w:sz w:val="18"/>
              </w:rPr>
            </w:pPr>
            <w:r>
              <w:rPr>
                <w:snapToGrid w:val="0"/>
                <w:sz w:val="18"/>
              </w:rPr>
              <w:t>1997</w:t>
            </w:r>
          </w:p>
        </w:tc>
        <w:tc>
          <w:tcPr>
            <w:tcW w:w="850" w:type="dxa"/>
            <w:gridSpan w:val="2"/>
            <w:tcBorders>
              <w:top w:val="single" w:sz="4" w:space="0" w:color="auto"/>
            </w:tcBorders>
          </w:tcPr>
          <w:p w:rsidR="00000000" w:rsidRDefault="00000000">
            <w:pPr>
              <w:jc w:val="right"/>
              <w:rPr>
                <w:snapToGrid w:val="0"/>
                <w:sz w:val="18"/>
              </w:rPr>
            </w:pPr>
            <w:r>
              <w:rPr>
                <w:snapToGrid w:val="0"/>
                <w:sz w:val="18"/>
              </w:rPr>
              <w:t>213 968</w:t>
            </w:r>
          </w:p>
        </w:tc>
        <w:tc>
          <w:tcPr>
            <w:tcW w:w="999" w:type="dxa"/>
            <w:gridSpan w:val="2"/>
            <w:tcBorders>
              <w:top w:val="single" w:sz="4" w:space="0" w:color="auto"/>
            </w:tcBorders>
          </w:tcPr>
          <w:p w:rsidR="00000000" w:rsidRDefault="00000000">
            <w:pPr>
              <w:ind w:right="113"/>
              <w:jc w:val="right"/>
              <w:rPr>
                <w:snapToGrid w:val="0"/>
                <w:sz w:val="18"/>
              </w:rPr>
            </w:pPr>
            <w:r>
              <w:rPr>
                <w:snapToGrid w:val="0"/>
                <w:sz w:val="18"/>
              </w:rPr>
              <w:t>28 086</w:t>
            </w:r>
          </w:p>
        </w:tc>
        <w:tc>
          <w:tcPr>
            <w:tcW w:w="869" w:type="dxa"/>
            <w:gridSpan w:val="2"/>
            <w:tcBorders>
              <w:top w:val="single" w:sz="4" w:space="0" w:color="auto"/>
            </w:tcBorders>
          </w:tcPr>
          <w:p w:rsidR="00000000" w:rsidRDefault="00000000">
            <w:pPr>
              <w:ind w:right="57"/>
              <w:jc w:val="right"/>
              <w:rPr>
                <w:snapToGrid w:val="0"/>
                <w:sz w:val="18"/>
              </w:rPr>
            </w:pPr>
            <w:r>
              <w:rPr>
                <w:snapToGrid w:val="0"/>
                <w:sz w:val="18"/>
              </w:rPr>
              <w:t>178 864</w:t>
            </w:r>
          </w:p>
        </w:tc>
        <w:tc>
          <w:tcPr>
            <w:tcW w:w="992" w:type="dxa"/>
            <w:gridSpan w:val="2"/>
            <w:tcBorders>
              <w:top w:val="single" w:sz="4" w:space="0" w:color="auto"/>
            </w:tcBorders>
          </w:tcPr>
          <w:p w:rsidR="00000000" w:rsidRDefault="00000000">
            <w:pPr>
              <w:ind w:right="113"/>
              <w:jc w:val="right"/>
              <w:rPr>
                <w:snapToGrid w:val="0"/>
                <w:sz w:val="18"/>
              </w:rPr>
            </w:pPr>
            <w:r>
              <w:rPr>
                <w:snapToGrid w:val="0"/>
                <w:sz w:val="18"/>
              </w:rPr>
              <w:t>119 555</w:t>
            </w:r>
          </w:p>
        </w:tc>
        <w:tc>
          <w:tcPr>
            <w:tcW w:w="1134" w:type="dxa"/>
            <w:gridSpan w:val="2"/>
            <w:tcBorders>
              <w:top w:val="single" w:sz="4" w:space="0" w:color="auto"/>
            </w:tcBorders>
          </w:tcPr>
          <w:p w:rsidR="00000000" w:rsidRDefault="00000000">
            <w:pPr>
              <w:ind w:right="113"/>
              <w:jc w:val="right"/>
              <w:rPr>
                <w:snapToGrid w:val="0"/>
                <w:sz w:val="18"/>
              </w:rPr>
            </w:pPr>
            <w:r>
              <w:rPr>
                <w:snapToGrid w:val="0"/>
                <w:sz w:val="18"/>
              </w:rPr>
              <w:t>59 309</w:t>
            </w:r>
          </w:p>
        </w:tc>
        <w:tc>
          <w:tcPr>
            <w:tcW w:w="992" w:type="dxa"/>
            <w:gridSpan w:val="2"/>
            <w:tcBorders>
              <w:top w:val="single" w:sz="4" w:space="0" w:color="auto"/>
            </w:tcBorders>
          </w:tcPr>
          <w:p w:rsidR="00000000" w:rsidRDefault="00000000">
            <w:pPr>
              <w:ind w:right="113"/>
              <w:jc w:val="right"/>
              <w:rPr>
                <w:snapToGrid w:val="0"/>
                <w:sz w:val="18"/>
              </w:rPr>
            </w:pPr>
            <w:r>
              <w:rPr>
                <w:snapToGrid w:val="0"/>
                <w:sz w:val="18"/>
              </w:rPr>
              <w:t>5 999</w:t>
            </w:r>
          </w:p>
        </w:tc>
        <w:tc>
          <w:tcPr>
            <w:tcW w:w="705" w:type="dxa"/>
            <w:gridSpan w:val="2"/>
            <w:tcBorders>
              <w:top w:val="single" w:sz="4" w:space="0" w:color="auto"/>
            </w:tcBorders>
          </w:tcPr>
          <w:p w:rsidR="00000000" w:rsidRDefault="00000000">
            <w:pPr>
              <w:ind w:right="57"/>
              <w:jc w:val="right"/>
              <w:rPr>
                <w:snapToGrid w:val="0"/>
                <w:sz w:val="18"/>
              </w:rPr>
            </w:pPr>
            <w:r>
              <w:rPr>
                <w:snapToGrid w:val="0"/>
                <w:sz w:val="18"/>
              </w:rPr>
              <w:t>1 019</w:t>
            </w:r>
          </w:p>
        </w:tc>
      </w:tr>
      <w:tr w:rsidR="00000000">
        <w:tblPrEx>
          <w:tblCellMar>
            <w:top w:w="0" w:type="dxa"/>
            <w:bottom w:w="0" w:type="dxa"/>
          </w:tblCellMar>
        </w:tblPrEx>
        <w:trPr>
          <w:gridAfter w:val="1"/>
          <w:wAfter w:w="71" w:type="dxa"/>
          <w:cantSplit/>
          <w:trHeight w:val="155"/>
          <w:jc w:val="center"/>
        </w:trPr>
        <w:tc>
          <w:tcPr>
            <w:tcW w:w="1891" w:type="dxa"/>
            <w:gridSpan w:val="2"/>
            <w:tcBorders>
              <w:bottom w:val="nil"/>
            </w:tcBorders>
          </w:tcPr>
          <w:p w:rsidR="00000000" w:rsidRDefault="00000000">
            <w:pPr>
              <w:rPr>
                <w:snapToGrid w:val="0"/>
                <w:sz w:val="18"/>
              </w:rPr>
            </w:pPr>
            <w:r>
              <w:rPr>
                <w:snapToGrid w:val="0"/>
                <w:sz w:val="18"/>
              </w:rPr>
              <w:t>São Paulo</w:t>
            </w:r>
          </w:p>
        </w:tc>
        <w:tc>
          <w:tcPr>
            <w:tcW w:w="684" w:type="dxa"/>
            <w:gridSpan w:val="2"/>
            <w:tcBorders>
              <w:bottom w:val="nil"/>
            </w:tcBorders>
          </w:tcPr>
          <w:p w:rsidR="00000000" w:rsidRDefault="00000000">
            <w:pPr>
              <w:rPr>
                <w:snapToGrid w:val="0"/>
                <w:sz w:val="18"/>
              </w:rPr>
            </w:pPr>
            <w:r>
              <w:rPr>
                <w:snapToGrid w:val="0"/>
                <w:sz w:val="18"/>
              </w:rPr>
              <w:t>1998</w:t>
            </w:r>
          </w:p>
        </w:tc>
        <w:tc>
          <w:tcPr>
            <w:tcW w:w="850" w:type="dxa"/>
            <w:gridSpan w:val="2"/>
            <w:tcBorders>
              <w:bottom w:val="nil"/>
            </w:tcBorders>
          </w:tcPr>
          <w:p w:rsidR="00000000" w:rsidRDefault="00000000">
            <w:pPr>
              <w:jc w:val="right"/>
              <w:rPr>
                <w:snapToGrid w:val="0"/>
                <w:sz w:val="18"/>
              </w:rPr>
            </w:pPr>
            <w:r>
              <w:rPr>
                <w:snapToGrid w:val="0"/>
                <w:sz w:val="18"/>
              </w:rPr>
              <w:t>192 235</w:t>
            </w:r>
          </w:p>
        </w:tc>
        <w:tc>
          <w:tcPr>
            <w:tcW w:w="999" w:type="dxa"/>
            <w:gridSpan w:val="2"/>
            <w:tcBorders>
              <w:bottom w:val="nil"/>
            </w:tcBorders>
          </w:tcPr>
          <w:p w:rsidR="00000000" w:rsidRDefault="00000000">
            <w:pPr>
              <w:ind w:right="113"/>
              <w:jc w:val="right"/>
              <w:rPr>
                <w:snapToGrid w:val="0"/>
                <w:sz w:val="18"/>
              </w:rPr>
            </w:pPr>
            <w:r>
              <w:rPr>
                <w:snapToGrid w:val="0"/>
                <w:sz w:val="18"/>
              </w:rPr>
              <w:t>24 778</w:t>
            </w:r>
          </w:p>
        </w:tc>
        <w:tc>
          <w:tcPr>
            <w:tcW w:w="869" w:type="dxa"/>
            <w:gridSpan w:val="2"/>
            <w:tcBorders>
              <w:bottom w:val="nil"/>
            </w:tcBorders>
          </w:tcPr>
          <w:p w:rsidR="00000000" w:rsidRDefault="00000000">
            <w:pPr>
              <w:ind w:right="57"/>
              <w:jc w:val="right"/>
              <w:rPr>
                <w:snapToGrid w:val="0"/>
                <w:sz w:val="18"/>
              </w:rPr>
            </w:pPr>
            <w:r>
              <w:rPr>
                <w:snapToGrid w:val="0"/>
                <w:sz w:val="18"/>
              </w:rPr>
              <w:t>161 248</w:t>
            </w:r>
          </w:p>
        </w:tc>
        <w:tc>
          <w:tcPr>
            <w:tcW w:w="992" w:type="dxa"/>
            <w:gridSpan w:val="2"/>
            <w:tcBorders>
              <w:bottom w:val="nil"/>
            </w:tcBorders>
          </w:tcPr>
          <w:p w:rsidR="00000000" w:rsidRDefault="00000000">
            <w:pPr>
              <w:ind w:right="113"/>
              <w:jc w:val="right"/>
              <w:rPr>
                <w:snapToGrid w:val="0"/>
                <w:sz w:val="18"/>
              </w:rPr>
            </w:pPr>
            <w:r>
              <w:rPr>
                <w:snapToGrid w:val="0"/>
                <w:sz w:val="18"/>
              </w:rPr>
              <w:t>107 980</w:t>
            </w:r>
          </w:p>
        </w:tc>
        <w:tc>
          <w:tcPr>
            <w:tcW w:w="1134" w:type="dxa"/>
            <w:gridSpan w:val="2"/>
            <w:tcBorders>
              <w:bottom w:val="nil"/>
            </w:tcBorders>
          </w:tcPr>
          <w:p w:rsidR="00000000" w:rsidRDefault="00000000">
            <w:pPr>
              <w:ind w:right="113"/>
              <w:jc w:val="right"/>
              <w:rPr>
                <w:snapToGrid w:val="0"/>
                <w:sz w:val="18"/>
              </w:rPr>
            </w:pPr>
            <w:r>
              <w:rPr>
                <w:snapToGrid w:val="0"/>
                <w:sz w:val="18"/>
              </w:rPr>
              <w:t>53 268</w:t>
            </w:r>
          </w:p>
        </w:tc>
        <w:tc>
          <w:tcPr>
            <w:tcW w:w="992" w:type="dxa"/>
            <w:gridSpan w:val="2"/>
            <w:tcBorders>
              <w:bottom w:val="nil"/>
            </w:tcBorders>
          </w:tcPr>
          <w:p w:rsidR="00000000" w:rsidRDefault="00000000">
            <w:pPr>
              <w:ind w:right="113"/>
              <w:jc w:val="right"/>
              <w:rPr>
                <w:snapToGrid w:val="0"/>
                <w:sz w:val="18"/>
              </w:rPr>
            </w:pPr>
            <w:r>
              <w:rPr>
                <w:snapToGrid w:val="0"/>
                <w:sz w:val="18"/>
              </w:rPr>
              <w:t>5 084</w:t>
            </w:r>
          </w:p>
        </w:tc>
        <w:tc>
          <w:tcPr>
            <w:tcW w:w="705" w:type="dxa"/>
            <w:gridSpan w:val="2"/>
            <w:tcBorders>
              <w:bottom w:val="nil"/>
            </w:tcBorders>
          </w:tcPr>
          <w:p w:rsidR="00000000" w:rsidRDefault="00000000">
            <w:pPr>
              <w:ind w:right="57"/>
              <w:jc w:val="right"/>
              <w:rPr>
                <w:snapToGrid w:val="0"/>
                <w:sz w:val="18"/>
              </w:rPr>
            </w:pPr>
            <w:r>
              <w:rPr>
                <w:snapToGrid w:val="0"/>
                <w:sz w:val="18"/>
              </w:rPr>
              <w:t>1 125</w:t>
            </w:r>
          </w:p>
        </w:tc>
      </w:tr>
      <w:tr w:rsidR="00000000">
        <w:tblPrEx>
          <w:tblCellMar>
            <w:top w:w="0" w:type="dxa"/>
            <w:bottom w:w="0" w:type="dxa"/>
          </w:tblCellMar>
        </w:tblPrEx>
        <w:trPr>
          <w:gridAfter w:val="1"/>
          <w:wAfter w:w="71" w:type="dxa"/>
          <w:cantSplit/>
          <w:trHeight w:val="155"/>
          <w:jc w:val="center"/>
        </w:trPr>
        <w:tc>
          <w:tcPr>
            <w:tcW w:w="1891" w:type="dxa"/>
            <w:gridSpan w:val="2"/>
            <w:tcBorders>
              <w:top w:val="nil"/>
              <w:bottom w:val="single" w:sz="4" w:space="0" w:color="auto"/>
            </w:tcBorders>
          </w:tcPr>
          <w:p w:rsidR="00000000" w:rsidRDefault="00000000">
            <w:pPr>
              <w:rPr>
                <w:snapToGrid w:val="0"/>
                <w:sz w:val="18"/>
              </w:rPr>
            </w:pPr>
          </w:p>
        </w:tc>
        <w:tc>
          <w:tcPr>
            <w:tcW w:w="684" w:type="dxa"/>
            <w:gridSpan w:val="2"/>
            <w:tcBorders>
              <w:top w:val="nil"/>
              <w:bottom w:val="single" w:sz="4" w:space="0" w:color="auto"/>
            </w:tcBorders>
          </w:tcPr>
          <w:p w:rsidR="00000000" w:rsidRDefault="00000000">
            <w:pPr>
              <w:rPr>
                <w:snapToGrid w:val="0"/>
                <w:sz w:val="18"/>
              </w:rPr>
            </w:pPr>
            <w:r>
              <w:rPr>
                <w:snapToGrid w:val="0"/>
                <w:sz w:val="18"/>
              </w:rPr>
              <w:t>1999</w:t>
            </w:r>
          </w:p>
        </w:tc>
        <w:tc>
          <w:tcPr>
            <w:tcW w:w="850" w:type="dxa"/>
            <w:gridSpan w:val="2"/>
            <w:tcBorders>
              <w:top w:val="nil"/>
              <w:bottom w:val="single" w:sz="4" w:space="0" w:color="auto"/>
            </w:tcBorders>
          </w:tcPr>
          <w:p w:rsidR="00000000" w:rsidRDefault="00000000">
            <w:pPr>
              <w:jc w:val="right"/>
              <w:rPr>
                <w:snapToGrid w:val="0"/>
                <w:sz w:val="18"/>
              </w:rPr>
            </w:pPr>
            <w:r>
              <w:rPr>
                <w:snapToGrid w:val="0"/>
                <w:sz w:val="18"/>
              </w:rPr>
              <w:t>182 737</w:t>
            </w:r>
          </w:p>
        </w:tc>
        <w:tc>
          <w:tcPr>
            <w:tcW w:w="999" w:type="dxa"/>
            <w:gridSpan w:val="2"/>
            <w:tcBorders>
              <w:top w:val="nil"/>
              <w:bottom w:val="single" w:sz="4" w:space="0" w:color="auto"/>
            </w:tcBorders>
          </w:tcPr>
          <w:p w:rsidR="00000000" w:rsidRDefault="00000000">
            <w:pPr>
              <w:ind w:right="113"/>
              <w:jc w:val="right"/>
              <w:rPr>
                <w:snapToGrid w:val="0"/>
                <w:sz w:val="18"/>
              </w:rPr>
            </w:pPr>
            <w:r>
              <w:rPr>
                <w:snapToGrid w:val="0"/>
                <w:sz w:val="18"/>
              </w:rPr>
              <w:t>22 626</w:t>
            </w:r>
          </w:p>
        </w:tc>
        <w:tc>
          <w:tcPr>
            <w:tcW w:w="869" w:type="dxa"/>
            <w:gridSpan w:val="2"/>
            <w:tcBorders>
              <w:top w:val="nil"/>
              <w:bottom w:val="single" w:sz="4" w:space="0" w:color="auto"/>
            </w:tcBorders>
          </w:tcPr>
          <w:p w:rsidR="00000000" w:rsidRDefault="00000000">
            <w:pPr>
              <w:ind w:right="57"/>
              <w:jc w:val="right"/>
              <w:rPr>
                <w:snapToGrid w:val="0"/>
                <w:sz w:val="18"/>
              </w:rPr>
            </w:pPr>
            <w:r>
              <w:rPr>
                <w:snapToGrid w:val="0"/>
                <w:sz w:val="18"/>
              </w:rPr>
              <w:t>153 647</w:t>
            </w:r>
          </w:p>
        </w:tc>
        <w:tc>
          <w:tcPr>
            <w:tcW w:w="992" w:type="dxa"/>
            <w:gridSpan w:val="2"/>
            <w:tcBorders>
              <w:top w:val="nil"/>
              <w:bottom w:val="single" w:sz="4" w:space="0" w:color="auto"/>
            </w:tcBorders>
          </w:tcPr>
          <w:p w:rsidR="00000000" w:rsidRDefault="00000000">
            <w:pPr>
              <w:ind w:right="113"/>
              <w:jc w:val="right"/>
              <w:rPr>
                <w:snapToGrid w:val="0"/>
                <w:sz w:val="18"/>
              </w:rPr>
            </w:pPr>
            <w:r>
              <w:rPr>
                <w:snapToGrid w:val="0"/>
                <w:sz w:val="18"/>
              </w:rPr>
              <w:t>103 237</w:t>
            </w:r>
          </w:p>
        </w:tc>
        <w:tc>
          <w:tcPr>
            <w:tcW w:w="1134" w:type="dxa"/>
            <w:gridSpan w:val="2"/>
            <w:tcBorders>
              <w:top w:val="nil"/>
              <w:bottom w:val="single" w:sz="4" w:space="0" w:color="auto"/>
            </w:tcBorders>
          </w:tcPr>
          <w:p w:rsidR="00000000" w:rsidRDefault="00000000">
            <w:pPr>
              <w:ind w:right="113"/>
              <w:jc w:val="right"/>
              <w:rPr>
                <w:snapToGrid w:val="0"/>
                <w:sz w:val="18"/>
              </w:rPr>
            </w:pPr>
            <w:r>
              <w:rPr>
                <w:snapToGrid w:val="0"/>
                <w:sz w:val="18"/>
              </w:rPr>
              <w:t>50 410</w:t>
            </w:r>
          </w:p>
        </w:tc>
        <w:tc>
          <w:tcPr>
            <w:tcW w:w="992" w:type="dxa"/>
            <w:gridSpan w:val="2"/>
            <w:tcBorders>
              <w:top w:val="nil"/>
              <w:bottom w:val="single" w:sz="4" w:space="0" w:color="auto"/>
            </w:tcBorders>
          </w:tcPr>
          <w:p w:rsidR="00000000" w:rsidRDefault="00000000">
            <w:pPr>
              <w:ind w:right="113"/>
              <w:jc w:val="right"/>
              <w:rPr>
                <w:snapToGrid w:val="0"/>
                <w:sz w:val="18"/>
              </w:rPr>
            </w:pPr>
            <w:r>
              <w:rPr>
                <w:snapToGrid w:val="0"/>
                <w:sz w:val="18"/>
              </w:rPr>
              <w:t>5 423</w:t>
            </w:r>
          </w:p>
        </w:tc>
        <w:tc>
          <w:tcPr>
            <w:tcW w:w="705" w:type="dxa"/>
            <w:gridSpan w:val="2"/>
            <w:tcBorders>
              <w:top w:val="nil"/>
              <w:bottom w:val="single" w:sz="4" w:space="0" w:color="auto"/>
            </w:tcBorders>
          </w:tcPr>
          <w:p w:rsidR="00000000" w:rsidRDefault="00000000">
            <w:pPr>
              <w:ind w:right="57"/>
              <w:jc w:val="right"/>
              <w:rPr>
                <w:snapToGrid w:val="0"/>
                <w:sz w:val="18"/>
              </w:rPr>
            </w:pPr>
            <w:r>
              <w:rPr>
                <w:snapToGrid w:val="0"/>
                <w:sz w:val="18"/>
              </w:rPr>
              <w:t>1 041</w:t>
            </w:r>
          </w:p>
        </w:tc>
      </w:tr>
      <w:tr w:rsidR="00000000">
        <w:tblPrEx>
          <w:tblCellMar>
            <w:top w:w="0" w:type="dxa"/>
            <w:bottom w:w="0" w:type="dxa"/>
          </w:tblCellMar>
        </w:tblPrEx>
        <w:trPr>
          <w:gridAfter w:val="1"/>
          <w:wAfter w:w="71" w:type="dxa"/>
          <w:cantSplit/>
          <w:trHeight w:val="155"/>
          <w:jc w:val="center"/>
        </w:trPr>
        <w:tc>
          <w:tcPr>
            <w:tcW w:w="1891" w:type="dxa"/>
            <w:gridSpan w:val="2"/>
            <w:tcBorders>
              <w:top w:val="single" w:sz="4" w:space="0" w:color="auto"/>
            </w:tcBorders>
          </w:tcPr>
          <w:p w:rsidR="00000000" w:rsidRDefault="00000000">
            <w:pPr>
              <w:rPr>
                <w:snapToGrid w:val="0"/>
                <w:sz w:val="18"/>
              </w:rPr>
            </w:pPr>
            <w:r>
              <w:rPr>
                <w:b/>
                <w:snapToGrid w:val="0"/>
                <w:sz w:val="18"/>
              </w:rPr>
              <w:t>Southern</w:t>
            </w:r>
          </w:p>
        </w:tc>
        <w:tc>
          <w:tcPr>
            <w:tcW w:w="684" w:type="dxa"/>
            <w:gridSpan w:val="2"/>
            <w:tcBorders>
              <w:top w:val="single" w:sz="4" w:space="0" w:color="auto"/>
            </w:tcBorders>
          </w:tcPr>
          <w:p w:rsidR="00000000" w:rsidRDefault="00000000">
            <w:pPr>
              <w:rPr>
                <w:b/>
                <w:snapToGrid w:val="0"/>
                <w:sz w:val="18"/>
              </w:rPr>
            </w:pPr>
            <w:r>
              <w:rPr>
                <w:b/>
                <w:snapToGrid w:val="0"/>
                <w:sz w:val="18"/>
              </w:rPr>
              <w:t>1997</w:t>
            </w:r>
          </w:p>
        </w:tc>
        <w:tc>
          <w:tcPr>
            <w:tcW w:w="850" w:type="dxa"/>
            <w:gridSpan w:val="2"/>
            <w:tcBorders>
              <w:top w:val="single" w:sz="4" w:space="0" w:color="auto"/>
            </w:tcBorders>
          </w:tcPr>
          <w:p w:rsidR="00000000" w:rsidRDefault="00000000">
            <w:pPr>
              <w:jc w:val="right"/>
              <w:rPr>
                <w:b/>
                <w:snapToGrid w:val="0"/>
                <w:sz w:val="18"/>
              </w:rPr>
            </w:pPr>
            <w:r>
              <w:rPr>
                <w:b/>
                <w:snapToGrid w:val="0"/>
                <w:sz w:val="18"/>
              </w:rPr>
              <w:t>90 087</w:t>
            </w:r>
          </w:p>
        </w:tc>
        <w:tc>
          <w:tcPr>
            <w:tcW w:w="999" w:type="dxa"/>
            <w:gridSpan w:val="2"/>
            <w:tcBorders>
              <w:top w:val="single" w:sz="4" w:space="0" w:color="auto"/>
            </w:tcBorders>
          </w:tcPr>
          <w:p w:rsidR="00000000" w:rsidRDefault="00000000">
            <w:pPr>
              <w:ind w:right="113"/>
              <w:jc w:val="right"/>
              <w:rPr>
                <w:b/>
                <w:snapToGrid w:val="0"/>
                <w:sz w:val="18"/>
              </w:rPr>
            </w:pPr>
            <w:r>
              <w:rPr>
                <w:b/>
                <w:snapToGrid w:val="0"/>
                <w:sz w:val="18"/>
              </w:rPr>
              <w:t>11 162</w:t>
            </w:r>
          </w:p>
        </w:tc>
        <w:tc>
          <w:tcPr>
            <w:tcW w:w="869" w:type="dxa"/>
            <w:gridSpan w:val="2"/>
            <w:tcBorders>
              <w:top w:val="single" w:sz="4" w:space="0" w:color="auto"/>
            </w:tcBorders>
          </w:tcPr>
          <w:p w:rsidR="00000000" w:rsidRDefault="00000000">
            <w:pPr>
              <w:ind w:right="57"/>
              <w:jc w:val="right"/>
              <w:rPr>
                <w:b/>
                <w:snapToGrid w:val="0"/>
                <w:sz w:val="18"/>
              </w:rPr>
            </w:pPr>
            <w:r>
              <w:rPr>
                <w:b/>
                <w:snapToGrid w:val="0"/>
                <w:sz w:val="18"/>
              </w:rPr>
              <w:t>75 976</w:t>
            </w:r>
          </w:p>
        </w:tc>
        <w:tc>
          <w:tcPr>
            <w:tcW w:w="992" w:type="dxa"/>
            <w:gridSpan w:val="2"/>
            <w:tcBorders>
              <w:top w:val="single" w:sz="4" w:space="0" w:color="auto"/>
            </w:tcBorders>
          </w:tcPr>
          <w:p w:rsidR="00000000" w:rsidRDefault="00000000">
            <w:pPr>
              <w:ind w:right="113"/>
              <w:jc w:val="right"/>
              <w:rPr>
                <w:b/>
                <w:snapToGrid w:val="0"/>
                <w:sz w:val="18"/>
              </w:rPr>
            </w:pPr>
            <w:r>
              <w:rPr>
                <w:b/>
                <w:snapToGrid w:val="0"/>
                <w:sz w:val="18"/>
              </w:rPr>
              <w:t>36 707</w:t>
            </w:r>
          </w:p>
        </w:tc>
        <w:tc>
          <w:tcPr>
            <w:tcW w:w="1134" w:type="dxa"/>
            <w:gridSpan w:val="2"/>
            <w:tcBorders>
              <w:top w:val="single" w:sz="4" w:space="0" w:color="auto"/>
            </w:tcBorders>
          </w:tcPr>
          <w:p w:rsidR="00000000" w:rsidRDefault="00000000">
            <w:pPr>
              <w:ind w:right="113"/>
              <w:jc w:val="right"/>
              <w:rPr>
                <w:b/>
                <w:snapToGrid w:val="0"/>
                <w:sz w:val="18"/>
              </w:rPr>
            </w:pPr>
            <w:r>
              <w:rPr>
                <w:b/>
                <w:snapToGrid w:val="0"/>
                <w:sz w:val="18"/>
              </w:rPr>
              <w:t>39 269</w:t>
            </w:r>
          </w:p>
        </w:tc>
        <w:tc>
          <w:tcPr>
            <w:tcW w:w="992" w:type="dxa"/>
            <w:gridSpan w:val="2"/>
            <w:tcBorders>
              <w:top w:val="single" w:sz="4" w:space="0" w:color="auto"/>
            </w:tcBorders>
          </w:tcPr>
          <w:p w:rsidR="00000000" w:rsidRDefault="00000000">
            <w:pPr>
              <w:ind w:right="113"/>
              <w:jc w:val="right"/>
              <w:rPr>
                <w:b/>
                <w:snapToGrid w:val="0"/>
                <w:sz w:val="18"/>
              </w:rPr>
            </w:pPr>
            <w:r>
              <w:rPr>
                <w:b/>
                <w:snapToGrid w:val="0"/>
                <w:sz w:val="18"/>
              </w:rPr>
              <w:t>2 256</w:t>
            </w:r>
          </w:p>
        </w:tc>
        <w:tc>
          <w:tcPr>
            <w:tcW w:w="705" w:type="dxa"/>
            <w:gridSpan w:val="2"/>
            <w:tcBorders>
              <w:top w:val="single" w:sz="4" w:space="0" w:color="auto"/>
            </w:tcBorders>
          </w:tcPr>
          <w:p w:rsidR="00000000" w:rsidRDefault="00000000">
            <w:pPr>
              <w:ind w:right="57"/>
              <w:jc w:val="right"/>
              <w:rPr>
                <w:b/>
                <w:snapToGrid w:val="0"/>
                <w:sz w:val="18"/>
              </w:rPr>
            </w:pPr>
            <w:r>
              <w:rPr>
                <w:b/>
                <w:snapToGrid w:val="0"/>
                <w:sz w:val="18"/>
              </w:rPr>
              <w:t>693</w:t>
            </w:r>
          </w:p>
        </w:tc>
      </w:tr>
      <w:tr w:rsidR="00000000">
        <w:tblPrEx>
          <w:tblCellMar>
            <w:top w:w="0" w:type="dxa"/>
            <w:bottom w:w="0" w:type="dxa"/>
          </w:tblCellMar>
        </w:tblPrEx>
        <w:trPr>
          <w:gridAfter w:val="1"/>
          <w:wAfter w:w="71" w:type="dxa"/>
          <w:cantSplit/>
          <w:trHeight w:val="155"/>
          <w:jc w:val="center"/>
        </w:trPr>
        <w:tc>
          <w:tcPr>
            <w:tcW w:w="1891" w:type="dxa"/>
            <w:gridSpan w:val="2"/>
            <w:tcBorders>
              <w:bottom w:val="nil"/>
            </w:tcBorders>
          </w:tcPr>
          <w:p w:rsidR="00000000" w:rsidRDefault="00000000">
            <w:pPr>
              <w:rPr>
                <w:b/>
                <w:snapToGrid w:val="0"/>
                <w:sz w:val="18"/>
              </w:rPr>
            </w:pPr>
            <w:r>
              <w:rPr>
                <w:b/>
                <w:snapToGrid w:val="0"/>
                <w:sz w:val="18"/>
              </w:rPr>
              <w:t>Region</w:t>
            </w:r>
          </w:p>
        </w:tc>
        <w:tc>
          <w:tcPr>
            <w:tcW w:w="684" w:type="dxa"/>
            <w:gridSpan w:val="2"/>
            <w:tcBorders>
              <w:bottom w:val="nil"/>
            </w:tcBorders>
          </w:tcPr>
          <w:p w:rsidR="00000000" w:rsidRDefault="00000000">
            <w:pPr>
              <w:rPr>
                <w:b/>
                <w:snapToGrid w:val="0"/>
                <w:sz w:val="18"/>
              </w:rPr>
            </w:pPr>
            <w:r>
              <w:rPr>
                <w:b/>
                <w:snapToGrid w:val="0"/>
                <w:sz w:val="18"/>
              </w:rPr>
              <w:t>1998</w:t>
            </w:r>
          </w:p>
        </w:tc>
        <w:tc>
          <w:tcPr>
            <w:tcW w:w="850" w:type="dxa"/>
            <w:gridSpan w:val="2"/>
            <w:tcBorders>
              <w:bottom w:val="nil"/>
            </w:tcBorders>
          </w:tcPr>
          <w:p w:rsidR="00000000" w:rsidRDefault="00000000">
            <w:pPr>
              <w:jc w:val="right"/>
              <w:rPr>
                <w:b/>
                <w:snapToGrid w:val="0"/>
                <w:sz w:val="18"/>
              </w:rPr>
            </w:pPr>
            <w:r>
              <w:rPr>
                <w:b/>
                <w:snapToGrid w:val="0"/>
                <w:sz w:val="18"/>
              </w:rPr>
              <w:t>89 819</w:t>
            </w:r>
          </w:p>
        </w:tc>
        <w:tc>
          <w:tcPr>
            <w:tcW w:w="999" w:type="dxa"/>
            <w:gridSpan w:val="2"/>
            <w:tcBorders>
              <w:bottom w:val="nil"/>
            </w:tcBorders>
          </w:tcPr>
          <w:p w:rsidR="00000000" w:rsidRDefault="00000000">
            <w:pPr>
              <w:ind w:right="113"/>
              <w:jc w:val="right"/>
              <w:rPr>
                <w:b/>
                <w:snapToGrid w:val="0"/>
                <w:sz w:val="18"/>
              </w:rPr>
            </w:pPr>
            <w:r>
              <w:rPr>
                <w:b/>
                <w:snapToGrid w:val="0"/>
                <w:sz w:val="18"/>
              </w:rPr>
              <w:t>12 867</w:t>
            </w:r>
          </w:p>
        </w:tc>
        <w:tc>
          <w:tcPr>
            <w:tcW w:w="869" w:type="dxa"/>
            <w:gridSpan w:val="2"/>
            <w:tcBorders>
              <w:bottom w:val="nil"/>
            </w:tcBorders>
          </w:tcPr>
          <w:p w:rsidR="00000000" w:rsidRDefault="00000000">
            <w:pPr>
              <w:ind w:right="57"/>
              <w:jc w:val="right"/>
              <w:rPr>
                <w:b/>
                <w:snapToGrid w:val="0"/>
                <w:sz w:val="18"/>
              </w:rPr>
            </w:pPr>
            <w:r>
              <w:rPr>
                <w:b/>
                <w:snapToGrid w:val="0"/>
                <w:sz w:val="18"/>
              </w:rPr>
              <w:t>73 640</w:t>
            </w:r>
          </w:p>
        </w:tc>
        <w:tc>
          <w:tcPr>
            <w:tcW w:w="992" w:type="dxa"/>
            <w:gridSpan w:val="2"/>
            <w:tcBorders>
              <w:bottom w:val="nil"/>
            </w:tcBorders>
          </w:tcPr>
          <w:p w:rsidR="00000000" w:rsidRDefault="00000000">
            <w:pPr>
              <w:ind w:right="113"/>
              <w:jc w:val="right"/>
              <w:rPr>
                <w:b/>
                <w:snapToGrid w:val="0"/>
                <w:sz w:val="18"/>
              </w:rPr>
            </w:pPr>
            <w:r>
              <w:rPr>
                <w:b/>
                <w:snapToGrid w:val="0"/>
                <w:sz w:val="18"/>
              </w:rPr>
              <w:t>34 445</w:t>
            </w:r>
          </w:p>
        </w:tc>
        <w:tc>
          <w:tcPr>
            <w:tcW w:w="1134" w:type="dxa"/>
            <w:gridSpan w:val="2"/>
            <w:tcBorders>
              <w:bottom w:val="nil"/>
            </w:tcBorders>
          </w:tcPr>
          <w:p w:rsidR="00000000" w:rsidRDefault="00000000">
            <w:pPr>
              <w:ind w:right="113"/>
              <w:jc w:val="right"/>
              <w:rPr>
                <w:b/>
                <w:snapToGrid w:val="0"/>
                <w:sz w:val="18"/>
              </w:rPr>
            </w:pPr>
            <w:r>
              <w:rPr>
                <w:b/>
                <w:snapToGrid w:val="0"/>
                <w:sz w:val="18"/>
              </w:rPr>
              <w:t>39 195</w:t>
            </w:r>
          </w:p>
        </w:tc>
        <w:tc>
          <w:tcPr>
            <w:tcW w:w="992" w:type="dxa"/>
            <w:gridSpan w:val="2"/>
            <w:tcBorders>
              <w:bottom w:val="nil"/>
            </w:tcBorders>
          </w:tcPr>
          <w:p w:rsidR="00000000" w:rsidRDefault="00000000">
            <w:pPr>
              <w:ind w:right="113"/>
              <w:jc w:val="right"/>
              <w:rPr>
                <w:b/>
                <w:snapToGrid w:val="0"/>
                <w:sz w:val="18"/>
              </w:rPr>
            </w:pPr>
            <w:r>
              <w:rPr>
                <w:b/>
                <w:snapToGrid w:val="0"/>
                <w:sz w:val="18"/>
              </w:rPr>
              <w:t>2 509</w:t>
            </w:r>
          </w:p>
        </w:tc>
        <w:tc>
          <w:tcPr>
            <w:tcW w:w="705" w:type="dxa"/>
            <w:gridSpan w:val="2"/>
            <w:tcBorders>
              <w:bottom w:val="nil"/>
            </w:tcBorders>
          </w:tcPr>
          <w:p w:rsidR="00000000" w:rsidRDefault="00000000">
            <w:pPr>
              <w:ind w:right="57"/>
              <w:jc w:val="right"/>
              <w:rPr>
                <w:b/>
                <w:snapToGrid w:val="0"/>
                <w:sz w:val="18"/>
              </w:rPr>
            </w:pPr>
            <w:r>
              <w:rPr>
                <w:b/>
                <w:snapToGrid w:val="0"/>
                <w:sz w:val="18"/>
              </w:rPr>
              <w:t>803</w:t>
            </w:r>
          </w:p>
        </w:tc>
      </w:tr>
      <w:tr w:rsidR="00000000">
        <w:tblPrEx>
          <w:tblCellMar>
            <w:top w:w="0" w:type="dxa"/>
            <w:bottom w:w="0" w:type="dxa"/>
          </w:tblCellMar>
        </w:tblPrEx>
        <w:trPr>
          <w:gridAfter w:val="1"/>
          <w:wAfter w:w="71" w:type="dxa"/>
          <w:cantSplit/>
          <w:trHeight w:val="155"/>
          <w:jc w:val="center"/>
        </w:trPr>
        <w:tc>
          <w:tcPr>
            <w:tcW w:w="1891" w:type="dxa"/>
            <w:gridSpan w:val="2"/>
            <w:tcBorders>
              <w:top w:val="nil"/>
              <w:bottom w:val="single" w:sz="4" w:space="0" w:color="auto"/>
            </w:tcBorders>
          </w:tcPr>
          <w:p w:rsidR="00000000" w:rsidRDefault="00000000">
            <w:pPr>
              <w:rPr>
                <w:snapToGrid w:val="0"/>
                <w:sz w:val="18"/>
              </w:rPr>
            </w:pPr>
          </w:p>
        </w:tc>
        <w:tc>
          <w:tcPr>
            <w:tcW w:w="684" w:type="dxa"/>
            <w:gridSpan w:val="2"/>
            <w:tcBorders>
              <w:top w:val="nil"/>
              <w:bottom w:val="single" w:sz="4" w:space="0" w:color="auto"/>
            </w:tcBorders>
          </w:tcPr>
          <w:p w:rsidR="00000000" w:rsidRDefault="00000000">
            <w:pPr>
              <w:rPr>
                <w:b/>
                <w:snapToGrid w:val="0"/>
                <w:sz w:val="18"/>
              </w:rPr>
            </w:pPr>
            <w:r>
              <w:rPr>
                <w:b/>
                <w:snapToGrid w:val="0"/>
                <w:sz w:val="18"/>
              </w:rPr>
              <w:t>1999</w:t>
            </w:r>
          </w:p>
        </w:tc>
        <w:tc>
          <w:tcPr>
            <w:tcW w:w="850" w:type="dxa"/>
            <w:gridSpan w:val="2"/>
            <w:tcBorders>
              <w:top w:val="nil"/>
              <w:bottom w:val="single" w:sz="4" w:space="0" w:color="auto"/>
            </w:tcBorders>
          </w:tcPr>
          <w:p w:rsidR="00000000" w:rsidRDefault="00000000">
            <w:pPr>
              <w:jc w:val="right"/>
              <w:rPr>
                <w:b/>
                <w:snapToGrid w:val="0"/>
                <w:sz w:val="18"/>
              </w:rPr>
            </w:pPr>
            <w:r>
              <w:rPr>
                <w:b/>
                <w:snapToGrid w:val="0"/>
                <w:sz w:val="18"/>
              </w:rPr>
              <w:t>86 628</w:t>
            </w:r>
          </w:p>
        </w:tc>
        <w:tc>
          <w:tcPr>
            <w:tcW w:w="999" w:type="dxa"/>
            <w:gridSpan w:val="2"/>
            <w:tcBorders>
              <w:top w:val="nil"/>
              <w:bottom w:val="single" w:sz="4" w:space="0" w:color="auto"/>
            </w:tcBorders>
          </w:tcPr>
          <w:p w:rsidR="00000000" w:rsidRDefault="00000000">
            <w:pPr>
              <w:ind w:right="113"/>
              <w:jc w:val="right"/>
              <w:rPr>
                <w:b/>
                <w:snapToGrid w:val="0"/>
                <w:sz w:val="18"/>
              </w:rPr>
            </w:pPr>
            <w:r>
              <w:rPr>
                <w:b/>
                <w:snapToGrid w:val="0"/>
                <w:sz w:val="18"/>
              </w:rPr>
              <w:t>6 315</w:t>
            </w:r>
          </w:p>
        </w:tc>
        <w:tc>
          <w:tcPr>
            <w:tcW w:w="869" w:type="dxa"/>
            <w:gridSpan w:val="2"/>
            <w:tcBorders>
              <w:top w:val="nil"/>
              <w:bottom w:val="single" w:sz="4" w:space="0" w:color="auto"/>
            </w:tcBorders>
          </w:tcPr>
          <w:p w:rsidR="00000000" w:rsidRDefault="00000000">
            <w:pPr>
              <w:ind w:right="57"/>
              <w:jc w:val="right"/>
              <w:rPr>
                <w:b/>
                <w:snapToGrid w:val="0"/>
                <w:sz w:val="18"/>
              </w:rPr>
            </w:pPr>
            <w:r>
              <w:rPr>
                <w:b/>
                <w:snapToGrid w:val="0"/>
                <w:sz w:val="18"/>
              </w:rPr>
              <w:t>77 049</w:t>
            </w:r>
          </w:p>
        </w:tc>
        <w:tc>
          <w:tcPr>
            <w:tcW w:w="992" w:type="dxa"/>
            <w:gridSpan w:val="2"/>
            <w:tcBorders>
              <w:top w:val="nil"/>
              <w:bottom w:val="single" w:sz="4" w:space="0" w:color="auto"/>
            </w:tcBorders>
          </w:tcPr>
          <w:p w:rsidR="00000000" w:rsidRDefault="00000000">
            <w:pPr>
              <w:ind w:right="113"/>
              <w:jc w:val="right"/>
              <w:rPr>
                <w:b/>
                <w:snapToGrid w:val="0"/>
                <w:sz w:val="18"/>
              </w:rPr>
            </w:pPr>
            <w:r>
              <w:rPr>
                <w:b/>
                <w:snapToGrid w:val="0"/>
                <w:sz w:val="18"/>
              </w:rPr>
              <w:t>38 136</w:t>
            </w:r>
          </w:p>
        </w:tc>
        <w:tc>
          <w:tcPr>
            <w:tcW w:w="1134" w:type="dxa"/>
            <w:gridSpan w:val="2"/>
            <w:tcBorders>
              <w:top w:val="nil"/>
              <w:bottom w:val="single" w:sz="4" w:space="0" w:color="auto"/>
            </w:tcBorders>
          </w:tcPr>
          <w:p w:rsidR="00000000" w:rsidRDefault="00000000">
            <w:pPr>
              <w:ind w:right="113"/>
              <w:jc w:val="right"/>
              <w:rPr>
                <w:b/>
                <w:snapToGrid w:val="0"/>
                <w:sz w:val="18"/>
              </w:rPr>
            </w:pPr>
            <w:r>
              <w:rPr>
                <w:b/>
                <w:snapToGrid w:val="0"/>
                <w:sz w:val="18"/>
              </w:rPr>
              <w:t>38 913</w:t>
            </w:r>
          </w:p>
        </w:tc>
        <w:tc>
          <w:tcPr>
            <w:tcW w:w="992" w:type="dxa"/>
            <w:gridSpan w:val="2"/>
            <w:tcBorders>
              <w:top w:val="nil"/>
              <w:bottom w:val="single" w:sz="4" w:space="0" w:color="auto"/>
            </w:tcBorders>
          </w:tcPr>
          <w:p w:rsidR="00000000" w:rsidRDefault="00000000">
            <w:pPr>
              <w:ind w:right="113"/>
              <w:jc w:val="right"/>
              <w:rPr>
                <w:b/>
                <w:snapToGrid w:val="0"/>
                <w:sz w:val="18"/>
              </w:rPr>
            </w:pPr>
            <w:r>
              <w:rPr>
                <w:b/>
                <w:snapToGrid w:val="0"/>
                <w:sz w:val="18"/>
              </w:rPr>
              <w:t>2 469</w:t>
            </w:r>
          </w:p>
        </w:tc>
        <w:tc>
          <w:tcPr>
            <w:tcW w:w="705" w:type="dxa"/>
            <w:gridSpan w:val="2"/>
            <w:tcBorders>
              <w:top w:val="nil"/>
              <w:bottom w:val="single" w:sz="4" w:space="0" w:color="auto"/>
            </w:tcBorders>
          </w:tcPr>
          <w:p w:rsidR="00000000" w:rsidRDefault="00000000">
            <w:pPr>
              <w:ind w:right="57"/>
              <w:jc w:val="right"/>
              <w:rPr>
                <w:b/>
                <w:snapToGrid w:val="0"/>
                <w:sz w:val="18"/>
              </w:rPr>
            </w:pPr>
            <w:r>
              <w:rPr>
                <w:b/>
                <w:snapToGrid w:val="0"/>
                <w:sz w:val="18"/>
              </w:rPr>
              <w:t>795</w:t>
            </w:r>
          </w:p>
        </w:tc>
      </w:tr>
      <w:tr w:rsidR="00000000">
        <w:tblPrEx>
          <w:tblCellMar>
            <w:top w:w="0" w:type="dxa"/>
            <w:bottom w:w="0" w:type="dxa"/>
          </w:tblCellMar>
        </w:tblPrEx>
        <w:trPr>
          <w:gridAfter w:val="1"/>
          <w:wAfter w:w="71" w:type="dxa"/>
          <w:cantSplit/>
          <w:trHeight w:val="155"/>
          <w:jc w:val="center"/>
        </w:trPr>
        <w:tc>
          <w:tcPr>
            <w:tcW w:w="1891" w:type="dxa"/>
            <w:gridSpan w:val="2"/>
            <w:tcBorders>
              <w:top w:val="single" w:sz="4" w:space="0" w:color="auto"/>
            </w:tcBorders>
          </w:tcPr>
          <w:p w:rsidR="00000000" w:rsidRDefault="00000000">
            <w:pPr>
              <w:rPr>
                <w:snapToGrid w:val="0"/>
                <w:sz w:val="18"/>
              </w:rPr>
            </w:pPr>
          </w:p>
        </w:tc>
        <w:tc>
          <w:tcPr>
            <w:tcW w:w="684" w:type="dxa"/>
            <w:gridSpan w:val="2"/>
            <w:tcBorders>
              <w:top w:val="single" w:sz="4" w:space="0" w:color="auto"/>
            </w:tcBorders>
          </w:tcPr>
          <w:p w:rsidR="00000000" w:rsidRDefault="00000000">
            <w:pPr>
              <w:rPr>
                <w:snapToGrid w:val="0"/>
                <w:sz w:val="18"/>
              </w:rPr>
            </w:pPr>
            <w:r>
              <w:rPr>
                <w:snapToGrid w:val="0"/>
                <w:sz w:val="18"/>
              </w:rPr>
              <w:t>1997</w:t>
            </w:r>
          </w:p>
        </w:tc>
        <w:tc>
          <w:tcPr>
            <w:tcW w:w="850" w:type="dxa"/>
            <w:gridSpan w:val="2"/>
            <w:tcBorders>
              <w:top w:val="single" w:sz="4" w:space="0" w:color="auto"/>
            </w:tcBorders>
          </w:tcPr>
          <w:p w:rsidR="00000000" w:rsidRDefault="00000000">
            <w:pPr>
              <w:jc w:val="right"/>
              <w:rPr>
                <w:snapToGrid w:val="0"/>
                <w:sz w:val="18"/>
              </w:rPr>
            </w:pPr>
            <w:r>
              <w:rPr>
                <w:snapToGrid w:val="0"/>
                <w:sz w:val="18"/>
              </w:rPr>
              <w:t>27 698</w:t>
            </w:r>
          </w:p>
        </w:tc>
        <w:tc>
          <w:tcPr>
            <w:tcW w:w="999" w:type="dxa"/>
            <w:gridSpan w:val="2"/>
            <w:tcBorders>
              <w:top w:val="single" w:sz="4" w:space="0" w:color="auto"/>
            </w:tcBorders>
          </w:tcPr>
          <w:p w:rsidR="00000000" w:rsidRDefault="00000000">
            <w:pPr>
              <w:ind w:right="113"/>
              <w:jc w:val="right"/>
              <w:rPr>
                <w:snapToGrid w:val="0"/>
                <w:sz w:val="18"/>
              </w:rPr>
            </w:pPr>
            <w:r>
              <w:rPr>
                <w:snapToGrid w:val="0"/>
                <w:sz w:val="18"/>
              </w:rPr>
              <w:t>5 785</w:t>
            </w:r>
          </w:p>
        </w:tc>
        <w:tc>
          <w:tcPr>
            <w:tcW w:w="869" w:type="dxa"/>
            <w:gridSpan w:val="2"/>
            <w:tcBorders>
              <w:top w:val="single" w:sz="4" w:space="0" w:color="auto"/>
            </w:tcBorders>
          </w:tcPr>
          <w:p w:rsidR="00000000" w:rsidRDefault="00000000">
            <w:pPr>
              <w:ind w:right="57"/>
              <w:jc w:val="right"/>
              <w:rPr>
                <w:snapToGrid w:val="0"/>
                <w:sz w:val="18"/>
              </w:rPr>
            </w:pPr>
            <w:r>
              <w:rPr>
                <w:snapToGrid w:val="0"/>
                <w:sz w:val="18"/>
              </w:rPr>
              <w:t>20 882</w:t>
            </w:r>
          </w:p>
        </w:tc>
        <w:tc>
          <w:tcPr>
            <w:tcW w:w="992" w:type="dxa"/>
            <w:gridSpan w:val="2"/>
            <w:tcBorders>
              <w:top w:val="single" w:sz="4" w:space="0" w:color="auto"/>
            </w:tcBorders>
          </w:tcPr>
          <w:p w:rsidR="00000000" w:rsidRDefault="00000000">
            <w:pPr>
              <w:ind w:right="113"/>
              <w:jc w:val="right"/>
              <w:rPr>
                <w:snapToGrid w:val="0"/>
                <w:sz w:val="18"/>
              </w:rPr>
            </w:pPr>
            <w:r>
              <w:rPr>
                <w:snapToGrid w:val="0"/>
                <w:sz w:val="18"/>
              </w:rPr>
              <w:t>11 035</w:t>
            </w:r>
          </w:p>
        </w:tc>
        <w:tc>
          <w:tcPr>
            <w:tcW w:w="1134" w:type="dxa"/>
            <w:gridSpan w:val="2"/>
            <w:tcBorders>
              <w:top w:val="single" w:sz="4" w:space="0" w:color="auto"/>
            </w:tcBorders>
          </w:tcPr>
          <w:p w:rsidR="00000000" w:rsidRDefault="00000000">
            <w:pPr>
              <w:ind w:right="113"/>
              <w:jc w:val="right"/>
              <w:rPr>
                <w:snapToGrid w:val="0"/>
                <w:sz w:val="18"/>
              </w:rPr>
            </w:pPr>
            <w:r>
              <w:rPr>
                <w:snapToGrid w:val="0"/>
                <w:sz w:val="18"/>
              </w:rPr>
              <w:t>9 847</w:t>
            </w:r>
          </w:p>
        </w:tc>
        <w:tc>
          <w:tcPr>
            <w:tcW w:w="992" w:type="dxa"/>
            <w:gridSpan w:val="2"/>
            <w:tcBorders>
              <w:top w:val="single" w:sz="4" w:space="0" w:color="auto"/>
            </w:tcBorders>
          </w:tcPr>
          <w:p w:rsidR="00000000" w:rsidRDefault="00000000">
            <w:pPr>
              <w:ind w:right="113"/>
              <w:jc w:val="right"/>
              <w:rPr>
                <w:snapToGrid w:val="0"/>
                <w:sz w:val="18"/>
              </w:rPr>
            </w:pPr>
            <w:r>
              <w:rPr>
                <w:snapToGrid w:val="0"/>
                <w:sz w:val="18"/>
              </w:rPr>
              <w:t>763</w:t>
            </w:r>
          </w:p>
        </w:tc>
        <w:tc>
          <w:tcPr>
            <w:tcW w:w="705" w:type="dxa"/>
            <w:gridSpan w:val="2"/>
            <w:tcBorders>
              <w:top w:val="single" w:sz="4" w:space="0" w:color="auto"/>
            </w:tcBorders>
          </w:tcPr>
          <w:p w:rsidR="00000000" w:rsidRDefault="00000000">
            <w:pPr>
              <w:ind w:right="57"/>
              <w:jc w:val="right"/>
              <w:rPr>
                <w:snapToGrid w:val="0"/>
                <w:sz w:val="18"/>
              </w:rPr>
            </w:pPr>
            <w:r>
              <w:rPr>
                <w:snapToGrid w:val="0"/>
                <w:sz w:val="18"/>
              </w:rPr>
              <w:t>268</w:t>
            </w:r>
          </w:p>
        </w:tc>
      </w:tr>
      <w:tr w:rsidR="00000000">
        <w:tblPrEx>
          <w:tblCellMar>
            <w:top w:w="0" w:type="dxa"/>
            <w:bottom w:w="0" w:type="dxa"/>
          </w:tblCellMar>
        </w:tblPrEx>
        <w:trPr>
          <w:gridAfter w:val="1"/>
          <w:wAfter w:w="71" w:type="dxa"/>
          <w:cantSplit/>
          <w:trHeight w:val="155"/>
          <w:jc w:val="center"/>
        </w:trPr>
        <w:tc>
          <w:tcPr>
            <w:tcW w:w="1891" w:type="dxa"/>
            <w:gridSpan w:val="2"/>
            <w:tcBorders>
              <w:bottom w:val="nil"/>
            </w:tcBorders>
          </w:tcPr>
          <w:p w:rsidR="00000000" w:rsidRDefault="00000000">
            <w:pPr>
              <w:rPr>
                <w:snapToGrid w:val="0"/>
                <w:sz w:val="18"/>
              </w:rPr>
            </w:pPr>
            <w:r>
              <w:rPr>
                <w:snapToGrid w:val="0"/>
                <w:sz w:val="18"/>
              </w:rPr>
              <w:t>Paraná</w:t>
            </w:r>
          </w:p>
        </w:tc>
        <w:tc>
          <w:tcPr>
            <w:tcW w:w="684" w:type="dxa"/>
            <w:gridSpan w:val="2"/>
            <w:tcBorders>
              <w:bottom w:val="nil"/>
            </w:tcBorders>
          </w:tcPr>
          <w:p w:rsidR="00000000" w:rsidRDefault="00000000">
            <w:pPr>
              <w:rPr>
                <w:snapToGrid w:val="0"/>
                <w:sz w:val="18"/>
              </w:rPr>
            </w:pPr>
            <w:r>
              <w:rPr>
                <w:snapToGrid w:val="0"/>
                <w:sz w:val="18"/>
              </w:rPr>
              <w:t>1998</w:t>
            </w:r>
          </w:p>
        </w:tc>
        <w:tc>
          <w:tcPr>
            <w:tcW w:w="850" w:type="dxa"/>
            <w:gridSpan w:val="2"/>
            <w:tcBorders>
              <w:bottom w:val="nil"/>
            </w:tcBorders>
          </w:tcPr>
          <w:p w:rsidR="00000000" w:rsidRDefault="00000000">
            <w:pPr>
              <w:jc w:val="right"/>
              <w:rPr>
                <w:snapToGrid w:val="0"/>
                <w:sz w:val="18"/>
              </w:rPr>
            </w:pPr>
            <w:r>
              <w:rPr>
                <w:snapToGrid w:val="0"/>
                <w:sz w:val="18"/>
              </w:rPr>
              <w:t>30 164</w:t>
            </w:r>
          </w:p>
        </w:tc>
        <w:tc>
          <w:tcPr>
            <w:tcW w:w="999" w:type="dxa"/>
            <w:gridSpan w:val="2"/>
            <w:tcBorders>
              <w:bottom w:val="nil"/>
            </w:tcBorders>
          </w:tcPr>
          <w:p w:rsidR="00000000" w:rsidRDefault="00000000">
            <w:pPr>
              <w:ind w:right="113"/>
              <w:jc w:val="right"/>
              <w:rPr>
                <w:snapToGrid w:val="0"/>
                <w:sz w:val="18"/>
              </w:rPr>
            </w:pPr>
            <w:r>
              <w:rPr>
                <w:snapToGrid w:val="0"/>
                <w:sz w:val="18"/>
              </w:rPr>
              <w:t>7 555</w:t>
            </w:r>
          </w:p>
        </w:tc>
        <w:tc>
          <w:tcPr>
            <w:tcW w:w="869" w:type="dxa"/>
            <w:gridSpan w:val="2"/>
            <w:tcBorders>
              <w:bottom w:val="nil"/>
            </w:tcBorders>
          </w:tcPr>
          <w:p w:rsidR="00000000" w:rsidRDefault="00000000">
            <w:pPr>
              <w:ind w:right="57"/>
              <w:jc w:val="right"/>
              <w:rPr>
                <w:snapToGrid w:val="0"/>
                <w:sz w:val="18"/>
              </w:rPr>
            </w:pPr>
            <w:r>
              <w:rPr>
                <w:snapToGrid w:val="0"/>
                <w:sz w:val="18"/>
              </w:rPr>
              <w:t>21 468</w:t>
            </w:r>
          </w:p>
        </w:tc>
        <w:tc>
          <w:tcPr>
            <w:tcW w:w="992" w:type="dxa"/>
            <w:gridSpan w:val="2"/>
            <w:tcBorders>
              <w:bottom w:val="nil"/>
            </w:tcBorders>
          </w:tcPr>
          <w:p w:rsidR="00000000" w:rsidRDefault="00000000">
            <w:pPr>
              <w:ind w:right="113"/>
              <w:jc w:val="right"/>
              <w:rPr>
                <w:snapToGrid w:val="0"/>
                <w:sz w:val="18"/>
              </w:rPr>
            </w:pPr>
            <w:r>
              <w:rPr>
                <w:snapToGrid w:val="0"/>
                <w:sz w:val="18"/>
              </w:rPr>
              <w:t>11 461</w:t>
            </w:r>
          </w:p>
        </w:tc>
        <w:tc>
          <w:tcPr>
            <w:tcW w:w="1134" w:type="dxa"/>
            <w:gridSpan w:val="2"/>
            <w:tcBorders>
              <w:bottom w:val="nil"/>
            </w:tcBorders>
          </w:tcPr>
          <w:p w:rsidR="00000000" w:rsidRDefault="00000000">
            <w:pPr>
              <w:ind w:right="113"/>
              <w:jc w:val="right"/>
              <w:rPr>
                <w:snapToGrid w:val="0"/>
                <w:sz w:val="18"/>
              </w:rPr>
            </w:pPr>
            <w:r>
              <w:rPr>
                <w:snapToGrid w:val="0"/>
                <w:sz w:val="18"/>
              </w:rPr>
              <w:t>10 007</w:t>
            </w:r>
          </w:p>
        </w:tc>
        <w:tc>
          <w:tcPr>
            <w:tcW w:w="992" w:type="dxa"/>
            <w:gridSpan w:val="2"/>
            <w:tcBorders>
              <w:bottom w:val="nil"/>
            </w:tcBorders>
          </w:tcPr>
          <w:p w:rsidR="00000000" w:rsidRDefault="00000000">
            <w:pPr>
              <w:ind w:right="113"/>
              <w:jc w:val="right"/>
              <w:rPr>
                <w:snapToGrid w:val="0"/>
                <w:sz w:val="18"/>
              </w:rPr>
            </w:pPr>
            <w:r>
              <w:rPr>
                <w:snapToGrid w:val="0"/>
                <w:sz w:val="18"/>
              </w:rPr>
              <w:t>787</w:t>
            </w:r>
          </w:p>
        </w:tc>
        <w:tc>
          <w:tcPr>
            <w:tcW w:w="705" w:type="dxa"/>
            <w:gridSpan w:val="2"/>
            <w:tcBorders>
              <w:bottom w:val="nil"/>
            </w:tcBorders>
          </w:tcPr>
          <w:p w:rsidR="00000000" w:rsidRDefault="00000000">
            <w:pPr>
              <w:ind w:right="57"/>
              <w:jc w:val="right"/>
              <w:rPr>
                <w:snapToGrid w:val="0"/>
                <w:sz w:val="18"/>
              </w:rPr>
            </w:pPr>
            <w:r>
              <w:rPr>
                <w:snapToGrid w:val="0"/>
                <w:sz w:val="18"/>
              </w:rPr>
              <w:t>354</w:t>
            </w:r>
          </w:p>
        </w:tc>
      </w:tr>
      <w:tr w:rsidR="00000000">
        <w:tblPrEx>
          <w:tblCellMar>
            <w:top w:w="0" w:type="dxa"/>
            <w:bottom w:w="0" w:type="dxa"/>
          </w:tblCellMar>
        </w:tblPrEx>
        <w:trPr>
          <w:gridAfter w:val="1"/>
          <w:wAfter w:w="71" w:type="dxa"/>
          <w:cantSplit/>
          <w:trHeight w:val="155"/>
          <w:jc w:val="center"/>
        </w:trPr>
        <w:tc>
          <w:tcPr>
            <w:tcW w:w="1891" w:type="dxa"/>
            <w:gridSpan w:val="2"/>
            <w:tcBorders>
              <w:top w:val="nil"/>
              <w:bottom w:val="single" w:sz="4" w:space="0" w:color="auto"/>
            </w:tcBorders>
          </w:tcPr>
          <w:p w:rsidR="00000000" w:rsidRDefault="00000000">
            <w:pPr>
              <w:rPr>
                <w:snapToGrid w:val="0"/>
                <w:sz w:val="18"/>
              </w:rPr>
            </w:pPr>
          </w:p>
        </w:tc>
        <w:tc>
          <w:tcPr>
            <w:tcW w:w="684" w:type="dxa"/>
            <w:gridSpan w:val="2"/>
            <w:tcBorders>
              <w:top w:val="nil"/>
              <w:bottom w:val="single" w:sz="4" w:space="0" w:color="auto"/>
            </w:tcBorders>
          </w:tcPr>
          <w:p w:rsidR="00000000" w:rsidRDefault="00000000">
            <w:pPr>
              <w:rPr>
                <w:snapToGrid w:val="0"/>
                <w:sz w:val="18"/>
              </w:rPr>
            </w:pPr>
            <w:r>
              <w:rPr>
                <w:snapToGrid w:val="0"/>
                <w:sz w:val="18"/>
              </w:rPr>
              <w:t>1999</w:t>
            </w:r>
          </w:p>
        </w:tc>
        <w:tc>
          <w:tcPr>
            <w:tcW w:w="850" w:type="dxa"/>
            <w:gridSpan w:val="2"/>
            <w:tcBorders>
              <w:top w:val="nil"/>
              <w:bottom w:val="single" w:sz="4" w:space="0" w:color="auto"/>
            </w:tcBorders>
          </w:tcPr>
          <w:p w:rsidR="00000000" w:rsidRDefault="00000000">
            <w:pPr>
              <w:jc w:val="right"/>
              <w:rPr>
                <w:snapToGrid w:val="0"/>
                <w:sz w:val="18"/>
              </w:rPr>
            </w:pPr>
            <w:r>
              <w:rPr>
                <w:snapToGrid w:val="0"/>
                <w:sz w:val="18"/>
              </w:rPr>
              <w:t>28 591</w:t>
            </w:r>
          </w:p>
        </w:tc>
        <w:tc>
          <w:tcPr>
            <w:tcW w:w="999" w:type="dxa"/>
            <w:gridSpan w:val="2"/>
            <w:tcBorders>
              <w:top w:val="nil"/>
              <w:bottom w:val="single" w:sz="4" w:space="0" w:color="auto"/>
            </w:tcBorders>
          </w:tcPr>
          <w:p w:rsidR="00000000" w:rsidRDefault="00000000">
            <w:pPr>
              <w:ind w:right="113"/>
              <w:jc w:val="right"/>
              <w:rPr>
                <w:snapToGrid w:val="0"/>
                <w:sz w:val="18"/>
              </w:rPr>
            </w:pPr>
            <w:r>
              <w:rPr>
                <w:snapToGrid w:val="0"/>
                <w:sz w:val="18"/>
              </w:rPr>
              <w:t>2 104</w:t>
            </w:r>
          </w:p>
        </w:tc>
        <w:tc>
          <w:tcPr>
            <w:tcW w:w="869" w:type="dxa"/>
            <w:gridSpan w:val="2"/>
            <w:tcBorders>
              <w:top w:val="nil"/>
              <w:bottom w:val="single" w:sz="4" w:space="0" w:color="auto"/>
            </w:tcBorders>
          </w:tcPr>
          <w:p w:rsidR="00000000" w:rsidRDefault="00000000">
            <w:pPr>
              <w:ind w:right="57"/>
              <w:jc w:val="right"/>
              <w:rPr>
                <w:snapToGrid w:val="0"/>
                <w:sz w:val="18"/>
              </w:rPr>
            </w:pPr>
            <w:r>
              <w:rPr>
                <w:snapToGrid w:val="0"/>
                <w:sz w:val="18"/>
              </w:rPr>
              <w:t>25 476</w:t>
            </w:r>
          </w:p>
        </w:tc>
        <w:tc>
          <w:tcPr>
            <w:tcW w:w="992" w:type="dxa"/>
            <w:gridSpan w:val="2"/>
            <w:tcBorders>
              <w:top w:val="nil"/>
              <w:bottom w:val="single" w:sz="4" w:space="0" w:color="auto"/>
            </w:tcBorders>
          </w:tcPr>
          <w:p w:rsidR="00000000" w:rsidRDefault="00000000">
            <w:pPr>
              <w:ind w:right="113"/>
              <w:jc w:val="right"/>
              <w:rPr>
                <w:snapToGrid w:val="0"/>
                <w:sz w:val="18"/>
              </w:rPr>
            </w:pPr>
            <w:r>
              <w:rPr>
                <w:snapToGrid w:val="0"/>
                <w:sz w:val="18"/>
              </w:rPr>
              <w:t>15 815</w:t>
            </w:r>
          </w:p>
        </w:tc>
        <w:tc>
          <w:tcPr>
            <w:tcW w:w="1134" w:type="dxa"/>
            <w:gridSpan w:val="2"/>
            <w:tcBorders>
              <w:top w:val="nil"/>
              <w:bottom w:val="single" w:sz="4" w:space="0" w:color="auto"/>
            </w:tcBorders>
          </w:tcPr>
          <w:p w:rsidR="00000000" w:rsidRDefault="00000000">
            <w:pPr>
              <w:ind w:right="113"/>
              <w:jc w:val="right"/>
              <w:rPr>
                <w:snapToGrid w:val="0"/>
                <w:sz w:val="18"/>
              </w:rPr>
            </w:pPr>
            <w:r>
              <w:rPr>
                <w:snapToGrid w:val="0"/>
                <w:sz w:val="18"/>
              </w:rPr>
              <w:t>9 661</w:t>
            </w:r>
          </w:p>
        </w:tc>
        <w:tc>
          <w:tcPr>
            <w:tcW w:w="992" w:type="dxa"/>
            <w:gridSpan w:val="2"/>
            <w:tcBorders>
              <w:top w:val="nil"/>
              <w:bottom w:val="single" w:sz="4" w:space="0" w:color="auto"/>
            </w:tcBorders>
          </w:tcPr>
          <w:p w:rsidR="00000000" w:rsidRDefault="00000000">
            <w:pPr>
              <w:ind w:right="113"/>
              <w:jc w:val="right"/>
              <w:rPr>
                <w:snapToGrid w:val="0"/>
                <w:sz w:val="18"/>
              </w:rPr>
            </w:pPr>
            <w:r>
              <w:rPr>
                <w:snapToGrid w:val="0"/>
                <w:sz w:val="18"/>
              </w:rPr>
              <w:t>682</w:t>
            </w:r>
          </w:p>
        </w:tc>
        <w:tc>
          <w:tcPr>
            <w:tcW w:w="705" w:type="dxa"/>
            <w:gridSpan w:val="2"/>
            <w:tcBorders>
              <w:top w:val="nil"/>
              <w:bottom w:val="single" w:sz="4" w:space="0" w:color="auto"/>
            </w:tcBorders>
          </w:tcPr>
          <w:p w:rsidR="00000000" w:rsidRDefault="00000000">
            <w:pPr>
              <w:ind w:right="57"/>
              <w:jc w:val="right"/>
              <w:rPr>
                <w:snapToGrid w:val="0"/>
                <w:sz w:val="18"/>
              </w:rPr>
            </w:pPr>
            <w:r>
              <w:rPr>
                <w:snapToGrid w:val="0"/>
                <w:sz w:val="18"/>
              </w:rPr>
              <w:t>329</w:t>
            </w:r>
          </w:p>
        </w:tc>
      </w:tr>
      <w:tr w:rsidR="00000000">
        <w:tblPrEx>
          <w:tblCellMar>
            <w:top w:w="0" w:type="dxa"/>
            <w:bottom w:w="0" w:type="dxa"/>
          </w:tblCellMar>
        </w:tblPrEx>
        <w:trPr>
          <w:gridAfter w:val="1"/>
          <w:wAfter w:w="71" w:type="dxa"/>
          <w:cantSplit/>
          <w:trHeight w:val="155"/>
          <w:jc w:val="center"/>
        </w:trPr>
        <w:tc>
          <w:tcPr>
            <w:tcW w:w="1891" w:type="dxa"/>
            <w:gridSpan w:val="2"/>
            <w:tcBorders>
              <w:top w:val="single" w:sz="4" w:space="0" w:color="auto"/>
            </w:tcBorders>
          </w:tcPr>
          <w:p w:rsidR="00000000" w:rsidRDefault="00000000">
            <w:pPr>
              <w:rPr>
                <w:snapToGrid w:val="0"/>
                <w:sz w:val="18"/>
              </w:rPr>
            </w:pPr>
          </w:p>
        </w:tc>
        <w:tc>
          <w:tcPr>
            <w:tcW w:w="684" w:type="dxa"/>
            <w:gridSpan w:val="2"/>
            <w:tcBorders>
              <w:top w:val="single" w:sz="4" w:space="0" w:color="auto"/>
            </w:tcBorders>
          </w:tcPr>
          <w:p w:rsidR="00000000" w:rsidRDefault="00000000">
            <w:pPr>
              <w:rPr>
                <w:snapToGrid w:val="0"/>
                <w:sz w:val="18"/>
              </w:rPr>
            </w:pPr>
            <w:r>
              <w:rPr>
                <w:snapToGrid w:val="0"/>
                <w:sz w:val="18"/>
              </w:rPr>
              <w:t>1997</w:t>
            </w:r>
          </w:p>
        </w:tc>
        <w:tc>
          <w:tcPr>
            <w:tcW w:w="850" w:type="dxa"/>
            <w:gridSpan w:val="2"/>
            <w:tcBorders>
              <w:top w:val="single" w:sz="4" w:space="0" w:color="auto"/>
            </w:tcBorders>
          </w:tcPr>
          <w:p w:rsidR="00000000" w:rsidRDefault="00000000">
            <w:pPr>
              <w:jc w:val="right"/>
              <w:rPr>
                <w:snapToGrid w:val="0"/>
                <w:sz w:val="18"/>
              </w:rPr>
            </w:pPr>
            <w:r>
              <w:rPr>
                <w:snapToGrid w:val="0"/>
                <w:sz w:val="18"/>
              </w:rPr>
              <w:t>23 577</w:t>
            </w:r>
          </w:p>
        </w:tc>
        <w:tc>
          <w:tcPr>
            <w:tcW w:w="999" w:type="dxa"/>
            <w:gridSpan w:val="2"/>
            <w:tcBorders>
              <w:top w:val="single" w:sz="4" w:space="0" w:color="auto"/>
            </w:tcBorders>
          </w:tcPr>
          <w:p w:rsidR="00000000" w:rsidRDefault="00000000">
            <w:pPr>
              <w:ind w:right="113"/>
              <w:jc w:val="right"/>
              <w:rPr>
                <w:snapToGrid w:val="0"/>
                <w:sz w:val="18"/>
              </w:rPr>
            </w:pPr>
            <w:r>
              <w:rPr>
                <w:snapToGrid w:val="0"/>
                <w:sz w:val="18"/>
              </w:rPr>
              <w:t>2 466</w:t>
            </w:r>
          </w:p>
        </w:tc>
        <w:tc>
          <w:tcPr>
            <w:tcW w:w="869" w:type="dxa"/>
            <w:gridSpan w:val="2"/>
            <w:tcBorders>
              <w:top w:val="single" w:sz="4" w:space="0" w:color="auto"/>
            </w:tcBorders>
          </w:tcPr>
          <w:p w:rsidR="00000000" w:rsidRDefault="00000000">
            <w:pPr>
              <w:ind w:right="57"/>
              <w:jc w:val="right"/>
              <w:rPr>
                <w:snapToGrid w:val="0"/>
                <w:sz w:val="18"/>
              </w:rPr>
            </w:pPr>
            <w:r>
              <w:rPr>
                <w:snapToGrid w:val="0"/>
                <w:sz w:val="18"/>
              </w:rPr>
              <w:t>20 377</w:t>
            </w:r>
          </w:p>
        </w:tc>
        <w:tc>
          <w:tcPr>
            <w:tcW w:w="992" w:type="dxa"/>
            <w:gridSpan w:val="2"/>
            <w:tcBorders>
              <w:top w:val="single" w:sz="4" w:space="0" w:color="auto"/>
            </w:tcBorders>
          </w:tcPr>
          <w:p w:rsidR="00000000" w:rsidRDefault="00000000">
            <w:pPr>
              <w:ind w:right="113"/>
              <w:jc w:val="right"/>
              <w:rPr>
                <w:snapToGrid w:val="0"/>
                <w:sz w:val="18"/>
              </w:rPr>
            </w:pPr>
            <w:r>
              <w:rPr>
                <w:snapToGrid w:val="0"/>
                <w:sz w:val="18"/>
              </w:rPr>
              <w:t>10 557</w:t>
            </w:r>
          </w:p>
        </w:tc>
        <w:tc>
          <w:tcPr>
            <w:tcW w:w="1134" w:type="dxa"/>
            <w:gridSpan w:val="2"/>
            <w:tcBorders>
              <w:top w:val="single" w:sz="4" w:space="0" w:color="auto"/>
            </w:tcBorders>
          </w:tcPr>
          <w:p w:rsidR="00000000" w:rsidRDefault="00000000">
            <w:pPr>
              <w:ind w:right="113"/>
              <w:jc w:val="right"/>
              <w:rPr>
                <w:snapToGrid w:val="0"/>
                <w:sz w:val="18"/>
              </w:rPr>
            </w:pPr>
            <w:r>
              <w:rPr>
                <w:snapToGrid w:val="0"/>
                <w:sz w:val="18"/>
              </w:rPr>
              <w:t>9 820</w:t>
            </w:r>
          </w:p>
        </w:tc>
        <w:tc>
          <w:tcPr>
            <w:tcW w:w="992" w:type="dxa"/>
            <w:gridSpan w:val="2"/>
            <w:tcBorders>
              <w:top w:val="single" w:sz="4" w:space="0" w:color="auto"/>
            </w:tcBorders>
          </w:tcPr>
          <w:p w:rsidR="00000000" w:rsidRDefault="00000000">
            <w:pPr>
              <w:ind w:right="113"/>
              <w:jc w:val="right"/>
              <w:rPr>
                <w:snapToGrid w:val="0"/>
                <w:sz w:val="18"/>
              </w:rPr>
            </w:pPr>
            <w:r>
              <w:rPr>
                <w:snapToGrid w:val="0"/>
                <w:sz w:val="18"/>
              </w:rPr>
              <w:t>524</w:t>
            </w:r>
          </w:p>
        </w:tc>
        <w:tc>
          <w:tcPr>
            <w:tcW w:w="705" w:type="dxa"/>
            <w:gridSpan w:val="2"/>
            <w:tcBorders>
              <w:top w:val="single" w:sz="4" w:space="0" w:color="auto"/>
            </w:tcBorders>
          </w:tcPr>
          <w:p w:rsidR="00000000" w:rsidRDefault="00000000">
            <w:pPr>
              <w:ind w:right="57"/>
              <w:jc w:val="right"/>
              <w:rPr>
                <w:snapToGrid w:val="0"/>
                <w:sz w:val="18"/>
              </w:rPr>
            </w:pPr>
            <w:r>
              <w:rPr>
                <w:snapToGrid w:val="0"/>
                <w:sz w:val="18"/>
              </w:rPr>
              <w:t>210</w:t>
            </w:r>
          </w:p>
        </w:tc>
      </w:tr>
      <w:tr w:rsidR="00000000">
        <w:tblPrEx>
          <w:tblCellMar>
            <w:top w:w="0" w:type="dxa"/>
            <w:bottom w:w="0" w:type="dxa"/>
          </w:tblCellMar>
        </w:tblPrEx>
        <w:trPr>
          <w:gridAfter w:val="1"/>
          <w:wAfter w:w="71" w:type="dxa"/>
          <w:cantSplit/>
          <w:trHeight w:val="155"/>
          <w:jc w:val="center"/>
        </w:trPr>
        <w:tc>
          <w:tcPr>
            <w:tcW w:w="1891" w:type="dxa"/>
            <w:gridSpan w:val="2"/>
            <w:tcBorders>
              <w:bottom w:val="nil"/>
            </w:tcBorders>
          </w:tcPr>
          <w:p w:rsidR="00000000" w:rsidRDefault="00000000">
            <w:pPr>
              <w:rPr>
                <w:snapToGrid w:val="0"/>
                <w:sz w:val="18"/>
              </w:rPr>
            </w:pPr>
            <w:r>
              <w:rPr>
                <w:snapToGrid w:val="0"/>
                <w:sz w:val="18"/>
              </w:rPr>
              <w:t>Santa Catarina</w:t>
            </w:r>
          </w:p>
        </w:tc>
        <w:tc>
          <w:tcPr>
            <w:tcW w:w="684" w:type="dxa"/>
            <w:gridSpan w:val="2"/>
            <w:tcBorders>
              <w:bottom w:val="nil"/>
            </w:tcBorders>
          </w:tcPr>
          <w:p w:rsidR="00000000" w:rsidRDefault="00000000">
            <w:pPr>
              <w:rPr>
                <w:snapToGrid w:val="0"/>
                <w:sz w:val="18"/>
              </w:rPr>
            </w:pPr>
            <w:r>
              <w:rPr>
                <w:snapToGrid w:val="0"/>
                <w:sz w:val="18"/>
              </w:rPr>
              <w:t>1998</w:t>
            </w:r>
          </w:p>
        </w:tc>
        <w:tc>
          <w:tcPr>
            <w:tcW w:w="850" w:type="dxa"/>
            <w:gridSpan w:val="2"/>
            <w:tcBorders>
              <w:bottom w:val="nil"/>
            </w:tcBorders>
          </w:tcPr>
          <w:p w:rsidR="00000000" w:rsidRDefault="00000000">
            <w:pPr>
              <w:jc w:val="right"/>
              <w:rPr>
                <w:snapToGrid w:val="0"/>
                <w:sz w:val="18"/>
              </w:rPr>
            </w:pPr>
            <w:r>
              <w:rPr>
                <w:snapToGrid w:val="0"/>
                <w:sz w:val="18"/>
              </w:rPr>
              <w:t>24 261</w:t>
            </w:r>
          </w:p>
        </w:tc>
        <w:tc>
          <w:tcPr>
            <w:tcW w:w="999" w:type="dxa"/>
            <w:gridSpan w:val="2"/>
            <w:tcBorders>
              <w:bottom w:val="nil"/>
            </w:tcBorders>
          </w:tcPr>
          <w:p w:rsidR="00000000" w:rsidRDefault="00000000">
            <w:pPr>
              <w:ind w:right="113"/>
              <w:jc w:val="right"/>
              <w:rPr>
                <w:snapToGrid w:val="0"/>
                <w:sz w:val="18"/>
              </w:rPr>
            </w:pPr>
            <w:r>
              <w:rPr>
                <w:snapToGrid w:val="0"/>
                <w:sz w:val="18"/>
              </w:rPr>
              <w:t>2 742</w:t>
            </w:r>
          </w:p>
        </w:tc>
        <w:tc>
          <w:tcPr>
            <w:tcW w:w="869" w:type="dxa"/>
            <w:gridSpan w:val="2"/>
            <w:tcBorders>
              <w:bottom w:val="nil"/>
            </w:tcBorders>
          </w:tcPr>
          <w:p w:rsidR="00000000" w:rsidRDefault="00000000">
            <w:pPr>
              <w:ind w:right="57"/>
              <w:jc w:val="right"/>
              <w:rPr>
                <w:snapToGrid w:val="0"/>
                <w:sz w:val="18"/>
              </w:rPr>
            </w:pPr>
            <w:r>
              <w:rPr>
                <w:snapToGrid w:val="0"/>
                <w:sz w:val="18"/>
              </w:rPr>
              <w:t>20 791</w:t>
            </w:r>
          </w:p>
        </w:tc>
        <w:tc>
          <w:tcPr>
            <w:tcW w:w="992" w:type="dxa"/>
            <w:gridSpan w:val="2"/>
            <w:tcBorders>
              <w:bottom w:val="nil"/>
            </w:tcBorders>
          </w:tcPr>
          <w:p w:rsidR="00000000" w:rsidRDefault="00000000">
            <w:pPr>
              <w:ind w:right="113"/>
              <w:jc w:val="right"/>
              <w:rPr>
                <w:snapToGrid w:val="0"/>
                <w:sz w:val="18"/>
              </w:rPr>
            </w:pPr>
            <w:r>
              <w:rPr>
                <w:snapToGrid w:val="0"/>
                <w:sz w:val="18"/>
              </w:rPr>
              <w:t>11 212</w:t>
            </w:r>
          </w:p>
        </w:tc>
        <w:tc>
          <w:tcPr>
            <w:tcW w:w="1134" w:type="dxa"/>
            <w:gridSpan w:val="2"/>
            <w:tcBorders>
              <w:bottom w:val="nil"/>
            </w:tcBorders>
          </w:tcPr>
          <w:p w:rsidR="00000000" w:rsidRDefault="00000000">
            <w:pPr>
              <w:ind w:right="113"/>
              <w:jc w:val="right"/>
              <w:rPr>
                <w:snapToGrid w:val="0"/>
                <w:sz w:val="18"/>
              </w:rPr>
            </w:pPr>
            <w:r>
              <w:rPr>
                <w:snapToGrid w:val="0"/>
                <w:sz w:val="18"/>
              </w:rPr>
              <w:t>9 579</w:t>
            </w:r>
          </w:p>
        </w:tc>
        <w:tc>
          <w:tcPr>
            <w:tcW w:w="992" w:type="dxa"/>
            <w:gridSpan w:val="2"/>
            <w:tcBorders>
              <w:bottom w:val="nil"/>
            </w:tcBorders>
          </w:tcPr>
          <w:p w:rsidR="00000000" w:rsidRDefault="00000000">
            <w:pPr>
              <w:ind w:right="113"/>
              <w:jc w:val="right"/>
              <w:rPr>
                <w:snapToGrid w:val="0"/>
                <w:sz w:val="18"/>
              </w:rPr>
            </w:pPr>
            <w:r>
              <w:rPr>
                <w:snapToGrid w:val="0"/>
                <w:sz w:val="18"/>
              </w:rPr>
              <w:t>510</w:t>
            </w:r>
          </w:p>
        </w:tc>
        <w:tc>
          <w:tcPr>
            <w:tcW w:w="705" w:type="dxa"/>
            <w:gridSpan w:val="2"/>
            <w:tcBorders>
              <w:bottom w:val="nil"/>
            </w:tcBorders>
          </w:tcPr>
          <w:p w:rsidR="00000000" w:rsidRDefault="00000000">
            <w:pPr>
              <w:ind w:right="57"/>
              <w:jc w:val="right"/>
              <w:rPr>
                <w:snapToGrid w:val="0"/>
                <w:sz w:val="18"/>
              </w:rPr>
            </w:pPr>
            <w:r>
              <w:rPr>
                <w:snapToGrid w:val="0"/>
                <w:sz w:val="18"/>
              </w:rPr>
              <w:t>218</w:t>
            </w:r>
          </w:p>
        </w:tc>
      </w:tr>
      <w:tr w:rsidR="00000000">
        <w:tblPrEx>
          <w:tblCellMar>
            <w:top w:w="0" w:type="dxa"/>
            <w:bottom w:w="0" w:type="dxa"/>
          </w:tblCellMar>
        </w:tblPrEx>
        <w:trPr>
          <w:gridAfter w:val="1"/>
          <w:wAfter w:w="71" w:type="dxa"/>
          <w:cantSplit/>
          <w:trHeight w:val="155"/>
          <w:jc w:val="center"/>
        </w:trPr>
        <w:tc>
          <w:tcPr>
            <w:tcW w:w="1891" w:type="dxa"/>
            <w:gridSpan w:val="2"/>
            <w:tcBorders>
              <w:top w:val="nil"/>
              <w:bottom w:val="single" w:sz="4" w:space="0" w:color="auto"/>
            </w:tcBorders>
          </w:tcPr>
          <w:p w:rsidR="00000000" w:rsidRDefault="00000000">
            <w:pPr>
              <w:rPr>
                <w:snapToGrid w:val="0"/>
                <w:sz w:val="18"/>
              </w:rPr>
            </w:pPr>
          </w:p>
        </w:tc>
        <w:tc>
          <w:tcPr>
            <w:tcW w:w="684" w:type="dxa"/>
            <w:gridSpan w:val="2"/>
            <w:tcBorders>
              <w:top w:val="nil"/>
              <w:bottom w:val="single" w:sz="4" w:space="0" w:color="auto"/>
            </w:tcBorders>
          </w:tcPr>
          <w:p w:rsidR="00000000" w:rsidRDefault="00000000">
            <w:pPr>
              <w:rPr>
                <w:snapToGrid w:val="0"/>
                <w:sz w:val="18"/>
              </w:rPr>
            </w:pPr>
            <w:r>
              <w:rPr>
                <w:snapToGrid w:val="0"/>
                <w:sz w:val="18"/>
              </w:rPr>
              <w:t>1999</w:t>
            </w:r>
          </w:p>
        </w:tc>
        <w:tc>
          <w:tcPr>
            <w:tcW w:w="850" w:type="dxa"/>
            <w:gridSpan w:val="2"/>
            <w:tcBorders>
              <w:top w:val="nil"/>
              <w:bottom w:val="single" w:sz="4" w:space="0" w:color="auto"/>
            </w:tcBorders>
          </w:tcPr>
          <w:p w:rsidR="00000000" w:rsidRDefault="00000000">
            <w:pPr>
              <w:jc w:val="right"/>
              <w:rPr>
                <w:snapToGrid w:val="0"/>
                <w:sz w:val="18"/>
              </w:rPr>
            </w:pPr>
            <w:r>
              <w:rPr>
                <w:snapToGrid w:val="0"/>
                <w:sz w:val="18"/>
              </w:rPr>
              <w:t>23 413</w:t>
            </w:r>
          </w:p>
        </w:tc>
        <w:tc>
          <w:tcPr>
            <w:tcW w:w="999" w:type="dxa"/>
            <w:gridSpan w:val="2"/>
            <w:tcBorders>
              <w:top w:val="nil"/>
              <w:bottom w:val="single" w:sz="4" w:space="0" w:color="auto"/>
            </w:tcBorders>
          </w:tcPr>
          <w:p w:rsidR="00000000" w:rsidRDefault="00000000">
            <w:pPr>
              <w:ind w:right="113"/>
              <w:jc w:val="right"/>
              <w:rPr>
                <w:snapToGrid w:val="0"/>
                <w:sz w:val="18"/>
              </w:rPr>
            </w:pPr>
            <w:r>
              <w:rPr>
                <w:snapToGrid w:val="0"/>
                <w:sz w:val="18"/>
              </w:rPr>
              <w:t>1 485</w:t>
            </w:r>
          </w:p>
        </w:tc>
        <w:tc>
          <w:tcPr>
            <w:tcW w:w="869" w:type="dxa"/>
            <w:gridSpan w:val="2"/>
            <w:tcBorders>
              <w:top w:val="nil"/>
              <w:bottom w:val="single" w:sz="4" w:space="0" w:color="auto"/>
            </w:tcBorders>
          </w:tcPr>
          <w:p w:rsidR="00000000" w:rsidRDefault="00000000">
            <w:pPr>
              <w:ind w:right="57"/>
              <w:jc w:val="right"/>
              <w:rPr>
                <w:snapToGrid w:val="0"/>
                <w:sz w:val="18"/>
              </w:rPr>
            </w:pPr>
            <w:r>
              <w:rPr>
                <w:snapToGrid w:val="0"/>
                <w:sz w:val="18"/>
              </w:rPr>
              <w:t>21 128</w:t>
            </w:r>
          </w:p>
        </w:tc>
        <w:tc>
          <w:tcPr>
            <w:tcW w:w="992" w:type="dxa"/>
            <w:gridSpan w:val="2"/>
            <w:tcBorders>
              <w:top w:val="nil"/>
              <w:bottom w:val="single" w:sz="4" w:space="0" w:color="auto"/>
            </w:tcBorders>
          </w:tcPr>
          <w:p w:rsidR="00000000" w:rsidRDefault="00000000">
            <w:pPr>
              <w:ind w:right="113"/>
              <w:jc w:val="right"/>
              <w:rPr>
                <w:snapToGrid w:val="0"/>
                <w:sz w:val="18"/>
              </w:rPr>
            </w:pPr>
            <w:r>
              <w:rPr>
                <w:snapToGrid w:val="0"/>
                <w:sz w:val="18"/>
              </w:rPr>
              <w:t>10 990</w:t>
            </w:r>
          </w:p>
        </w:tc>
        <w:tc>
          <w:tcPr>
            <w:tcW w:w="1134" w:type="dxa"/>
            <w:gridSpan w:val="2"/>
            <w:tcBorders>
              <w:top w:val="nil"/>
              <w:bottom w:val="single" w:sz="4" w:space="0" w:color="auto"/>
            </w:tcBorders>
          </w:tcPr>
          <w:p w:rsidR="00000000" w:rsidRDefault="00000000">
            <w:pPr>
              <w:ind w:right="113"/>
              <w:jc w:val="right"/>
              <w:rPr>
                <w:snapToGrid w:val="0"/>
                <w:sz w:val="18"/>
              </w:rPr>
            </w:pPr>
            <w:r>
              <w:rPr>
                <w:snapToGrid w:val="0"/>
                <w:sz w:val="18"/>
              </w:rPr>
              <w:t>10 138</w:t>
            </w:r>
          </w:p>
        </w:tc>
        <w:tc>
          <w:tcPr>
            <w:tcW w:w="992" w:type="dxa"/>
            <w:gridSpan w:val="2"/>
            <w:tcBorders>
              <w:top w:val="nil"/>
              <w:bottom w:val="single" w:sz="4" w:space="0" w:color="auto"/>
            </w:tcBorders>
          </w:tcPr>
          <w:p w:rsidR="00000000" w:rsidRDefault="00000000">
            <w:pPr>
              <w:ind w:right="113"/>
              <w:jc w:val="right"/>
              <w:rPr>
                <w:snapToGrid w:val="0"/>
                <w:sz w:val="18"/>
              </w:rPr>
            </w:pPr>
            <w:r>
              <w:rPr>
                <w:snapToGrid w:val="0"/>
                <w:sz w:val="18"/>
              </w:rPr>
              <w:t>573</w:t>
            </w:r>
          </w:p>
        </w:tc>
        <w:tc>
          <w:tcPr>
            <w:tcW w:w="705" w:type="dxa"/>
            <w:gridSpan w:val="2"/>
            <w:tcBorders>
              <w:top w:val="nil"/>
              <w:bottom w:val="single" w:sz="4" w:space="0" w:color="auto"/>
            </w:tcBorders>
          </w:tcPr>
          <w:p w:rsidR="00000000" w:rsidRDefault="00000000">
            <w:pPr>
              <w:ind w:right="57"/>
              <w:jc w:val="right"/>
              <w:rPr>
                <w:snapToGrid w:val="0"/>
                <w:sz w:val="18"/>
              </w:rPr>
            </w:pPr>
            <w:r>
              <w:rPr>
                <w:snapToGrid w:val="0"/>
                <w:sz w:val="18"/>
              </w:rPr>
              <w:t>227</w:t>
            </w:r>
          </w:p>
        </w:tc>
      </w:tr>
      <w:tr w:rsidR="00000000">
        <w:tblPrEx>
          <w:tblCellMar>
            <w:top w:w="0" w:type="dxa"/>
            <w:bottom w:w="0" w:type="dxa"/>
          </w:tblCellMar>
        </w:tblPrEx>
        <w:trPr>
          <w:gridAfter w:val="1"/>
          <w:wAfter w:w="71" w:type="dxa"/>
          <w:cantSplit/>
          <w:trHeight w:val="155"/>
          <w:jc w:val="center"/>
        </w:trPr>
        <w:tc>
          <w:tcPr>
            <w:tcW w:w="1891" w:type="dxa"/>
            <w:gridSpan w:val="2"/>
            <w:tcBorders>
              <w:top w:val="single" w:sz="4" w:space="0" w:color="auto"/>
            </w:tcBorders>
          </w:tcPr>
          <w:p w:rsidR="00000000" w:rsidRDefault="00000000">
            <w:pPr>
              <w:rPr>
                <w:snapToGrid w:val="0"/>
                <w:sz w:val="18"/>
              </w:rPr>
            </w:pPr>
          </w:p>
        </w:tc>
        <w:tc>
          <w:tcPr>
            <w:tcW w:w="684" w:type="dxa"/>
            <w:gridSpan w:val="2"/>
            <w:tcBorders>
              <w:top w:val="single" w:sz="4" w:space="0" w:color="auto"/>
            </w:tcBorders>
          </w:tcPr>
          <w:p w:rsidR="00000000" w:rsidRDefault="00000000">
            <w:pPr>
              <w:rPr>
                <w:snapToGrid w:val="0"/>
                <w:sz w:val="18"/>
              </w:rPr>
            </w:pPr>
            <w:r>
              <w:rPr>
                <w:snapToGrid w:val="0"/>
                <w:sz w:val="18"/>
              </w:rPr>
              <w:t>1997</w:t>
            </w:r>
          </w:p>
        </w:tc>
        <w:tc>
          <w:tcPr>
            <w:tcW w:w="850" w:type="dxa"/>
            <w:gridSpan w:val="2"/>
            <w:tcBorders>
              <w:top w:val="single" w:sz="4" w:space="0" w:color="auto"/>
            </w:tcBorders>
          </w:tcPr>
          <w:p w:rsidR="00000000" w:rsidRDefault="00000000">
            <w:pPr>
              <w:jc w:val="right"/>
              <w:rPr>
                <w:snapToGrid w:val="0"/>
                <w:sz w:val="18"/>
              </w:rPr>
            </w:pPr>
            <w:r>
              <w:rPr>
                <w:snapToGrid w:val="0"/>
                <w:sz w:val="18"/>
              </w:rPr>
              <w:t>38 812</w:t>
            </w:r>
          </w:p>
        </w:tc>
        <w:tc>
          <w:tcPr>
            <w:tcW w:w="999" w:type="dxa"/>
            <w:gridSpan w:val="2"/>
            <w:tcBorders>
              <w:top w:val="single" w:sz="4" w:space="0" w:color="auto"/>
            </w:tcBorders>
          </w:tcPr>
          <w:p w:rsidR="00000000" w:rsidRDefault="00000000">
            <w:pPr>
              <w:ind w:right="113"/>
              <w:jc w:val="right"/>
              <w:rPr>
                <w:snapToGrid w:val="0"/>
                <w:sz w:val="18"/>
              </w:rPr>
            </w:pPr>
            <w:r>
              <w:rPr>
                <w:snapToGrid w:val="0"/>
                <w:sz w:val="18"/>
              </w:rPr>
              <w:t>2 911</w:t>
            </w:r>
          </w:p>
        </w:tc>
        <w:tc>
          <w:tcPr>
            <w:tcW w:w="869" w:type="dxa"/>
            <w:gridSpan w:val="2"/>
            <w:tcBorders>
              <w:top w:val="single" w:sz="4" w:space="0" w:color="auto"/>
            </w:tcBorders>
          </w:tcPr>
          <w:p w:rsidR="00000000" w:rsidRDefault="00000000">
            <w:pPr>
              <w:ind w:right="57"/>
              <w:jc w:val="right"/>
              <w:rPr>
                <w:snapToGrid w:val="0"/>
                <w:sz w:val="18"/>
              </w:rPr>
            </w:pPr>
            <w:r>
              <w:rPr>
                <w:snapToGrid w:val="0"/>
                <w:sz w:val="18"/>
              </w:rPr>
              <w:t>34 717</w:t>
            </w:r>
          </w:p>
        </w:tc>
        <w:tc>
          <w:tcPr>
            <w:tcW w:w="992" w:type="dxa"/>
            <w:gridSpan w:val="2"/>
            <w:tcBorders>
              <w:top w:val="single" w:sz="4" w:space="0" w:color="auto"/>
            </w:tcBorders>
          </w:tcPr>
          <w:p w:rsidR="00000000" w:rsidRDefault="00000000">
            <w:pPr>
              <w:ind w:right="113"/>
              <w:jc w:val="right"/>
              <w:rPr>
                <w:snapToGrid w:val="0"/>
                <w:sz w:val="18"/>
              </w:rPr>
            </w:pPr>
            <w:r>
              <w:rPr>
                <w:snapToGrid w:val="0"/>
                <w:sz w:val="18"/>
              </w:rPr>
              <w:t>15 115</w:t>
            </w:r>
          </w:p>
        </w:tc>
        <w:tc>
          <w:tcPr>
            <w:tcW w:w="1134" w:type="dxa"/>
            <w:gridSpan w:val="2"/>
            <w:tcBorders>
              <w:top w:val="single" w:sz="4" w:space="0" w:color="auto"/>
            </w:tcBorders>
          </w:tcPr>
          <w:p w:rsidR="00000000" w:rsidRDefault="00000000">
            <w:pPr>
              <w:ind w:right="113"/>
              <w:jc w:val="right"/>
              <w:rPr>
                <w:snapToGrid w:val="0"/>
                <w:sz w:val="18"/>
              </w:rPr>
            </w:pPr>
            <w:r>
              <w:rPr>
                <w:snapToGrid w:val="0"/>
                <w:sz w:val="18"/>
              </w:rPr>
              <w:t>19 602</w:t>
            </w:r>
          </w:p>
        </w:tc>
        <w:tc>
          <w:tcPr>
            <w:tcW w:w="992" w:type="dxa"/>
            <w:gridSpan w:val="2"/>
            <w:tcBorders>
              <w:top w:val="single" w:sz="4" w:space="0" w:color="auto"/>
            </w:tcBorders>
          </w:tcPr>
          <w:p w:rsidR="00000000" w:rsidRDefault="00000000">
            <w:pPr>
              <w:ind w:right="113"/>
              <w:jc w:val="right"/>
              <w:rPr>
                <w:snapToGrid w:val="0"/>
                <w:sz w:val="18"/>
              </w:rPr>
            </w:pPr>
            <w:r>
              <w:rPr>
                <w:snapToGrid w:val="0"/>
                <w:sz w:val="18"/>
              </w:rPr>
              <w:t>969</w:t>
            </w:r>
          </w:p>
        </w:tc>
        <w:tc>
          <w:tcPr>
            <w:tcW w:w="705" w:type="dxa"/>
            <w:gridSpan w:val="2"/>
            <w:tcBorders>
              <w:top w:val="single" w:sz="4" w:space="0" w:color="auto"/>
            </w:tcBorders>
          </w:tcPr>
          <w:p w:rsidR="00000000" w:rsidRDefault="00000000">
            <w:pPr>
              <w:ind w:right="57"/>
              <w:jc w:val="right"/>
              <w:rPr>
                <w:snapToGrid w:val="0"/>
                <w:sz w:val="18"/>
              </w:rPr>
            </w:pPr>
            <w:r>
              <w:rPr>
                <w:snapToGrid w:val="0"/>
                <w:sz w:val="18"/>
              </w:rPr>
              <w:t>215</w:t>
            </w:r>
          </w:p>
        </w:tc>
      </w:tr>
      <w:tr w:rsidR="00000000">
        <w:tblPrEx>
          <w:tblCellMar>
            <w:top w:w="0" w:type="dxa"/>
            <w:bottom w:w="0" w:type="dxa"/>
          </w:tblCellMar>
        </w:tblPrEx>
        <w:trPr>
          <w:gridAfter w:val="1"/>
          <w:wAfter w:w="71" w:type="dxa"/>
          <w:cantSplit/>
          <w:trHeight w:val="155"/>
          <w:jc w:val="center"/>
        </w:trPr>
        <w:tc>
          <w:tcPr>
            <w:tcW w:w="1891" w:type="dxa"/>
            <w:gridSpan w:val="2"/>
            <w:tcBorders>
              <w:bottom w:val="nil"/>
            </w:tcBorders>
          </w:tcPr>
          <w:p w:rsidR="00000000" w:rsidRDefault="00000000">
            <w:pPr>
              <w:rPr>
                <w:snapToGrid w:val="0"/>
                <w:sz w:val="18"/>
              </w:rPr>
            </w:pPr>
            <w:r>
              <w:rPr>
                <w:snapToGrid w:val="0"/>
                <w:sz w:val="18"/>
              </w:rPr>
              <w:t>Rio Grande do Sul</w:t>
            </w:r>
          </w:p>
        </w:tc>
        <w:tc>
          <w:tcPr>
            <w:tcW w:w="684" w:type="dxa"/>
            <w:gridSpan w:val="2"/>
            <w:tcBorders>
              <w:bottom w:val="nil"/>
            </w:tcBorders>
          </w:tcPr>
          <w:p w:rsidR="00000000" w:rsidRDefault="00000000">
            <w:pPr>
              <w:rPr>
                <w:snapToGrid w:val="0"/>
                <w:sz w:val="18"/>
              </w:rPr>
            </w:pPr>
            <w:r>
              <w:rPr>
                <w:snapToGrid w:val="0"/>
                <w:sz w:val="18"/>
              </w:rPr>
              <w:t>1998</w:t>
            </w:r>
          </w:p>
        </w:tc>
        <w:tc>
          <w:tcPr>
            <w:tcW w:w="850" w:type="dxa"/>
            <w:gridSpan w:val="2"/>
            <w:tcBorders>
              <w:bottom w:val="nil"/>
            </w:tcBorders>
          </w:tcPr>
          <w:p w:rsidR="00000000" w:rsidRDefault="00000000">
            <w:pPr>
              <w:jc w:val="right"/>
              <w:rPr>
                <w:snapToGrid w:val="0"/>
                <w:sz w:val="18"/>
              </w:rPr>
            </w:pPr>
            <w:r>
              <w:rPr>
                <w:snapToGrid w:val="0"/>
                <w:sz w:val="18"/>
              </w:rPr>
              <w:t>35 394</w:t>
            </w:r>
          </w:p>
        </w:tc>
        <w:tc>
          <w:tcPr>
            <w:tcW w:w="999" w:type="dxa"/>
            <w:gridSpan w:val="2"/>
            <w:tcBorders>
              <w:bottom w:val="nil"/>
            </w:tcBorders>
          </w:tcPr>
          <w:p w:rsidR="00000000" w:rsidRDefault="00000000">
            <w:pPr>
              <w:ind w:right="113"/>
              <w:jc w:val="right"/>
              <w:rPr>
                <w:snapToGrid w:val="0"/>
                <w:sz w:val="18"/>
              </w:rPr>
            </w:pPr>
            <w:r>
              <w:rPr>
                <w:snapToGrid w:val="0"/>
                <w:sz w:val="18"/>
              </w:rPr>
              <w:t>2 570</w:t>
            </w:r>
          </w:p>
        </w:tc>
        <w:tc>
          <w:tcPr>
            <w:tcW w:w="869" w:type="dxa"/>
            <w:gridSpan w:val="2"/>
            <w:tcBorders>
              <w:bottom w:val="nil"/>
            </w:tcBorders>
          </w:tcPr>
          <w:p w:rsidR="00000000" w:rsidRDefault="00000000">
            <w:pPr>
              <w:ind w:right="57"/>
              <w:jc w:val="right"/>
              <w:rPr>
                <w:snapToGrid w:val="0"/>
                <w:sz w:val="18"/>
              </w:rPr>
            </w:pPr>
            <w:r>
              <w:rPr>
                <w:snapToGrid w:val="0"/>
                <w:sz w:val="18"/>
              </w:rPr>
              <w:t>31 381</w:t>
            </w:r>
          </w:p>
        </w:tc>
        <w:tc>
          <w:tcPr>
            <w:tcW w:w="992" w:type="dxa"/>
            <w:gridSpan w:val="2"/>
            <w:tcBorders>
              <w:bottom w:val="nil"/>
            </w:tcBorders>
          </w:tcPr>
          <w:p w:rsidR="00000000" w:rsidRDefault="00000000">
            <w:pPr>
              <w:ind w:right="113"/>
              <w:jc w:val="right"/>
              <w:rPr>
                <w:snapToGrid w:val="0"/>
                <w:sz w:val="18"/>
              </w:rPr>
            </w:pPr>
            <w:r>
              <w:rPr>
                <w:snapToGrid w:val="0"/>
                <w:sz w:val="18"/>
              </w:rPr>
              <w:t>11 772</w:t>
            </w:r>
          </w:p>
        </w:tc>
        <w:tc>
          <w:tcPr>
            <w:tcW w:w="1134" w:type="dxa"/>
            <w:gridSpan w:val="2"/>
            <w:tcBorders>
              <w:bottom w:val="nil"/>
            </w:tcBorders>
          </w:tcPr>
          <w:p w:rsidR="00000000" w:rsidRDefault="00000000">
            <w:pPr>
              <w:ind w:right="113"/>
              <w:jc w:val="right"/>
              <w:rPr>
                <w:snapToGrid w:val="0"/>
                <w:sz w:val="18"/>
              </w:rPr>
            </w:pPr>
            <w:r>
              <w:rPr>
                <w:snapToGrid w:val="0"/>
                <w:sz w:val="18"/>
              </w:rPr>
              <w:t>19 609</w:t>
            </w:r>
          </w:p>
        </w:tc>
        <w:tc>
          <w:tcPr>
            <w:tcW w:w="992" w:type="dxa"/>
            <w:gridSpan w:val="2"/>
            <w:tcBorders>
              <w:bottom w:val="nil"/>
            </w:tcBorders>
          </w:tcPr>
          <w:p w:rsidR="00000000" w:rsidRDefault="00000000">
            <w:pPr>
              <w:ind w:right="113"/>
              <w:jc w:val="right"/>
              <w:rPr>
                <w:snapToGrid w:val="0"/>
                <w:sz w:val="18"/>
              </w:rPr>
            </w:pPr>
            <w:r>
              <w:rPr>
                <w:snapToGrid w:val="0"/>
                <w:sz w:val="18"/>
              </w:rPr>
              <w:t>1 212</w:t>
            </w:r>
          </w:p>
        </w:tc>
        <w:tc>
          <w:tcPr>
            <w:tcW w:w="705" w:type="dxa"/>
            <w:gridSpan w:val="2"/>
            <w:tcBorders>
              <w:bottom w:val="nil"/>
            </w:tcBorders>
          </w:tcPr>
          <w:p w:rsidR="00000000" w:rsidRDefault="00000000">
            <w:pPr>
              <w:ind w:right="57"/>
              <w:jc w:val="right"/>
              <w:rPr>
                <w:snapToGrid w:val="0"/>
                <w:sz w:val="18"/>
              </w:rPr>
            </w:pPr>
            <w:r>
              <w:rPr>
                <w:snapToGrid w:val="0"/>
                <w:sz w:val="18"/>
              </w:rPr>
              <w:t>231</w:t>
            </w:r>
          </w:p>
        </w:tc>
      </w:tr>
      <w:tr w:rsidR="00000000">
        <w:tblPrEx>
          <w:tblCellMar>
            <w:top w:w="0" w:type="dxa"/>
            <w:bottom w:w="0" w:type="dxa"/>
          </w:tblCellMar>
        </w:tblPrEx>
        <w:trPr>
          <w:gridAfter w:val="1"/>
          <w:wAfter w:w="71" w:type="dxa"/>
          <w:cantSplit/>
          <w:trHeight w:val="155"/>
          <w:jc w:val="center"/>
        </w:trPr>
        <w:tc>
          <w:tcPr>
            <w:tcW w:w="1891" w:type="dxa"/>
            <w:gridSpan w:val="2"/>
            <w:tcBorders>
              <w:top w:val="nil"/>
              <w:bottom w:val="single" w:sz="4" w:space="0" w:color="auto"/>
            </w:tcBorders>
          </w:tcPr>
          <w:p w:rsidR="00000000" w:rsidRDefault="00000000">
            <w:pPr>
              <w:rPr>
                <w:snapToGrid w:val="0"/>
                <w:sz w:val="18"/>
              </w:rPr>
            </w:pPr>
          </w:p>
        </w:tc>
        <w:tc>
          <w:tcPr>
            <w:tcW w:w="684" w:type="dxa"/>
            <w:gridSpan w:val="2"/>
            <w:tcBorders>
              <w:top w:val="nil"/>
              <w:bottom w:val="single" w:sz="4" w:space="0" w:color="auto"/>
            </w:tcBorders>
          </w:tcPr>
          <w:p w:rsidR="00000000" w:rsidRDefault="00000000">
            <w:pPr>
              <w:rPr>
                <w:snapToGrid w:val="0"/>
                <w:sz w:val="18"/>
              </w:rPr>
            </w:pPr>
            <w:r>
              <w:rPr>
                <w:snapToGrid w:val="0"/>
                <w:sz w:val="18"/>
              </w:rPr>
              <w:t>1999</w:t>
            </w:r>
          </w:p>
        </w:tc>
        <w:tc>
          <w:tcPr>
            <w:tcW w:w="850" w:type="dxa"/>
            <w:gridSpan w:val="2"/>
            <w:tcBorders>
              <w:top w:val="nil"/>
              <w:bottom w:val="single" w:sz="4" w:space="0" w:color="auto"/>
            </w:tcBorders>
          </w:tcPr>
          <w:p w:rsidR="00000000" w:rsidRDefault="00000000">
            <w:pPr>
              <w:jc w:val="right"/>
              <w:rPr>
                <w:snapToGrid w:val="0"/>
                <w:sz w:val="18"/>
              </w:rPr>
            </w:pPr>
            <w:r>
              <w:rPr>
                <w:snapToGrid w:val="0"/>
                <w:sz w:val="18"/>
              </w:rPr>
              <w:t>34 624</w:t>
            </w:r>
          </w:p>
        </w:tc>
        <w:tc>
          <w:tcPr>
            <w:tcW w:w="999" w:type="dxa"/>
            <w:gridSpan w:val="2"/>
            <w:tcBorders>
              <w:top w:val="nil"/>
              <w:bottom w:val="single" w:sz="4" w:space="0" w:color="auto"/>
            </w:tcBorders>
          </w:tcPr>
          <w:p w:rsidR="00000000" w:rsidRDefault="00000000">
            <w:pPr>
              <w:ind w:right="113"/>
              <w:jc w:val="right"/>
              <w:rPr>
                <w:snapToGrid w:val="0"/>
                <w:sz w:val="18"/>
              </w:rPr>
            </w:pPr>
            <w:r>
              <w:rPr>
                <w:snapToGrid w:val="0"/>
                <w:sz w:val="18"/>
              </w:rPr>
              <w:t>2 726</w:t>
            </w:r>
          </w:p>
        </w:tc>
        <w:tc>
          <w:tcPr>
            <w:tcW w:w="869" w:type="dxa"/>
            <w:gridSpan w:val="2"/>
            <w:tcBorders>
              <w:top w:val="nil"/>
              <w:bottom w:val="single" w:sz="4" w:space="0" w:color="auto"/>
            </w:tcBorders>
          </w:tcPr>
          <w:p w:rsidR="00000000" w:rsidRDefault="00000000">
            <w:pPr>
              <w:ind w:right="57"/>
              <w:jc w:val="right"/>
              <w:rPr>
                <w:snapToGrid w:val="0"/>
                <w:sz w:val="18"/>
              </w:rPr>
            </w:pPr>
            <w:r>
              <w:rPr>
                <w:snapToGrid w:val="0"/>
                <w:sz w:val="18"/>
              </w:rPr>
              <w:t>30 445</w:t>
            </w:r>
          </w:p>
        </w:tc>
        <w:tc>
          <w:tcPr>
            <w:tcW w:w="992" w:type="dxa"/>
            <w:gridSpan w:val="2"/>
            <w:tcBorders>
              <w:top w:val="nil"/>
              <w:bottom w:val="single" w:sz="4" w:space="0" w:color="auto"/>
            </w:tcBorders>
          </w:tcPr>
          <w:p w:rsidR="00000000" w:rsidRDefault="00000000">
            <w:pPr>
              <w:ind w:right="113"/>
              <w:jc w:val="right"/>
              <w:rPr>
                <w:snapToGrid w:val="0"/>
                <w:sz w:val="18"/>
              </w:rPr>
            </w:pPr>
            <w:r>
              <w:rPr>
                <w:snapToGrid w:val="0"/>
                <w:sz w:val="18"/>
              </w:rPr>
              <w:t>11 331</w:t>
            </w:r>
          </w:p>
        </w:tc>
        <w:tc>
          <w:tcPr>
            <w:tcW w:w="1134" w:type="dxa"/>
            <w:gridSpan w:val="2"/>
            <w:tcBorders>
              <w:top w:val="nil"/>
              <w:bottom w:val="single" w:sz="4" w:space="0" w:color="auto"/>
            </w:tcBorders>
          </w:tcPr>
          <w:p w:rsidR="00000000" w:rsidRDefault="00000000">
            <w:pPr>
              <w:ind w:right="113"/>
              <w:jc w:val="right"/>
              <w:rPr>
                <w:snapToGrid w:val="0"/>
                <w:sz w:val="18"/>
              </w:rPr>
            </w:pPr>
            <w:r>
              <w:rPr>
                <w:snapToGrid w:val="0"/>
                <w:sz w:val="18"/>
              </w:rPr>
              <w:t>19 114</w:t>
            </w:r>
          </w:p>
        </w:tc>
        <w:tc>
          <w:tcPr>
            <w:tcW w:w="992" w:type="dxa"/>
            <w:gridSpan w:val="2"/>
            <w:tcBorders>
              <w:top w:val="nil"/>
              <w:bottom w:val="single" w:sz="4" w:space="0" w:color="auto"/>
            </w:tcBorders>
          </w:tcPr>
          <w:p w:rsidR="00000000" w:rsidRDefault="00000000">
            <w:pPr>
              <w:ind w:right="113"/>
              <w:jc w:val="right"/>
              <w:rPr>
                <w:snapToGrid w:val="0"/>
                <w:sz w:val="18"/>
              </w:rPr>
            </w:pPr>
            <w:r>
              <w:rPr>
                <w:snapToGrid w:val="0"/>
                <w:sz w:val="18"/>
              </w:rPr>
              <w:t>1 214</w:t>
            </w:r>
          </w:p>
        </w:tc>
        <w:tc>
          <w:tcPr>
            <w:tcW w:w="705" w:type="dxa"/>
            <w:gridSpan w:val="2"/>
            <w:tcBorders>
              <w:top w:val="nil"/>
              <w:bottom w:val="single" w:sz="4" w:space="0" w:color="auto"/>
            </w:tcBorders>
          </w:tcPr>
          <w:p w:rsidR="00000000" w:rsidRDefault="00000000">
            <w:pPr>
              <w:ind w:right="57"/>
              <w:jc w:val="right"/>
              <w:rPr>
                <w:snapToGrid w:val="0"/>
                <w:sz w:val="18"/>
              </w:rPr>
            </w:pPr>
            <w:r>
              <w:rPr>
                <w:snapToGrid w:val="0"/>
                <w:sz w:val="18"/>
              </w:rPr>
              <w:t>239</w:t>
            </w:r>
          </w:p>
        </w:tc>
      </w:tr>
      <w:tr w:rsidR="00000000">
        <w:tblPrEx>
          <w:tblCellMar>
            <w:top w:w="0" w:type="dxa"/>
            <w:bottom w:w="0" w:type="dxa"/>
          </w:tblCellMar>
        </w:tblPrEx>
        <w:trPr>
          <w:gridAfter w:val="1"/>
          <w:wAfter w:w="71" w:type="dxa"/>
          <w:cantSplit/>
          <w:trHeight w:val="155"/>
          <w:jc w:val="center"/>
        </w:trPr>
        <w:tc>
          <w:tcPr>
            <w:tcW w:w="1891" w:type="dxa"/>
            <w:gridSpan w:val="2"/>
            <w:tcBorders>
              <w:top w:val="single" w:sz="4" w:space="0" w:color="auto"/>
            </w:tcBorders>
          </w:tcPr>
          <w:p w:rsidR="00000000" w:rsidRDefault="00000000">
            <w:pPr>
              <w:rPr>
                <w:snapToGrid w:val="0"/>
                <w:sz w:val="18"/>
              </w:rPr>
            </w:pPr>
            <w:r>
              <w:rPr>
                <w:b/>
                <w:snapToGrid w:val="0"/>
                <w:sz w:val="18"/>
              </w:rPr>
              <w:t>Central</w:t>
            </w:r>
          </w:p>
        </w:tc>
        <w:tc>
          <w:tcPr>
            <w:tcW w:w="684" w:type="dxa"/>
            <w:gridSpan w:val="2"/>
            <w:tcBorders>
              <w:top w:val="single" w:sz="4" w:space="0" w:color="auto"/>
            </w:tcBorders>
          </w:tcPr>
          <w:p w:rsidR="00000000" w:rsidRDefault="00000000">
            <w:pPr>
              <w:rPr>
                <w:b/>
                <w:snapToGrid w:val="0"/>
                <w:sz w:val="18"/>
              </w:rPr>
            </w:pPr>
            <w:r>
              <w:rPr>
                <w:b/>
                <w:snapToGrid w:val="0"/>
                <w:sz w:val="18"/>
              </w:rPr>
              <w:t>1997</w:t>
            </w:r>
          </w:p>
        </w:tc>
        <w:tc>
          <w:tcPr>
            <w:tcW w:w="850" w:type="dxa"/>
            <w:gridSpan w:val="2"/>
            <w:tcBorders>
              <w:top w:val="single" w:sz="4" w:space="0" w:color="auto"/>
            </w:tcBorders>
          </w:tcPr>
          <w:p w:rsidR="00000000" w:rsidRDefault="00000000">
            <w:pPr>
              <w:jc w:val="right"/>
              <w:rPr>
                <w:b/>
                <w:snapToGrid w:val="0"/>
                <w:sz w:val="18"/>
              </w:rPr>
            </w:pPr>
            <w:r>
              <w:rPr>
                <w:b/>
                <w:snapToGrid w:val="0"/>
                <w:sz w:val="18"/>
              </w:rPr>
              <w:t>14 312</w:t>
            </w:r>
          </w:p>
        </w:tc>
        <w:tc>
          <w:tcPr>
            <w:tcW w:w="999" w:type="dxa"/>
            <w:gridSpan w:val="2"/>
            <w:tcBorders>
              <w:top w:val="single" w:sz="4" w:space="0" w:color="auto"/>
            </w:tcBorders>
          </w:tcPr>
          <w:p w:rsidR="00000000" w:rsidRDefault="00000000">
            <w:pPr>
              <w:ind w:right="113"/>
              <w:jc w:val="right"/>
              <w:rPr>
                <w:b/>
                <w:snapToGrid w:val="0"/>
                <w:sz w:val="18"/>
              </w:rPr>
            </w:pPr>
            <w:r>
              <w:rPr>
                <w:b/>
                <w:snapToGrid w:val="0"/>
                <w:sz w:val="18"/>
              </w:rPr>
              <w:t>611</w:t>
            </w:r>
          </w:p>
        </w:tc>
        <w:tc>
          <w:tcPr>
            <w:tcW w:w="869" w:type="dxa"/>
            <w:gridSpan w:val="2"/>
            <w:tcBorders>
              <w:top w:val="single" w:sz="4" w:space="0" w:color="auto"/>
            </w:tcBorders>
          </w:tcPr>
          <w:p w:rsidR="00000000" w:rsidRDefault="00000000">
            <w:pPr>
              <w:ind w:right="57"/>
              <w:jc w:val="right"/>
              <w:rPr>
                <w:b/>
                <w:snapToGrid w:val="0"/>
                <w:sz w:val="18"/>
              </w:rPr>
            </w:pPr>
            <w:r>
              <w:rPr>
                <w:b/>
                <w:snapToGrid w:val="0"/>
                <w:sz w:val="18"/>
              </w:rPr>
              <w:t>12 425</w:t>
            </w:r>
          </w:p>
        </w:tc>
        <w:tc>
          <w:tcPr>
            <w:tcW w:w="992" w:type="dxa"/>
            <w:gridSpan w:val="2"/>
            <w:tcBorders>
              <w:top w:val="single" w:sz="4" w:space="0" w:color="auto"/>
            </w:tcBorders>
          </w:tcPr>
          <w:p w:rsidR="00000000" w:rsidRDefault="00000000">
            <w:pPr>
              <w:ind w:right="113"/>
              <w:jc w:val="right"/>
              <w:rPr>
                <w:b/>
                <w:snapToGrid w:val="0"/>
                <w:sz w:val="18"/>
              </w:rPr>
            </w:pPr>
            <w:r>
              <w:rPr>
                <w:b/>
                <w:snapToGrid w:val="0"/>
                <w:sz w:val="18"/>
              </w:rPr>
              <w:t>4 814</w:t>
            </w:r>
          </w:p>
        </w:tc>
        <w:tc>
          <w:tcPr>
            <w:tcW w:w="1134" w:type="dxa"/>
            <w:gridSpan w:val="2"/>
            <w:tcBorders>
              <w:top w:val="single" w:sz="4" w:space="0" w:color="auto"/>
            </w:tcBorders>
          </w:tcPr>
          <w:p w:rsidR="00000000" w:rsidRDefault="00000000">
            <w:pPr>
              <w:ind w:right="113"/>
              <w:jc w:val="right"/>
              <w:rPr>
                <w:b/>
                <w:snapToGrid w:val="0"/>
                <w:sz w:val="18"/>
              </w:rPr>
            </w:pPr>
            <w:r>
              <w:rPr>
                <w:b/>
                <w:snapToGrid w:val="0"/>
                <w:sz w:val="18"/>
              </w:rPr>
              <w:t>7 611</w:t>
            </w:r>
          </w:p>
        </w:tc>
        <w:tc>
          <w:tcPr>
            <w:tcW w:w="992" w:type="dxa"/>
            <w:gridSpan w:val="2"/>
            <w:tcBorders>
              <w:top w:val="single" w:sz="4" w:space="0" w:color="auto"/>
            </w:tcBorders>
          </w:tcPr>
          <w:p w:rsidR="00000000" w:rsidRDefault="00000000">
            <w:pPr>
              <w:ind w:right="113"/>
              <w:jc w:val="right"/>
              <w:rPr>
                <w:b/>
                <w:snapToGrid w:val="0"/>
                <w:sz w:val="18"/>
              </w:rPr>
            </w:pPr>
            <w:r>
              <w:rPr>
                <w:b/>
                <w:snapToGrid w:val="0"/>
                <w:sz w:val="18"/>
              </w:rPr>
              <w:t>967</w:t>
            </w:r>
          </w:p>
        </w:tc>
        <w:tc>
          <w:tcPr>
            <w:tcW w:w="705" w:type="dxa"/>
            <w:gridSpan w:val="2"/>
            <w:tcBorders>
              <w:top w:val="single" w:sz="4" w:space="0" w:color="auto"/>
            </w:tcBorders>
          </w:tcPr>
          <w:p w:rsidR="00000000" w:rsidRDefault="00000000">
            <w:pPr>
              <w:ind w:right="57"/>
              <w:jc w:val="right"/>
              <w:rPr>
                <w:b/>
                <w:snapToGrid w:val="0"/>
                <w:sz w:val="18"/>
              </w:rPr>
            </w:pPr>
            <w:r>
              <w:rPr>
                <w:b/>
                <w:snapToGrid w:val="0"/>
                <w:sz w:val="18"/>
              </w:rPr>
              <w:t>309</w:t>
            </w:r>
          </w:p>
        </w:tc>
      </w:tr>
      <w:tr w:rsidR="00000000">
        <w:tblPrEx>
          <w:tblCellMar>
            <w:top w:w="0" w:type="dxa"/>
            <w:bottom w:w="0" w:type="dxa"/>
          </w:tblCellMar>
        </w:tblPrEx>
        <w:trPr>
          <w:gridAfter w:val="1"/>
          <w:wAfter w:w="71" w:type="dxa"/>
          <w:cantSplit/>
          <w:trHeight w:val="155"/>
          <w:jc w:val="center"/>
        </w:trPr>
        <w:tc>
          <w:tcPr>
            <w:tcW w:w="1891" w:type="dxa"/>
            <w:gridSpan w:val="2"/>
            <w:tcBorders>
              <w:bottom w:val="nil"/>
            </w:tcBorders>
          </w:tcPr>
          <w:p w:rsidR="00000000" w:rsidRDefault="00000000">
            <w:pPr>
              <w:rPr>
                <w:b/>
                <w:snapToGrid w:val="0"/>
                <w:sz w:val="18"/>
              </w:rPr>
            </w:pPr>
            <w:r>
              <w:rPr>
                <w:b/>
                <w:snapToGrid w:val="0"/>
                <w:sz w:val="18"/>
              </w:rPr>
              <w:t>Western</w:t>
            </w:r>
          </w:p>
        </w:tc>
        <w:tc>
          <w:tcPr>
            <w:tcW w:w="684" w:type="dxa"/>
            <w:gridSpan w:val="2"/>
            <w:tcBorders>
              <w:bottom w:val="nil"/>
            </w:tcBorders>
          </w:tcPr>
          <w:p w:rsidR="00000000" w:rsidRDefault="00000000">
            <w:pPr>
              <w:rPr>
                <w:b/>
                <w:snapToGrid w:val="0"/>
                <w:sz w:val="18"/>
              </w:rPr>
            </w:pPr>
            <w:r>
              <w:rPr>
                <w:b/>
                <w:snapToGrid w:val="0"/>
                <w:sz w:val="18"/>
              </w:rPr>
              <w:t>1998</w:t>
            </w:r>
          </w:p>
        </w:tc>
        <w:tc>
          <w:tcPr>
            <w:tcW w:w="850" w:type="dxa"/>
            <w:gridSpan w:val="2"/>
            <w:tcBorders>
              <w:bottom w:val="nil"/>
            </w:tcBorders>
          </w:tcPr>
          <w:p w:rsidR="00000000" w:rsidRDefault="00000000">
            <w:pPr>
              <w:jc w:val="right"/>
              <w:rPr>
                <w:b/>
                <w:snapToGrid w:val="0"/>
                <w:sz w:val="18"/>
              </w:rPr>
            </w:pPr>
            <w:r>
              <w:rPr>
                <w:b/>
                <w:snapToGrid w:val="0"/>
                <w:sz w:val="18"/>
              </w:rPr>
              <w:t>14 652</w:t>
            </w:r>
          </w:p>
        </w:tc>
        <w:tc>
          <w:tcPr>
            <w:tcW w:w="999" w:type="dxa"/>
            <w:gridSpan w:val="2"/>
            <w:tcBorders>
              <w:bottom w:val="nil"/>
            </w:tcBorders>
          </w:tcPr>
          <w:p w:rsidR="00000000" w:rsidRDefault="00000000">
            <w:pPr>
              <w:ind w:right="113"/>
              <w:jc w:val="right"/>
              <w:rPr>
                <w:b/>
                <w:snapToGrid w:val="0"/>
                <w:sz w:val="18"/>
              </w:rPr>
            </w:pPr>
            <w:r>
              <w:rPr>
                <w:b/>
                <w:snapToGrid w:val="0"/>
                <w:sz w:val="18"/>
              </w:rPr>
              <w:t>684</w:t>
            </w:r>
          </w:p>
        </w:tc>
        <w:tc>
          <w:tcPr>
            <w:tcW w:w="869" w:type="dxa"/>
            <w:gridSpan w:val="2"/>
            <w:tcBorders>
              <w:bottom w:val="nil"/>
            </w:tcBorders>
          </w:tcPr>
          <w:p w:rsidR="00000000" w:rsidRDefault="00000000">
            <w:pPr>
              <w:ind w:right="57"/>
              <w:jc w:val="right"/>
              <w:rPr>
                <w:b/>
                <w:snapToGrid w:val="0"/>
                <w:sz w:val="18"/>
              </w:rPr>
            </w:pPr>
            <w:r>
              <w:rPr>
                <w:b/>
                <w:snapToGrid w:val="0"/>
                <w:sz w:val="18"/>
              </w:rPr>
              <w:t>12 540</w:t>
            </w:r>
          </w:p>
        </w:tc>
        <w:tc>
          <w:tcPr>
            <w:tcW w:w="992" w:type="dxa"/>
            <w:gridSpan w:val="2"/>
            <w:tcBorders>
              <w:bottom w:val="nil"/>
            </w:tcBorders>
          </w:tcPr>
          <w:p w:rsidR="00000000" w:rsidRDefault="00000000">
            <w:pPr>
              <w:ind w:right="113"/>
              <w:jc w:val="right"/>
              <w:rPr>
                <w:b/>
                <w:snapToGrid w:val="0"/>
                <w:sz w:val="18"/>
              </w:rPr>
            </w:pPr>
            <w:r>
              <w:rPr>
                <w:b/>
                <w:snapToGrid w:val="0"/>
                <w:sz w:val="18"/>
              </w:rPr>
              <w:t>4 548</w:t>
            </w:r>
          </w:p>
        </w:tc>
        <w:tc>
          <w:tcPr>
            <w:tcW w:w="1134" w:type="dxa"/>
            <w:gridSpan w:val="2"/>
            <w:tcBorders>
              <w:bottom w:val="nil"/>
            </w:tcBorders>
          </w:tcPr>
          <w:p w:rsidR="00000000" w:rsidRDefault="00000000">
            <w:pPr>
              <w:ind w:right="113"/>
              <w:jc w:val="right"/>
              <w:rPr>
                <w:b/>
                <w:snapToGrid w:val="0"/>
                <w:sz w:val="18"/>
              </w:rPr>
            </w:pPr>
            <w:r>
              <w:rPr>
                <w:b/>
                <w:snapToGrid w:val="0"/>
                <w:sz w:val="18"/>
              </w:rPr>
              <w:t>7 992</w:t>
            </w:r>
          </w:p>
        </w:tc>
        <w:tc>
          <w:tcPr>
            <w:tcW w:w="992" w:type="dxa"/>
            <w:gridSpan w:val="2"/>
            <w:tcBorders>
              <w:bottom w:val="nil"/>
            </w:tcBorders>
          </w:tcPr>
          <w:p w:rsidR="00000000" w:rsidRDefault="00000000">
            <w:pPr>
              <w:ind w:right="113"/>
              <w:jc w:val="right"/>
              <w:rPr>
                <w:b/>
                <w:snapToGrid w:val="0"/>
                <w:sz w:val="18"/>
              </w:rPr>
            </w:pPr>
            <w:r>
              <w:rPr>
                <w:b/>
                <w:snapToGrid w:val="0"/>
                <w:sz w:val="18"/>
              </w:rPr>
              <w:t>1 002</w:t>
            </w:r>
          </w:p>
        </w:tc>
        <w:tc>
          <w:tcPr>
            <w:tcW w:w="705" w:type="dxa"/>
            <w:gridSpan w:val="2"/>
            <w:tcBorders>
              <w:bottom w:val="nil"/>
            </w:tcBorders>
          </w:tcPr>
          <w:p w:rsidR="00000000" w:rsidRDefault="00000000">
            <w:pPr>
              <w:ind w:right="57"/>
              <w:jc w:val="right"/>
              <w:rPr>
                <w:b/>
                <w:snapToGrid w:val="0"/>
                <w:sz w:val="18"/>
              </w:rPr>
            </w:pPr>
            <w:r>
              <w:rPr>
                <w:b/>
                <w:snapToGrid w:val="0"/>
                <w:sz w:val="18"/>
              </w:rPr>
              <w:t>426</w:t>
            </w:r>
          </w:p>
        </w:tc>
      </w:tr>
      <w:tr w:rsidR="00000000">
        <w:tblPrEx>
          <w:tblCellMar>
            <w:top w:w="0" w:type="dxa"/>
            <w:bottom w:w="0" w:type="dxa"/>
          </w:tblCellMar>
        </w:tblPrEx>
        <w:trPr>
          <w:gridAfter w:val="1"/>
          <w:wAfter w:w="71" w:type="dxa"/>
          <w:cantSplit/>
          <w:trHeight w:val="155"/>
          <w:jc w:val="center"/>
        </w:trPr>
        <w:tc>
          <w:tcPr>
            <w:tcW w:w="1891" w:type="dxa"/>
            <w:gridSpan w:val="2"/>
            <w:tcBorders>
              <w:top w:val="nil"/>
              <w:bottom w:val="single" w:sz="4" w:space="0" w:color="auto"/>
            </w:tcBorders>
          </w:tcPr>
          <w:p w:rsidR="00000000" w:rsidRDefault="00000000">
            <w:pPr>
              <w:rPr>
                <w:snapToGrid w:val="0"/>
                <w:sz w:val="18"/>
              </w:rPr>
            </w:pPr>
            <w:r>
              <w:rPr>
                <w:b/>
                <w:snapToGrid w:val="0"/>
                <w:sz w:val="18"/>
              </w:rPr>
              <w:t>Region</w:t>
            </w:r>
          </w:p>
        </w:tc>
        <w:tc>
          <w:tcPr>
            <w:tcW w:w="684" w:type="dxa"/>
            <w:gridSpan w:val="2"/>
            <w:tcBorders>
              <w:top w:val="nil"/>
              <w:bottom w:val="single" w:sz="4" w:space="0" w:color="auto"/>
            </w:tcBorders>
          </w:tcPr>
          <w:p w:rsidR="00000000" w:rsidRDefault="00000000">
            <w:pPr>
              <w:rPr>
                <w:b/>
                <w:snapToGrid w:val="0"/>
                <w:sz w:val="18"/>
              </w:rPr>
            </w:pPr>
            <w:r>
              <w:rPr>
                <w:b/>
                <w:snapToGrid w:val="0"/>
                <w:sz w:val="18"/>
              </w:rPr>
              <w:t>1999</w:t>
            </w:r>
          </w:p>
        </w:tc>
        <w:tc>
          <w:tcPr>
            <w:tcW w:w="850" w:type="dxa"/>
            <w:gridSpan w:val="2"/>
            <w:tcBorders>
              <w:top w:val="nil"/>
              <w:bottom w:val="single" w:sz="4" w:space="0" w:color="auto"/>
            </w:tcBorders>
          </w:tcPr>
          <w:p w:rsidR="00000000" w:rsidRDefault="00000000">
            <w:pPr>
              <w:jc w:val="right"/>
              <w:rPr>
                <w:b/>
                <w:snapToGrid w:val="0"/>
                <w:sz w:val="18"/>
              </w:rPr>
            </w:pPr>
            <w:r>
              <w:rPr>
                <w:b/>
                <w:snapToGrid w:val="0"/>
                <w:sz w:val="18"/>
              </w:rPr>
              <w:t>14 501</w:t>
            </w:r>
          </w:p>
        </w:tc>
        <w:tc>
          <w:tcPr>
            <w:tcW w:w="999" w:type="dxa"/>
            <w:gridSpan w:val="2"/>
            <w:tcBorders>
              <w:top w:val="nil"/>
              <w:bottom w:val="single" w:sz="4" w:space="0" w:color="auto"/>
            </w:tcBorders>
          </w:tcPr>
          <w:p w:rsidR="00000000" w:rsidRDefault="00000000">
            <w:pPr>
              <w:ind w:right="113"/>
              <w:jc w:val="right"/>
              <w:rPr>
                <w:b/>
                <w:snapToGrid w:val="0"/>
                <w:sz w:val="18"/>
              </w:rPr>
            </w:pPr>
            <w:r>
              <w:rPr>
                <w:b/>
                <w:snapToGrid w:val="0"/>
                <w:sz w:val="18"/>
              </w:rPr>
              <w:t>686</w:t>
            </w:r>
          </w:p>
        </w:tc>
        <w:tc>
          <w:tcPr>
            <w:tcW w:w="869" w:type="dxa"/>
            <w:gridSpan w:val="2"/>
            <w:tcBorders>
              <w:top w:val="nil"/>
              <w:bottom w:val="single" w:sz="4" w:space="0" w:color="auto"/>
            </w:tcBorders>
          </w:tcPr>
          <w:p w:rsidR="00000000" w:rsidRDefault="00000000">
            <w:pPr>
              <w:ind w:right="57"/>
              <w:jc w:val="right"/>
              <w:rPr>
                <w:b/>
                <w:snapToGrid w:val="0"/>
                <w:sz w:val="18"/>
              </w:rPr>
            </w:pPr>
            <w:r>
              <w:rPr>
                <w:b/>
                <w:snapToGrid w:val="0"/>
                <w:sz w:val="18"/>
              </w:rPr>
              <w:t>12 477</w:t>
            </w:r>
          </w:p>
        </w:tc>
        <w:tc>
          <w:tcPr>
            <w:tcW w:w="992" w:type="dxa"/>
            <w:gridSpan w:val="2"/>
            <w:tcBorders>
              <w:top w:val="nil"/>
              <w:bottom w:val="single" w:sz="4" w:space="0" w:color="auto"/>
            </w:tcBorders>
          </w:tcPr>
          <w:p w:rsidR="00000000" w:rsidRDefault="00000000">
            <w:pPr>
              <w:ind w:right="113"/>
              <w:jc w:val="right"/>
              <w:rPr>
                <w:b/>
                <w:snapToGrid w:val="0"/>
                <w:sz w:val="18"/>
              </w:rPr>
            </w:pPr>
            <w:r>
              <w:rPr>
                <w:b/>
                <w:snapToGrid w:val="0"/>
                <w:sz w:val="18"/>
              </w:rPr>
              <w:t>4 116</w:t>
            </w:r>
          </w:p>
        </w:tc>
        <w:tc>
          <w:tcPr>
            <w:tcW w:w="1134" w:type="dxa"/>
            <w:gridSpan w:val="2"/>
            <w:tcBorders>
              <w:top w:val="nil"/>
              <w:bottom w:val="single" w:sz="4" w:space="0" w:color="auto"/>
            </w:tcBorders>
          </w:tcPr>
          <w:p w:rsidR="00000000" w:rsidRDefault="00000000">
            <w:pPr>
              <w:ind w:right="113"/>
              <w:jc w:val="right"/>
              <w:rPr>
                <w:b/>
                <w:snapToGrid w:val="0"/>
                <w:sz w:val="18"/>
              </w:rPr>
            </w:pPr>
            <w:r>
              <w:rPr>
                <w:b/>
                <w:snapToGrid w:val="0"/>
                <w:sz w:val="18"/>
              </w:rPr>
              <w:t>8 361</w:t>
            </w:r>
          </w:p>
        </w:tc>
        <w:tc>
          <w:tcPr>
            <w:tcW w:w="992" w:type="dxa"/>
            <w:gridSpan w:val="2"/>
            <w:tcBorders>
              <w:top w:val="nil"/>
              <w:bottom w:val="single" w:sz="4" w:space="0" w:color="auto"/>
            </w:tcBorders>
          </w:tcPr>
          <w:p w:rsidR="00000000" w:rsidRDefault="00000000">
            <w:pPr>
              <w:ind w:right="113"/>
              <w:jc w:val="right"/>
              <w:rPr>
                <w:b/>
                <w:snapToGrid w:val="0"/>
                <w:sz w:val="18"/>
              </w:rPr>
            </w:pPr>
            <w:r>
              <w:rPr>
                <w:b/>
                <w:snapToGrid w:val="0"/>
                <w:sz w:val="18"/>
              </w:rPr>
              <w:t>941</w:t>
            </w:r>
          </w:p>
        </w:tc>
        <w:tc>
          <w:tcPr>
            <w:tcW w:w="705" w:type="dxa"/>
            <w:gridSpan w:val="2"/>
            <w:tcBorders>
              <w:top w:val="nil"/>
              <w:bottom w:val="single" w:sz="4" w:space="0" w:color="auto"/>
            </w:tcBorders>
          </w:tcPr>
          <w:p w:rsidR="00000000" w:rsidRDefault="00000000">
            <w:pPr>
              <w:ind w:right="57"/>
              <w:jc w:val="right"/>
              <w:rPr>
                <w:b/>
                <w:snapToGrid w:val="0"/>
                <w:sz w:val="18"/>
              </w:rPr>
            </w:pPr>
            <w:r>
              <w:rPr>
                <w:b/>
                <w:snapToGrid w:val="0"/>
                <w:sz w:val="18"/>
              </w:rPr>
              <w:t>397</w:t>
            </w:r>
          </w:p>
        </w:tc>
      </w:tr>
      <w:tr w:rsidR="00000000">
        <w:tblPrEx>
          <w:tblCellMar>
            <w:top w:w="0" w:type="dxa"/>
            <w:bottom w:w="0" w:type="dxa"/>
          </w:tblCellMar>
        </w:tblPrEx>
        <w:trPr>
          <w:gridAfter w:val="1"/>
          <w:wAfter w:w="71" w:type="dxa"/>
          <w:cantSplit/>
          <w:trHeight w:val="155"/>
          <w:jc w:val="center"/>
        </w:trPr>
        <w:tc>
          <w:tcPr>
            <w:tcW w:w="1891" w:type="dxa"/>
            <w:gridSpan w:val="2"/>
            <w:tcBorders>
              <w:top w:val="single" w:sz="4" w:space="0" w:color="auto"/>
            </w:tcBorders>
          </w:tcPr>
          <w:p w:rsidR="00000000" w:rsidRDefault="00000000">
            <w:pPr>
              <w:rPr>
                <w:snapToGrid w:val="0"/>
                <w:sz w:val="18"/>
              </w:rPr>
            </w:pPr>
          </w:p>
        </w:tc>
        <w:tc>
          <w:tcPr>
            <w:tcW w:w="684" w:type="dxa"/>
            <w:gridSpan w:val="2"/>
            <w:tcBorders>
              <w:top w:val="single" w:sz="4" w:space="0" w:color="auto"/>
            </w:tcBorders>
          </w:tcPr>
          <w:p w:rsidR="00000000" w:rsidRDefault="00000000">
            <w:pPr>
              <w:rPr>
                <w:snapToGrid w:val="0"/>
                <w:sz w:val="18"/>
              </w:rPr>
            </w:pPr>
            <w:r>
              <w:rPr>
                <w:snapToGrid w:val="0"/>
                <w:sz w:val="18"/>
              </w:rPr>
              <w:t>1997</w:t>
            </w:r>
          </w:p>
        </w:tc>
        <w:tc>
          <w:tcPr>
            <w:tcW w:w="850" w:type="dxa"/>
            <w:gridSpan w:val="2"/>
            <w:tcBorders>
              <w:top w:val="single" w:sz="4" w:space="0" w:color="auto"/>
            </w:tcBorders>
          </w:tcPr>
          <w:p w:rsidR="00000000" w:rsidRDefault="00000000">
            <w:pPr>
              <w:jc w:val="right"/>
              <w:rPr>
                <w:snapToGrid w:val="0"/>
                <w:sz w:val="18"/>
              </w:rPr>
            </w:pPr>
            <w:r>
              <w:rPr>
                <w:snapToGrid w:val="0"/>
                <w:sz w:val="18"/>
              </w:rPr>
              <w:t>3 211</w:t>
            </w:r>
          </w:p>
        </w:tc>
        <w:tc>
          <w:tcPr>
            <w:tcW w:w="999" w:type="dxa"/>
            <w:gridSpan w:val="2"/>
            <w:tcBorders>
              <w:top w:val="single" w:sz="4" w:space="0" w:color="auto"/>
            </w:tcBorders>
          </w:tcPr>
          <w:p w:rsidR="00000000" w:rsidRDefault="00000000">
            <w:pPr>
              <w:ind w:right="113"/>
              <w:jc w:val="right"/>
              <w:rPr>
                <w:snapToGrid w:val="0"/>
                <w:sz w:val="18"/>
              </w:rPr>
            </w:pPr>
            <w:r>
              <w:rPr>
                <w:snapToGrid w:val="0"/>
                <w:sz w:val="18"/>
              </w:rPr>
              <w:t>52</w:t>
            </w:r>
          </w:p>
        </w:tc>
        <w:tc>
          <w:tcPr>
            <w:tcW w:w="869" w:type="dxa"/>
            <w:gridSpan w:val="2"/>
            <w:tcBorders>
              <w:top w:val="single" w:sz="4" w:space="0" w:color="auto"/>
            </w:tcBorders>
          </w:tcPr>
          <w:p w:rsidR="00000000" w:rsidRDefault="00000000">
            <w:pPr>
              <w:ind w:right="57"/>
              <w:jc w:val="right"/>
              <w:rPr>
                <w:snapToGrid w:val="0"/>
                <w:sz w:val="18"/>
              </w:rPr>
            </w:pPr>
            <w:r>
              <w:rPr>
                <w:snapToGrid w:val="0"/>
                <w:sz w:val="18"/>
              </w:rPr>
              <w:t>2 914</w:t>
            </w:r>
          </w:p>
        </w:tc>
        <w:tc>
          <w:tcPr>
            <w:tcW w:w="992" w:type="dxa"/>
            <w:gridSpan w:val="2"/>
            <w:tcBorders>
              <w:top w:val="single" w:sz="4" w:space="0" w:color="auto"/>
            </w:tcBorders>
          </w:tcPr>
          <w:p w:rsidR="00000000" w:rsidRDefault="00000000">
            <w:pPr>
              <w:ind w:right="113"/>
              <w:jc w:val="right"/>
              <w:rPr>
                <w:snapToGrid w:val="0"/>
                <w:sz w:val="18"/>
              </w:rPr>
            </w:pPr>
            <w:r>
              <w:rPr>
                <w:snapToGrid w:val="0"/>
                <w:sz w:val="18"/>
              </w:rPr>
              <w:t>1 096</w:t>
            </w:r>
          </w:p>
        </w:tc>
        <w:tc>
          <w:tcPr>
            <w:tcW w:w="1134" w:type="dxa"/>
            <w:gridSpan w:val="2"/>
            <w:tcBorders>
              <w:top w:val="single" w:sz="4" w:space="0" w:color="auto"/>
            </w:tcBorders>
          </w:tcPr>
          <w:p w:rsidR="00000000" w:rsidRDefault="00000000">
            <w:pPr>
              <w:ind w:right="113"/>
              <w:jc w:val="right"/>
              <w:rPr>
                <w:snapToGrid w:val="0"/>
                <w:sz w:val="18"/>
              </w:rPr>
            </w:pPr>
            <w:r>
              <w:rPr>
                <w:snapToGrid w:val="0"/>
                <w:sz w:val="18"/>
              </w:rPr>
              <w:t>1 818</w:t>
            </w:r>
          </w:p>
        </w:tc>
        <w:tc>
          <w:tcPr>
            <w:tcW w:w="992" w:type="dxa"/>
            <w:gridSpan w:val="2"/>
            <w:tcBorders>
              <w:top w:val="single" w:sz="4" w:space="0" w:color="auto"/>
            </w:tcBorders>
          </w:tcPr>
          <w:p w:rsidR="00000000" w:rsidRDefault="00000000">
            <w:pPr>
              <w:ind w:right="113"/>
              <w:jc w:val="right"/>
              <w:rPr>
                <w:snapToGrid w:val="0"/>
                <w:sz w:val="18"/>
              </w:rPr>
            </w:pPr>
            <w:r>
              <w:rPr>
                <w:snapToGrid w:val="0"/>
                <w:sz w:val="18"/>
              </w:rPr>
              <w:t>179</w:t>
            </w:r>
          </w:p>
        </w:tc>
        <w:tc>
          <w:tcPr>
            <w:tcW w:w="705" w:type="dxa"/>
            <w:gridSpan w:val="2"/>
            <w:tcBorders>
              <w:top w:val="single" w:sz="4" w:space="0" w:color="auto"/>
            </w:tcBorders>
          </w:tcPr>
          <w:p w:rsidR="00000000" w:rsidRDefault="00000000">
            <w:pPr>
              <w:ind w:right="57"/>
              <w:jc w:val="right"/>
              <w:rPr>
                <w:snapToGrid w:val="0"/>
                <w:sz w:val="18"/>
              </w:rPr>
            </w:pPr>
            <w:r>
              <w:rPr>
                <w:snapToGrid w:val="0"/>
                <w:sz w:val="18"/>
              </w:rPr>
              <w:t>66</w:t>
            </w:r>
          </w:p>
        </w:tc>
      </w:tr>
      <w:tr w:rsidR="00000000">
        <w:tblPrEx>
          <w:tblCellMar>
            <w:top w:w="0" w:type="dxa"/>
            <w:bottom w:w="0" w:type="dxa"/>
          </w:tblCellMar>
        </w:tblPrEx>
        <w:trPr>
          <w:gridAfter w:val="1"/>
          <w:wAfter w:w="71" w:type="dxa"/>
          <w:cantSplit/>
          <w:trHeight w:val="155"/>
          <w:jc w:val="center"/>
        </w:trPr>
        <w:tc>
          <w:tcPr>
            <w:tcW w:w="1891" w:type="dxa"/>
            <w:gridSpan w:val="2"/>
            <w:tcBorders>
              <w:bottom w:val="nil"/>
            </w:tcBorders>
          </w:tcPr>
          <w:p w:rsidR="00000000" w:rsidRDefault="00000000">
            <w:pPr>
              <w:rPr>
                <w:snapToGrid w:val="0"/>
                <w:sz w:val="18"/>
              </w:rPr>
            </w:pPr>
            <w:r>
              <w:rPr>
                <w:snapToGrid w:val="0"/>
                <w:sz w:val="18"/>
              </w:rPr>
              <w:t>Mato Grosso do Sul</w:t>
            </w:r>
          </w:p>
        </w:tc>
        <w:tc>
          <w:tcPr>
            <w:tcW w:w="684" w:type="dxa"/>
            <w:gridSpan w:val="2"/>
            <w:tcBorders>
              <w:bottom w:val="nil"/>
            </w:tcBorders>
          </w:tcPr>
          <w:p w:rsidR="00000000" w:rsidRDefault="00000000">
            <w:pPr>
              <w:rPr>
                <w:snapToGrid w:val="0"/>
                <w:sz w:val="18"/>
              </w:rPr>
            </w:pPr>
            <w:r>
              <w:rPr>
                <w:snapToGrid w:val="0"/>
                <w:sz w:val="18"/>
              </w:rPr>
              <w:t>1998</w:t>
            </w:r>
          </w:p>
        </w:tc>
        <w:tc>
          <w:tcPr>
            <w:tcW w:w="850" w:type="dxa"/>
            <w:gridSpan w:val="2"/>
            <w:tcBorders>
              <w:bottom w:val="nil"/>
            </w:tcBorders>
          </w:tcPr>
          <w:p w:rsidR="00000000" w:rsidRDefault="00000000">
            <w:pPr>
              <w:jc w:val="right"/>
              <w:rPr>
                <w:snapToGrid w:val="0"/>
                <w:sz w:val="18"/>
              </w:rPr>
            </w:pPr>
            <w:r>
              <w:rPr>
                <w:snapToGrid w:val="0"/>
                <w:sz w:val="18"/>
              </w:rPr>
              <w:t>3 095</w:t>
            </w:r>
          </w:p>
        </w:tc>
        <w:tc>
          <w:tcPr>
            <w:tcW w:w="999" w:type="dxa"/>
            <w:gridSpan w:val="2"/>
            <w:tcBorders>
              <w:bottom w:val="nil"/>
            </w:tcBorders>
          </w:tcPr>
          <w:p w:rsidR="00000000" w:rsidRDefault="00000000">
            <w:pPr>
              <w:ind w:right="113"/>
              <w:jc w:val="right"/>
              <w:rPr>
                <w:snapToGrid w:val="0"/>
                <w:sz w:val="18"/>
              </w:rPr>
            </w:pPr>
            <w:r>
              <w:rPr>
                <w:snapToGrid w:val="0"/>
                <w:sz w:val="18"/>
              </w:rPr>
              <w:t>48</w:t>
            </w:r>
          </w:p>
        </w:tc>
        <w:tc>
          <w:tcPr>
            <w:tcW w:w="869" w:type="dxa"/>
            <w:gridSpan w:val="2"/>
            <w:tcBorders>
              <w:bottom w:val="nil"/>
            </w:tcBorders>
          </w:tcPr>
          <w:p w:rsidR="00000000" w:rsidRDefault="00000000">
            <w:pPr>
              <w:ind w:right="57"/>
              <w:jc w:val="right"/>
              <w:rPr>
                <w:snapToGrid w:val="0"/>
                <w:sz w:val="18"/>
              </w:rPr>
            </w:pPr>
            <w:r>
              <w:rPr>
                <w:snapToGrid w:val="0"/>
                <w:sz w:val="18"/>
              </w:rPr>
              <w:t>2 783</w:t>
            </w:r>
          </w:p>
        </w:tc>
        <w:tc>
          <w:tcPr>
            <w:tcW w:w="992" w:type="dxa"/>
            <w:gridSpan w:val="2"/>
            <w:tcBorders>
              <w:bottom w:val="nil"/>
            </w:tcBorders>
          </w:tcPr>
          <w:p w:rsidR="00000000" w:rsidRDefault="00000000">
            <w:pPr>
              <w:ind w:right="113"/>
              <w:jc w:val="right"/>
              <w:rPr>
                <w:snapToGrid w:val="0"/>
                <w:sz w:val="18"/>
              </w:rPr>
            </w:pPr>
            <w:r>
              <w:rPr>
                <w:snapToGrid w:val="0"/>
                <w:sz w:val="18"/>
              </w:rPr>
              <w:t>884</w:t>
            </w:r>
          </w:p>
        </w:tc>
        <w:tc>
          <w:tcPr>
            <w:tcW w:w="1134" w:type="dxa"/>
            <w:gridSpan w:val="2"/>
            <w:tcBorders>
              <w:bottom w:val="nil"/>
            </w:tcBorders>
          </w:tcPr>
          <w:p w:rsidR="00000000" w:rsidRDefault="00000000">
            <w:pPr>
              <w:ind w:right="113"/>
              <w:jc w:val="right"/>
              <w:rPr>
                <w:snapToGrid w:val="0"/>
                <w:sz w:val="18"/>
              </w:rPr>
            </w:pPr>
            <w:r>
              <w:rPr>
                <w:snapToGrid w:val="0"/>
                <w:sz w:val="18"/>
              </w:rPr>
              <w:t>1 899</w:t>
            </w:r>
          </w:p>
        </w:tc>
        <w:tc>
          <w:tcPr>
            <w:tcW w:w="992" w:type="dxa"/>
            <w:gridSpan w:val="2"/>
            <w:tcBorders>
              <w:bottom w:val="nil"/>
            </w:tcBorders>
          </w:tcPr>
          <w:p w:rsidR="00000000" w:rsidRDefault="00000000">
            <w:pPr>
              <w:ind w:right="113"/>
              <w:jc w:val="right"/>
              <w:rPr>
                <w:snapToGrid w:val="0"/>
                <w:sz w:val="18"/>
              </w:rPr>
            </w:pPr>
            <w:r>
              <w:rPr>
                <w:snapToGrid w:val="0"/>
                <w:sz w:val="18"/>
              </w:rPr>
              <w:t>186</w:t>
            </w:r>
          </w:p>
        </w:tc>
        <w:tc>
          <w:tcPr>
            <w:tcW w:w="705" w:type="dxa"/>
            <w:gridSpan w:val="2"/>
            <w:tcBorders>
              <w:bottom w:val="nil"/>
            </w:tcBorders>
          </w:tcPr>
          <w:p w:rsidR="00000000" w:rsidRDefault="00000000">
            <w:pPr>
              <w:ind w:right="57"/>
              <w:jc w:val="right"/>
              <w:rPr>
                <w:snapToGrid w:val="0"/>
                <w:sz w:val="18"/>
              </w:rPr>
            </w:pPr>
            <w:r>
              <w:rPr>
                <w:snapToGrid w:val="0"/>
                <w:sz w:val="18"/>
              </w:rPr>
              <w:t>78</w:t>
            </w:r>
          </w:p>
        </w:tc>
      </w:tr>
      <w:tr w:rsidR="00000000">
        <w:tblPrEx>
          <w:tblCellMar>
            <w:top w:w="0" w:type="dxa"/>
            <w:bottom w:w="0" w:type="dxa"/>
          </w:tblCellMar>
        </w:tblPrEx>
        <w:trPr>
          <w:gridAfter w:val="1"/>
          <w:wAfter w:w="71" w:type="dxa"/>
          <w:cantSplit/>
          <w:trHeight w:val="155"/>
          <w:jc w:val="center"/>
        </w:trPr>
        <w:tc>
          <w:tcPr>
            <w:tcW w:w="1891" w:type="dxa"/>
            <w:gridSpan w:val="2"/>
            <w:tcBorders>
              <w:top w:val="nil"/>
              <w:bottom w:val="single" w:sz="4" w:space="0" w:color="auto"/>
            </w:tcBorders>
          </w:tcPr>
          <w:p w:rsidR="00000000" w:rsidRDefault="00000000">
            <w:pPr>
              <w:rPr>
                <w:snapToGrid w:val="0"/>
                <w:sz w:val="18"/>
              </w:rPr>
            </w:pPr>
          </w:p>
        </w:tc>
        <w:tc>
          <w:tcPr>
            <w:tcW w:w="684" w:type="dxa"/>
            <w:gridSpan w:val="2"/>
            <w:tcBorders>
              <w:top w:val="nil"/>
              <w:bottom w:val="single" w:sz="4" w:space="0" w:color="auto"/>
            </w:tcBorders>
          </w:tcPr>
          <w:p w:rsidR="00000000" w:rsidRDefault="00000000">
            <w:pPr>
              <w:rPr>
                <w:snapToGrid w:val="0"/>
                <w:sz w:val="18"/>
              </w:rPr>
            </w:pPr>
            <w:r>
              <w:rPr>
                <w:snapToGrid w:val="0"/>
                <w:sz w:val="18"/>
              </w:rPr>
              <w:t>1999</w:t>
            </w:r>
          </w:p>
        </w:tc>
        <w:tc>
          <w:tcPr>
            <w:tcW w:w="850" w:type="dxa"/>
            <w:gridSpan w:val="2"/>
            <w:tcBorders>
              <w:top w:val="nil"/>
              <w:bottom w:val="single" w:sz="4" w:space="0" w:color="auto"/>
            </w:tcBorders>
          </w:tcPr>
          <w:p w:rsidR="00000000" w:rsidRDefault="00000000">
            <w:pPr>
              <w:jc w:val="right"/>
              <w:rPr>
                <w:snapToGrid w:val="0"/>
                <w:sz w:val="18"/>
              </w:rPr>
            </w:pPr>
            <w:r>
              <w:rPr>
                <w:snapToGrid w:val="0"/>
                <w:sz w:val="18"/>
              </w:rPr>
              <w:t>3 290</w:t>
            </w:r>
          </w:p>
        </w:tc>
        <w:tc>
          <w:tcPr>
            <w:tcW w:w="999" w:type="dxa"/>
            <w:gridSpan w:val="2"/>
            <w:tcBorders>
              <w:top w:val="nil"/>
              <w:bottom w:val="single" w:sz="4" w:space="0" w:color="auto"/>
            </w:tcBorders>
          </w:tcPr>
          <w:p w:rsidR="00000000" w:rsidRDefault="00000000">
            <w:pPr>
              <w:ind w:right="113"/>
              <w:jc w:val="right"/>
              <w:rPr>
                <w:snapToGrid w:val="0"/>
                <w:sz w:val="18"/>
              </w:rPr>
            </w:pPr>
            <w:r>
              <w:rPr>
                <w:snapToGrid w:val="0"/>
                <w:sz w:val="18"/>
              </w:rPr>
              <w:t>71</w:t>
            </w:r>
          </w:p>
        </w:tc>
        <w:tc>
          <w:tcPr>
            <w:tcW w:w="869" w:type="dxa"/>
            <w:gridSpan w:val="2"/>
            <w:tcBorders>
              <w:top w:val="nil"/>
              <w:bottom w:val="single" w:sz="4" w:space="0" w:color="auto"/>
            </w:tcBorders>
          </w:tcPr>
          <w:p w:rsidR="00000000" w:rsidRDefault="00000000">
            <w:pPr>
              <w:ind w:right="57"/>
              <w:jc w:val="right"/>
              <w:rPr>
                <w:snapToGrid w:val="0"/>
                <w:sz w:val="18"/>
              </w:rPr>
            </w:pPr>
            <w:r>
              <w:rPr>
                <w:snapToGrid w:val="0"/>
                <w:sz w:val="18"/>
              </w:rPr>
              <w:t>2 904</w:t>
            </w:r>
          </w:p>
        </w:tc>
        <w:tc>
          <w:tcPr>
            <w:tcW w:w="992" w:type="dxa"/>
            <w:gridSpan w:val="2"/>
            <w:tcBorders>
              <w:top w:val="nil"/>
              <w:bottom w:val="single" w:sz="4" w:space="0" w:color="auto"/>
            </w:tcBorders>
          </w:tcPr>
          <w:p w:rsidR="00000000" w:rsidRDefault="00000000">
            <w:pPr>
              <w:ind w:right="113"/>
              <w:jc w:val="right"/>
              <w:rPr>
                <w:snapToGrid w:val="0"/>
                <w:sz w:val="18"/>
              </w:rPr>
            </w:pPr>
            <w:r>
              <w:rPr>
                <w:snapToGrid w:val="0"/>
                <w:sz w:val="18"/>
              </w:rPr>
              <w:t>772</w:t>
            </w:r>
          </w:p>
        </w:tc>
        <w:tc>
          <w:tcPr>
            <w:tcW w:w="1134" w:type="dxa"/>
            <w:gridSpan w:val="2"/>
            <w:tcBorders>
              <w:top w:val="nil"/>
              <w:bottom w:val="single" w:sz="4" w:space="0" w:color="auto"/>
            </w:tcBorders>
          </w:tcPr>
          <w:p w:rsidR="00000000" w:rsidRDefault="00000000">
            <w:pPr>
              <w:ind w:right="113"/>
              <w:jc w:val="right"/>
              <w:rPr>
                <w:snapToGrid w:val="0"/>
                <w:sz w:val="18"/>
              </w:rPr>
            </w:pPr>
            <w:r>
              <w:rPr>
                <w:snapToGrid w:val="0"/>
                <w:sz w:val="18"/>
              </w:rPr>
              <w:t>2 132</w:t>
            </w:r>
          </w:p>
        </w:tc>
        <w:tc>
          <w:tcPr>
            <w:tcW w:w="992" w:type="dxa"/>
            <w:gridSpan w:val="2"/>
            <w:tcBorders>
              <w:top w:val="nil"/>
              <w:bottom w:val="single" w:sz="4" w:space="0" w:color="auto"/>
            </w:tcBorders>
          </w:tcPr>
          <w:p w:rsidR="00000000" w:rsidRDefault="00000000">
            <w:pPr>
              <w:ind w:right="113"/>
              <w:jc w:val="right"/>
              <w:rPr>
                <w:snapToGrid w:val="0"/>
                <w:sz w:val="18"/>
              </w:rPr>
            </w:pPr>
            <w:r>
              <w:rPr>
                <w:snapToGrid w:val="0"/>
                <w:sz w:val="18"/>
              </w:rPr>
              <w:t>252</w:t>
            </w:r>
          </w:p>
        </w:tc>
        <w:tc>
          <w:tcPr>
            <w:tcW w:w="705" w:type="dxa"/>
            <w:gridSpan w:val="2"/>
            <w:tcBorders>
              <w:top w:val="nil"/>
              <w:bottom w:val="single" w:sz="4" w:space="0" w:color="auto"/>
            </w:tcBorders>
          </w:tcPr>
          <w:p w:rsidR="00000000" w:rsidRDefault="00000000">
            <w:pPr>
              <w:ind w:right="57"/>
              <w:jc w:val="right"/>
              <w:rPr>
                <w:snapToGrid w:val="0"/>
                <w:sz w:val="18"/>
              </w:rPr>
            </w:pPr>
            <w:r>
              <w:rPr>
                <w:snapToGrid w:val="0"/>
                <w:sz w:val="18"/>
              </w:rPr>
              <w:t>63</w:t>
            </w:r>
          </w:p>
        </w:tc>
      </w:tr>
      <w:tr w:rsidR="00000000">
        <w:tblPrEx>
          <w:tblCellMar>
            <w:top w:w="0" w:type="dxa"/>
            <w:bottom w:w="0" w:type="dxa"/>
          </w:tblCellMar>
        </w:tblPrEx>
        <w:trPr>
          <w:gridAfter w:val="1"/>
          <w:wAfter w:w="71" w:type="dxa"/>
          <w:cantSplit/>
          <w:trHeight w:val="155"/>
          <w:jc w:val="center"/>
        </w:trPr>
        <w:tc>
          <w:tcPr>
            <w:tcW w:w="1891" w:type="dxa"/>
            <w:gridSpan w:val="2"/>
            <w:tcBorders>
              <w:top w:val="single" w:sz="4" w:space="0" w:color="auto"/>
            </w:tcBorders>
          </w:tcPr>
          <w:p w:rsidR="00000000" w:rsidRDefault="00000000">
            <w:pPr>
              <w:rPr>
                <w:snapToGrid w:val="0"/>
                <w:sz w:val="18"/>
              </w:rPr>
            </w:pPr>
          </w:p>
        </w:tc>
        <w:tc>
          <w:tcPr>
            <w:tcW w:w="684" w:type="dxa"/>
            <w:gridSpan w:val="2"/>
            <w:tcBorders>
              <w:top w:val="single" w:sz="4" w:space="0" w:color="auto"/>
            </w:tcBorders>
          </w:tcPr>
          <w:p w:rsidR="00000000" w:rsidRDefault="00000000">
            <w:pPr>
              <w:rPr>
                <w:snapToGrid w:val="0"/>
                <w:sz w:val="18"/>
              </w:rPr>
            </w:pPr>
            <w:r>
              <w:rPr>
                <w:snapToGrid w:val="0"/>
                <w:sz w:val="18"/>
              </w:rPr>
              <w:t>1997</w:t>
            </w:r>
          </w:p>
        </w:tc>
        <w:tc>
          <w:tcPr>
            <w:tcW w:w="850" w:type="dxa"/>
            <w:gridSpan w:val="2"/>
            <w:tcBorders>
              <w:top w:val="single" w:sz="4" w:space="0" w:color="auto"/>
            </w:tcBorders>
          </w:tcPr>
          <w:p w:rsidR="00000000" w:rsidRDefault="00000000">
            <w:pPr>
              <w:jc w:val="right"/>
              <w:rPr>
                <w:snapToGrid w:val="0"/>
                <w:sz w:val="18"/>
              </w:rPr>
            </w:pPr>
            <w:r>
              <w:rPr>
                <w:snapToGrid w:val="0"/>
                <w:sz w:val="18"/>
              </w:rPr>
              <w:t>3 147</w:t>
            </w:r>
          </w:p>
        </w:tc>
        <w:tc>
          <w:tcPr>
            <w:tcW w:w="999" w:type="dxa"/>
            <w:gridSpan w:val="2"/>
            <w:tcBorders>
              <w:top w:val="single" w:sz="4" w:space="0" w:color="auto"/>
            </w:tcBorders>
          </w:tcPr>
          <w:p w:rsidR="00000000" w:rsidRDefault="00000000">
            <w:pPr>
              <w:ind w:right="113"/>
              <w:jc w:val="right"/>
              <w:rPr>
                <w:snapToGrid w:val="0"/>
                <w:sz w:val="18"/>
              </w:rPr>
            </w:pPr>
            <w:r>
              <w:rPr>
                <w:snapToGrid w:val="0"/>
                <w:sz w:val="18"/>
              </w:rPr>
              <w:t>177</w:t>
            </w:r>
          </w:p>
        </w:tc>
        <w:tc>
          <w:tcPr>
            <w:tcW w:w="869" w:type="dxa"/>
            <w:gridSpan w:val="2"/>
            <w:tcBorders>
              <w:top w:val="single" w:sz="4" w:space="0" w:color="auto"/>
            </w:tcBorders>
          </w:tcPr>
          <w:p w:rsidR="00000000" w:rsidRDefault="00000000">
            <w:pPr>
              <w:ind w:right="57"/>
              <w:jc w:val="right"/>
              <w:rPr>
                <w:snapToGrid w:val="0"/>
                <w:sz w:val="18"/>
              </w:rPr>
            </w:pPr>
            <w:r>
              <w:rPr>
                <w:snapToGrid w:val="0"/>
                <w:sz w:val="18"/>
              </w:rPr>
              <w:t>2 684</w:t>
            </w:r>
          </w:p>
        </w:tc>
        <w:tc>
          <w:tcPr>
            <w:tcW w:w="992" w:type="dxa"/>
            <w:gridSpan w:val="2"/>
            <w:tcBorders>
              <w:top w:val="single" w:sz="4" w:space="0" w:color="auto"/>
            </w:tcBorders>
          </w:tcPr>
          <w:p w:rsidR="00000000" w:rsidRDefault="00000000">
            <w:pPr>
              <w:ind w:right="113"/>
              <w:jc w:val="right"/>
              <w:rPr>
                <w:snapToGrid w:val="0"/>
                <w:sz w:val="18"/>
              </w:rPr>
            </w:pPr>
            <w:r>
              <w:rPr>
                <w:snapToGrid w:val="0"/>
                <w:sz w:val="18"/>
              </w:rPr>
              <w:t>1 124</w:t>
            </w:r>
          </w:p>
        </w:tc>
        <w:tc>
          <w:tcPr>
            <w:tcW w:w="1134" w:type="dxa"/>
            <w:gridSpan w:val="2"/>
            <w:tcBorders>
              <w:top w:val="single" w:sz="4" w:space="0" w:color="auto"/>
            </w:tcBorders>
          </w:tcPr>
          <w:p w:rsidR="00000000" w:rsidRDefault="00000000">
            <w:pPr>
              <w:ind w:right="113"/>
              <w:jc w:val="right"/>
              <w:rPr>
                <w:snapToGrid w:val="0"/>
                <w:sz w:val="18"/>
              </w:rPr>
            </w:pPr>
            <w:r>
              <w:rPr>
                <w:snapToGrid w:val="0"/>
                <w:sz w:val="18"/>
              </w:rPr>
              <w:t>1 560</w:t>
            </w:r>
          </w:p>
        </w:tc>
        <w:tc>
          <w:tcPr>
            <w:tcW w:w="992" w:type="dxa"/>
            <w:gridSpan w:val="2"/>
            <w:tcBorders>
              <w:top w:val="single" w:sz="4" w:space="0" w:color="auto"/>
            </w:tcBorders>
          </w:tcPr>
          <w:p w:rsidR="00000000" w:rsidRDefault="00000000">
            <w:pPr>
              <w:ind w:right="113"/>
              <w:jc w:val="right"/>
              <w:rPr>
                <w:snapToGrid w:val="0"/>
                <w:sz w:val="18"/>
              </w:rPr>
            </w:pPr>
            <w:r>
              <w:rPr>
                <w:snapToGrid w:val="0"/>
                <w:sz w:val="18"/>
              </w:rPr>
              <w:t>170</w:t>
            </w:r>
          </w:p>
        </w:tc>
        <w:tc>
          <w:tcPr>
            <w:tcW w:w="705" w:type="dxa"/>
            <w:gridSpan w:val="2"/>
            <w:tcBorders>
              <w:top w:val="single" w:sz="4" w:space="0" w:color="auto"/>
            </w:tcBorders>
          </w:tcPr>
          <w:p w:rsidR="00000000" w:rsidRDefault="00000000">
            <w:pPr>
              <w:ind w:right="57"/>
              <w:jc w:val="right"/>
              <w:rPr>
                <w:snapToGrid w:val="0"/>
                <w:sz w:val="18"/>
              </w:rPr>
            </w:pPr>
            <w:r>
              <w:rPr>
                <w:snapToGrid w:val="0"/>
                <w:sz w:val="18"/>
              </w:rPr>
              <w:t>116</w:t>
            </w:r>
          </w:p>
        </w:tc>
      </w:tr>
      <w:tr w:rsidR="00000000">
        <w:tblPrEx>
          <w:tblCellMar>
            <w:top w:w="0" w:type="dxa"/>
            <w:bottom w:w="0" w:type="dxa"/>
          </w:tblCellMar>
        </w:tblPrEx>
        <w:trPr>
          <w:gridAfter w:val="1"/>
          <w:wAfter w:w="71" w:type="dxa"/>
          <w:cantSplit/>
          <w:trHeight w:val="155"/>
          <w:jc w:val="center"/>
        </w:trPr>
        <w:tc>
          <w:tcPr>
            <w:tcW w:w="1891" w:type="dxa"/>
            <w:gridSpan w:val="2"/>
            <w:tcBorders>
              <w:bottom w:val="nil"/>
            </w:tcBorders>
          </w:tcPr>
          <w:p w:rsidR="00000000" w:rsidRDefault="00000000">
            <w:pPr>
              <w:rPr>
                <w:snapToGrid w:val="0"/>
                <w:sz w:val="18"/>
              </w:rPr>
            </w:pPr>
            <w:r>
              <w:rPr>
                <w:snapToGrid w:val="0"/>
                <w:sz w:val="18"/>
              </w:rPr>
              <w:t>Mato Grosso</w:t>
            </w:r>
          </w:p>
        </w:tc>
        <w:tc>
          <w:tcPr>
            <w:tcW w:w="684" w:type="dxa"/>
            <w:gridSpan w:val="2"/>
            <w:tcBorders>
              <w:bottom w:val="nil"/>
            </w:tcBorders>
          </w:tcPr>
          <w:p w:rsidR="00000000" w:rsidRDefault="00000000">
            <w:pPr>
              <w:rPr>
                <w:snapToGrid w:val="0"/>
                <w:sz w:val="18"/>
              </w:rPr>
            </w:pPr>
            <w:r>
              <w:rPr>
                <w:snapToGrid w:val="0"/>
                <w:sz w:val="18"/>
              </w:rPr>
              <w:t>1998</w:t>
            </w:r>
          </w:p>
        </w:tc>
        <w:tc>
          <w:tcPr>
            <w:tcW w:w="850" w:type="dxa"/>
            <w:gridSpan w:val="2"/>
            <w:tcBorders>
              <w:bottom w:val="nil"/>
            </w:tcBorders>
          </w:tcPr>
          <w:p w:rsidR="00000000" w:rsidRDefault="00000000">
            <w:pPr>
              <w:jc w:val="right"/>
              <w:rPr>
                <w:snapToGrid w:val="0"/>
                <w:sz w:val="18"/>
              </w:rPr>
            </w:pPr>
            <w:r>
              <w:rPr>
                <w:snapToGrid w:val="0"/>
                <w:sz w:val="18"/>
              </w:rPr>
              <w:t>3 484</w:t>
            </w:r>
          </w:p>
        </w:tc>
        <w:tc>
          <w:tcPr>
            <w:tcW w:w="999" w:type="dxa"/>
            <w:gridSpan w:val="2"/>
            <w:tcBorders>
              <w:bottom w:val="nil"/>
            </w:tcBorders>
          </w:tcPr>
          <w:p w:rsidR="00000000" w:rsidRDefault="00000000">
            <w:pPr>
              <w:ind w:right="113"/>
              <w:jc w:val="right"/>
              <w:rPr>
                <w:snapToGrid w:val="0"/>
                <w:sz w:val="18"/>
              </w:rPr>
            </w:pPr>
            <w:r>
              <w:rPr>
                <w:snapToGrid w:val="0"/>
                <w:sz w:val="18"/>
              </w:rPr>
              <w:t>257</w:t>
            </w:r>
          </w:p>
        </w:tc>
        <w:tc>
          <w:tcPr>
            <w:tcW w:w="869" w:type="dxa"/>
            <w:gridSpan w:val="2"/>
            <w:tcBorders>
              <w:bottom w:val="nil"/>
            </w:tcBorders>
          </w:tcPr>
          <w:p w:rsidR="00000000" w:rsidRDefault="00000000">
            <w:pPr>
              <w:ind w:right="57"/>
              <w:jc w:val="right"/>
              <w:rPr>
                <w:snapToGrid w:val="0"/>
                <w:sz w:val="18"/>
              </w:rPr>
            </w:pPr>
            <w:r>
              <w:rPr>
                <w:snapToGrid w:val="0"/>
                <w:sz w:val="18"/>
              </w:rPr>
              <w:t>2 919</w:t>
            </w:r>
          </w:p>
        </w:tc>
        <w:tc>
          <w:tcPr>
            <w:tcW w:w="992" w:type="dxa"/>
            <w:gridSpan w:val="2"/>
            <w:tcBorders>
              <w:bottom w:val="nil"/>
            </w:tcBorders>
          </w:tcPr>
          <w:p w:rsidR="00000000" w:rsidRDefault="00000000">
            <w:pPr>
              <w:ind w:right="113"/>
              <w:jc w:val="right"/>
              <w:rPr>
                <w:snapToGrid w:val="0"/>
                <w:sz w:val="18"/>
              </w:rPr>
            </w:pPr>
            <w:r>
              <w:rPr>
                <w:snapToGrid w:val="0"/>
                <w:sz w:val="18"/>
              </w:rPr>
              <w:t>988</w:t>
            </w:r>
          </w:p>
        </w:tc>
        <w:tc>
          <w:tcPr>
            <w:tcW w:w="1134" w:type="dxa"/>
            <w:gridSpan w:val="2"/>
            <w:tcBorders>
              <w:bottom w:val="nil"/>
            </w:tcBorders>
          </w:tcPr>
          <w:p w:rsidR="00000000" w:rsidRDefault="00000000">
            <w:pPr>
              <w:ind w:right="113"/>
              <w:jc w:val="right"/>
              <w:rPr>
                <w:snapToGrid w:val="0"/>
                <w:sz w:val="18"/>
              </w:rPr>
            </w:pPr>
            <w:r>
              <w:rPr>
                <w:snapToGrid w:val="0"/>
                <w:sz w:val="18"/>
              </w:rPr>
              <w:t>1 931</w:t>
            </w:r>
          </w:p>
        </w:tc>
        <w:tc>
          <w:tcPr>
            <w:tcW w:w="992" w:type="dxa"/>
            <w:gridSpan w:val="2"/>
            <w:tcBorders>
              <w:bottom w:val="nil"/>
            </w:tcBorders>
          </w:tcPr>
          <w:p w:rsidR="00000000" w:rsidRDefault="00000000">
            <w:pPr>
              <w:ind w:right="113"/>
              <w:jc w:val="right"/>
              <w:rPr>
                <w:snapToGrid w:val="0"/>
                <w:sz w:val="18"/>
              </w:rPr>
            </w:pPr>
            <w:r>
              <w:rPr>
                <w:snapToGrid w:val="0"/>
                <w:sz w:val="18"/>
              </w:rPr>
              <w:t>171</w:t>
            </w:r>
          </w:p>
        </w:tc>
        <w:tc>
          <w:tcPr>
            <w:tcW w:w="705" w:type="dxa"/>
            <w:gridSpan w:val="2"/>
            <w:tcBorders>
              <w:bottom w:val="nil"/>
            </w:tcBorders>
          </w:tcPr>
          <w:p w:rsidR="00000000" w:rsidRDefault="00000000">
            <w:pPr>
              <w:ind w:right="57"/>
              <w:jc w:val="right"/>
              <w:rPr>
                <w:snapToGrid w:val="0"/>
                <w:sz w:val="18"/>
              </w:rPr>
            </w:pPr>
            <w:r>
              <w:rPr>
                <w:snapToGrid w:val="0"/>
                <w:sz w:val="18"/>
              </w:rPr>
              <w:t>137</w:t>
            </w:r>
          </w:p>
        </w:tc>
      </w:tr>
      <w:tr w:rsidR="00000000">
        <w:tblPrEx>
          <w:tblCellMar>
            <w:top w:w="0" w:type="dxa"/>
            <w:bottom w:w="0" w:type="dxa"/>
          </w:tblCellMar>
        </w:tblPrEx>
        <w:trPr>
          <w:gridAfter w:val="1"/>
          <w:wAfter w:w="71" w:type="dxa"/>
          <w:cantSplit/>
          <w:trHeight w:val="155"/>
          <w:jc w:val="center"/>
        </w:trPr>
        <w:tc>
          <w:tcPr>
            <w:tcW w:w="1891" w:type="dxa"/>
            <w:gridSpan w:val="2"/>
            <w:tcBorders>
              <w:top w:val="nil"/>
              <w:bottom w:val="single" w:sz="4" w:space="0" w:color="auto"/>
            </w:tcBorders>
          </w:tcPr>
          <w:p w:rsidR="00000000" w:rsidRDefault="00000000">
            <w:pPr>
              <w:rPr>
                <w:snapToGrid w:val="0"/>
                <w:sz w:val="18"/>
              </w:rPr>
            </w:pPr>
          </w:p>
        </w:tc>
        <w:tc>
          <w:tcPr>
            <w:tcW w:w="684" w:type="dxa"/>
            <w:gridSpan w:val="2"/>
            <w:tcBorders>
              <w:top w:val="nil"/>
              <w:bottom w:val="single" w:sz="4" w:space="0" w:color="auto"/>
            </w:tcBorders>
          </w:tcPr>
          <w:p w:rsidR="00000000" w:rsidRDefault="00000000">
            <w:pPr>
              <w:rPr>
                <w:snapToGrid w:val="0"/>
                <w:sz w:val="18"/>
              </w:rPr>
            </w:pPr>
            <w:r>
              <w:rPr>
                <w:snapToGrid w:val="0"/>
                <w:sz w:val="18"/>
              </w:rPr>
              <w:t>1999</w:t>
            </w:r>
          </w:p>
        </w:tc>
        <w:tc>
          <w:tcPr>
            <w:tcW w:w="850" w:type="dxa"/>
            <w:gridSpan w:val="2"/>
            <w:tcBorders>
              <w:top w:val="nil"/>
              <w:bottom w:val="single" w:sz="4" w:space="0" w:color="auto"/>
            </w:tcBorders>
          </w:tcPr>
          <w:p w:rsidR="00000000" w:rsidRDefault="00000000">
            <w:pPr>
              <w:jc w:val="right"/>
              <w:rPr>
                <w:snapToGrid w:val="0"/>
                <w:sz w:val="18"/>
              </w:rPr>
            </w:pPr>
            <w:r>
              <w:rPr>
                <w:snapToGrid w:val="0"/>
                <w:sz w:val="18"/>
              </w:rPr>
              <w:t>3 278</w:t>
            </w:r>
          </w:p>
        </w:tc>
        <w:tc>
          <w:tcPr>
            <w:tcW w:w="999" w:type="dxa"/>
            <w:gridSpan w:val="2"/>
            <w:tcBorders>
              <w:top w:val="nil"/>
              <w:bottom w:val="single" w:sz="4" w:space="0" w:color="auto"/>
            </w:tcBorders>
          </w:tcPr>
          <w:p w:rsidR="00000000" w:rsidRDefault="00000000">
            <w:pPr>
              <w:ind w:right="113"/>
              <w:jc w:val="right"/>
              <w:rPr>
                <w:snapToGrid w:val="0"/>
                <w:sz w:val="18"/>
              </w:rPr>
            </w:pPr>
            <w:r>
              <w:rPr>
                <w:snapToGrid w:val="0"/>
                <w:sz w:val="18"/>
              </w:rPr>
              <w:t>255</w:t>
            </w:r>
          </w:p>
        </w:tc>
        <w:tc>
          <w:tcPr>
            <w:tcW w:w="869" w:type="dxa"/>
            <w:gridSpan w:val="2"/>
            <w:tcBorders>
              <w:top w:val="nil"/>
              <w:bottom w:val="single" w:sz="4" w:space="0" w:color="auto"/>
            </w:tcBorders>
          </w:tcPr>
          <w:p w:rsidR="00000000" w:rsidRDefault="00000000">
            <w:pPr>
              <w:ind w:right="57"/>
              <w:jc w:val="right"/>
              <w:rPr>
                <w:snapToGrid w:val="0"/>
                <w:sz w:val="18"/>
              </w:rPr>
            </w:pPr>
            <w:r>
              <w:rPr>
                <w:snapToGrid w:val="0"/>
                <w:sz w:val="18"/>
              </w:rPr>
              <w:t>2 734</w:t>
            </w:r>
          </w:p>
        </w:tc>
        <w:tc>
          <w:tcPr>
            <w:tcW w:w="992" w:type="dxa"/>
            <w:gridSpan w:val="2"/>
            <w:tcBorders>
              <w:top w:val="nil"/>
              <w:bottom w:val="single" w:sz="4" w:space="0" w:color="auto"/>
            </w:tcBorders>
          </w:tcPr>
          <w:p w:rsidR="00000000" w:rsidRDefault="00000000">
            <w:pPr>
              <w:ind w:right="113"/>
              <w:jc w:val="right"/>
              <w:rPr>
                <w:snapToGrid w:val="0"/>
                <w:sz w:val="18"/>
              </w:rPr>
            </w:pPr>
            <w:r>
              <w:rPr>
                <w:snapToGrid w:val="0"/>
                <w:sz w:val="18"/>
              </w:rPr>
              <w:t>809</w:t>
            </w:r>
          </w:p>
        </w:tc>
        <w:tc>
          <w:tcPr>
            <w:tcW w:w="1134" w:type="dxa"/>
            <w:gridSpan w:val="2"/>
            <w:tcBorders>
              <w:top w:val="nil"/>
              <w:bottom w:val="single" w:sz="4" w:space="0" w:color="auto"/>
            </w:tcBorders>
          </w:tcPr>
          <w:p w:rsidR="00000000" w:rsidRDefault="00000000">
            <w:pPr>
              <w:ind w:right="113"/>
              <w:jc w:val="right"/>
              <w:rPr>
                <w:snapToGrid w:val="0"/>
                <w:sz w:val="18"/>
              </w:rPr>
            </w:pPr>
            <w:r>
              <w:rPr>
                <w:snapToGrid w:val="0"/>
                <w:sz w:val="18"/>
              </w:rPr>
              <w:t>1 925</w:t>
            </w:r>
          </w:p>
        </w:tc>
        <w:tc>
          <w:tcPr>
            <w:tcW w:w="992" w:type="dxa"/>
            <w:gridSpan w:val="2"/>
            <w:tcBorders>
              <w:top w:val="nil"/>
              <w:bottom w:val="single" w:sz="4" w:space="0" w:color="auto"/>
            </w:tcBorders>
          </w:tcPr>
          <w:p w:rsidR="00000000" w:rsidRDefault="00000000">
            <w:pPr>
              <w:ind w:right="113"/>
              <w:jc w:val="right"/>
              <w:rPr>
                <w:snapToGrid w:val="0"/>
                <w:sz w:val="18"/>
              </w:rPr>
            </w:pPr>
            <w:r>
              <w:rPr>
                <w:snapToGrid w:val="0"/>
                <w:sz w:val="18"/>
              </w:rPr>
              <w:t>161</w:t>
            </w:r>
          </w:p>
        </w:tc>
        <w:tc>
          <w:tcPr>
            <w:tcW w:w="705" w:type="dxa"/>
            <w:gridSpan w:val="2"/>
            <w:tcBorders>
              <w:top w:val="nil"/>
              <w:bottom w:val="single" w:sz="4" w:space="0" w:color="auto"/>
            </w:tcBorders>
          </w:tcPr>
          <w:p w:rsidR="00000000" w:rsidRDefault="00000000">
            <w:pPr>
              <w:ind w:right="57"/>
              <w:jc w:val="right"/>
              <w:rPr>
                <w:snapToGrid w:val="0"/>
                <w:sz w:val="18"/>
              </w:rPr>
            </w:pPr>
            <w:r>
              <w:rPr>
                <w:snapToGrid w:val="0"/>
                <w:sz w:val="18"/>
              </w:rPr>
              <w:t>128</w:t>
            </w:r>
          </w:p>
        </w:tc>
      </w:tr>
      <w:tr w:rsidR="00000000">
        <w:tblPrEx>
          <w:tblCellMar>
            <w:top w:w="0" w:type="dxa"/>
            <w:bottom w:w="0" w:type="dxa"/>
          </w:tblCellMar>
        </w:tblPrEx>
        <w:trPr>
          <w:gridAfter w:val="1"/>
          <w:wAfter w:w="71" w:type="dxa"/>
          <w:cantSplit/>
          <w:trHeight w:val="155"/>
          <w:jc w:val="center"/>
        </w:trPr>
        <w:tc>
          <w:tcPr>
            <w:tcW w:w="1891" w:type="dxa"/>
            <w:gridSpan w:val="2"/>
            <w:tcBorders>
              <w:top w:val="single" w:sz="4" w:space="0" w:color="auto"/>
            </w:tcBorders>
          </w:tcPr>
          <w:p w:rsidR="00000000" w:rsidRDefault="00000000">
            <w:pPr>
              <w:rPr>
                <w:snapToGrid w:val="0"/>
                <w:sz w:val="18"/>
              </w:rPr>
            </w:pPr>
          </w:p>
        </w:tc>
        <w:tc>
          <w:tcPr>
            <w:tcW w:w="684" w:type="dxa"/>
            <w:gridSpan w:val="2"/>
            <w:tcBorders>
              <w:top w:val="single" w:sz="4" w:space="0" w:color="auto"/>
            </w:tcBorders>
          </w:tcPr>
          <w:p w:rsidR="00000000" w:rsidRDefault="00000000">
            <w:pPr>
              <w:rPr>
                <w:snapToGrid w:val="0"/>
                <w:sz w:val="18"/>
              </w:rPr>
            </w:pPr>
            <w:r>
              <w:rPr>
                <w:snapToGrid w:val="0"/>
                <w:sz w:val="18"/>
              </w:rPr>
              <w:t>1997</w:t>
            </w:r>
          </w:p>
        </w:tc>
        <w:tc>
          <w:tcPr>
            <w:tcW w:w="850" w:type="dxa"/>
            <w:gridSpan w:val="2"/>
            <w:tcBorders>
              <w:top w:val="single" w:sz="4" w:space="0" w:color="auto"/>
            </w:tcBorders>
          </w:tcPr>
          <w:p w:rsidR="00000000" w:rsidRDefault="00000000">
            <w:pPr>
              <w:jc w:val="right"/>
              <w:rPr>
                <w:snapToGrid w:val="0"/>
                <w:sz w:val="18"/>
              </w:rPr>
            </w:pPr>
            <w:r>
              <w:rPr>
                <w:snapToGrid w:val="0"/>
                <w:sz w:val="18"/>
              </w:rPr>
              <w:t>5 566</w:t>
            </w:r>
          </w:p>
        </w:tc>
        <w:tc>
          <w:tcPr>
            <w:tcW w:w="999" w:type="dxa"/>
            <w:gridSpan w:val="2"/>
            <w:tcBorders>
              <w:top w:val="single" w:sz="4" w:space="0" w:color="auto"/>
            </w:tcBorders>
          </w:tcPr>
          <w:p w:rsidR="00000000" w:rsidRDefault="00000000">
            <w:pPr>
              <w:ind w:right="113"/>
              <w:jc w:val="right"/>
              <w:rPr>
                <w:snapToGrid w:val="0"/>
                <w:sz w:val="18"/>
              </w:rPr>
            </w:pPr>
            <w:r>
              <w:rPr>
                <w:snapToGrid w:val="0"/>
                <w:sz w:val="18"/>
              </w:rPr>
              <w:t>277</w:t>
            </w:r>
          </w:p>
        </w:tc>
        <w:tc>
          <w:tcPr>
            <w:tcW w:w="869" w:type="dxa"/>
            <w:gridSpan w:val="2"/>
            <w:tcBorders>
              <w:top w:val="single" w:sz="4" w:space="0" w:color="auto"/>
            </w:tcBorders>
          </w:tcPr>
          <w:p w:rsidR="00000000" w:rsidRDefault="00000000">
            <w:pPr>
              <w:ind w:right="57"/>
              <w:jc w:val="right"/>
              <w:rPr>
                <w:snapToGrid w:val="0"/>
                <w:sz w:val="18"/>
              </w:rPr>
            </w:pPr>
            <w:r>
              <w:rPr>
                <w:snapToGrid w:val="0"/>
                <w:sz w:val="18"/>
              </w:rPr>
              <w:t>4 867</w:t>
            </w:r>
          </w:p>
        </w:tc>
        <w:tc>
          <w:tcPr>
            <w:tcW w:w="992" w:type="dxa"/>
            <w:gridSpan w:val="2"/>
            <w:tcBorders>
              <w:top w:val="single" w:sz="4" w:space="0" w:color="auto"/>
            </w:tcBorders>
          </w:tcPr>
          <w:p w:rsidR="00000000" w:rsidRDefault="00000000">
            <w:pPr>
              <w:ind w:right="113"/>
              <w:jc w:val="right"/>
              <w:rPr>
                <w:snapToGrid w:val="0"/>
                <w:sz w:val="18"/>
              </w:rPr>
            </w:pPr>
            <w:r>
              <w:rPr>
                <w:snapToGrid w:val="0"/>
                <w:sz w:val="18"/>
              </w:rPr>
              <w:t>2 142</w:t>
            </w:r>
          </w:p>
        </w:tc>
        <w:tc>
          <w:tcPr>
            <w:tcW w:w="1134" w:type="dxa"/>
            <w:gridSpan w:val="2"/>
            <w:tcBorders>
              <w:top w:val="single" w:sz="4" w:space="0" w:color="auto"/>
            </w:tcBorders>
          </w:tcPr>
          <w:p w:rsidR="00000000" w:rsidRDefault="00000000">
            <w:pPr>
              <w:ind w:right="113"/>
              <w:jc w:val="right"/>
              <w:rPr>
                <w:snapToGrid w:val="0"/>
                <w:sz w:val="18"/>
              </w:rPr>
            </w:pPr>
            <w:r>
              <w:rPr>
                <w:snapToGrid w:val="0"/>
                <w:sz w:val="18"/>
              </w:rPr>
              <w:t>2 725</w:t>
            </w:r>
          </w:p>
        </w:tc>
        <w:tc>
          <w:tcPr>
            <w:tcW w:w="992" w:type="dxa"/>
            <w:gridSpan w:val="2"/>
            <w:tcBorders>
              <w:top w:val="single" w:sz="4" w:space="0" w:color="auto"/>
            </w:tcBorders>
          </w:tcPr>
          <w:p w:rsidR="00000000" w:rsidRDefault="00000000">
            <w:pPr>
              <w:ind w:right="113"/>
              <w:jc w:val="right"/>
              <w:rPr>
                <w:snapToGrid w:val="0"/>
                <w:sz w:val="18"/>
              </w:rPr>
            </w:pPr>
            <w:r>
              <w:rPr>
                <w:snapToGrid w:val="0"/>
                <w:sz w:val="18"/>
              </w:rPr>
              <w:t>337</w:t>
            </w:r>
          </w:p>
        </w:tc>
        <w:tc>
          <w:tcPr>
            <w:tcW w:w="705" w:type="dxa"/>
            <w:gridSpan w:val="2"/>
            <w:tcBorders>
              <w:top w:val="single" w:sz="4" w:space="0" w:color="auto"/>
            </w:tcBorders>
          </w:tcPr>
          <w:p w:rsidR="00000000" w:rsidRDefault="00000000">
            <w:pPr>
              <w:ind w:right="57"/>
              <w:jc w:val="right"/>
              <w:rPr>
                <w:snapToGrid w:val="0"/>
                <w:sz w:val="18"/>
              </w:rPr>
            </w:pPr>
            <w:r>
              <w:rPr>
                <w:snapToGrid w:val="0"/>
                <w:sz w:val="18"/>
              </w:rPr>
              <w:t>85</w:t>
            </w:r>
          </w:p>
        </w:tc>
      </w:tr>
      <w:tr w:rsidR="00000000">
        <w:tblPrEx>
          <w:tblCellMar>
            <w:top w:w="0" w:type="dxa"/>
            <w:bottom w:w="0" w:type="dxa"/>
          </w:tblCellMar>
        </w:tblPrEx>
        <w:trPr>
          <w:gridAfter w:val="1"/>
          <w:wAfter w:w="71" w:type="dxa"/>
          <w:cantSplit/>
          <w:trHeight w:val="155"/>
          <w:jc w:val="center"/>
        </w:trPr>
        <w:tc>
          <w:tcPr>
            <w:tcW w:w="1891" w:type="dxa"/>
            <w:gridSpan w:val="2"/>
            <w:tcBorders>
              <w:bottom w:val="nil"/>
            </w:tcBorders>
          </w:tcPr>
          <w:p w:rsidR="00000000" w:rsidRDefault="00000000">
            <w:pPr>
              <w:rPr>
                <w:snapToGrid w:val="0"/>
                <w:sz w:val="18"/>
              </w:rPr>
            </w:pPr>
            <w:r>
              <w:rPr>
                <w:snapToGrid w:val="0"/>
                <w:sz w:val="18"/>
              </w:rPr>
              <w:t>Goiás</w:t>
            </w:r>
          </w:p>
        </w:tc>
        <w:tc>
          <w:tcPr>
            <w:tcW w:w="684" w:type="dxa"/>
            <w:gridSpan w:val="2"/>
            <w:tcBorders>
              <w:bottom w:val="nil"/>
            </w:tcBorders>
          </w:tcPr>
          <w:p w:rsidR="00000000" w:rsidRDefault="00000000">
            <w:pPr>
              <w:rPr>
                <w:snapToGrid w:val="0"/>
                <w:sz w:val="18"/>
              </w:rPr>
            </w:pPr>
            <w:r>
              <w:rPr>
                <w:snapToGrid w:val="0"/>
                <w:sz w:val="18"/>
              </w:rPr>
              <w:t>1998</w:t>
            </w:r>
          </w:p>
        </w:tc>
        <w:tc>
          <w:tcPr>
            <w:tcW w:w="850" w:type="dxa"/>
            <w:gridSpan w:val="2"/>
            <w:tcBorders>
              <w:bottom w:val="nil"/>
            </w:tcBorders>
          </w:tcPr>
          <w:p w:rsidR="00000000" w:rsidRDefault="00000000">
            <w:pPr>
              <w:jc w:val="right"/>
              <w:rPr>
                <w:snapToGrid w:val="0"/>
                <w:sz w:val="18"/>
              </w:rPr>
            </w:pPr>
            <w:r>
              <w:rPr>
                <w:snapToGrid w:val="0"/>
                <w:sz w:val="18"/>
              </w:rPr>
              <w:t>5 894</w:t>
            </w:r>
          </w:p>
        </w:tc>
        <w:tc>
          <w:tcPr>
            <w:tcW w:w="999" w:type="dxa"/>
            <w:gridSpan w:val="2"/>
            <w:tcBorders>
              <w:bottom w:val="nil"/>
            </w:tcBorders>
          </w:tcPr>
          <w:p w:rsidR="00000000" w:rsidRDefault="00000000">
            <w:pPr>
              <w:ind w:right="113"/>
              <w:jc w:val="right"/>
              <w:rPr>
                <w:snapToGrid w:val="0"/>
                <w:sz w:val="18"/>
              </w:rPr>
            </w:pPr>
            <w:r>
              <w:rPr>
                <w:snapToGrid w:val="0"/>
                <w:sz w:val="18"/>
              </w:rPr>
              <w:t>287</w:t>
            </w:r>
          </w:p>
        </w:tc>
        <w:tc>
          <w:tcPr>
            <w:tcW w:w="869" w:type="dxa"/>
            <w:gridSpan w:val="2"/>
            <w:tcBorders>
              <w:bottom w:val="nil"/>
            </w:tcBorders>
          </w:tcPr>
          <w:p w:rsidR="00000000" w:rsidRDefault="00000000">
            <w:pPr>
              <w:ind w:right="57"/>
              <w:jc w:val="right"/>
              <w:rPr>
                <w:snapToGrid w:val="0"/>
                <w:sz w:val="18"/>
              </w:rPr>
            </w:pPr>
            <w:r>
              <w:rPr>
                <w:snapToGrid w:val="0"/>
                <w:sz w:val="18"/>
              </w:rPr>
              <w:t>5 067</w:t>
            </w:r>
          </w:p>
        </w:tc>
        <w:tc>
          <w:tcPr>
            <w:tcW w:w="992" w:type="dxa"/>
            <w:gridSpan w:val="2"/>
            <w:tcBorders>
              <w:bottom w:val="nil"/>
            </w:tcBorders>
          </w:tcPr>
          <w:p w:rsidR="00000000" w:rsidRDefault="00000000">
            <w:pPr>
              <w:ind w:right="113"/>
              <w:jc w:val="right"/>
              <w:rPr>
                <w:snapToGrid w:val="0"/>
                <w:sz w:val="18"/>
              </w:rPr>
            </w:pPr>
            <w:r>
              <w:rPr>
                <w:snapToGrid w:val="0"/>
                <w:sz w:val="18"/>
              </w:rPr>
              <w:t>2 237</w:t>
            </w:r>
          </w:p>
        </w:tc>
        <w:tc>
          <w:tcPr>
            <w:tcW w:w="1134" w:type="dxa"/>
            <w:gridSpan w:val="2"/>
            <w:tcBorders>
              <w:bottom w:val="nil"/>
            </w:tcBorders>
          </w:tcPr>
          <w:p w:rsidR="00000000" w:rsidRDefault="00000000">
            <w:pPr>
              <w:ind w:right="113"/>
              <w:jc w:val="right"/>
              <w:rPr>
                <w:snapToGrid w:val="0"/>
                <w:sz w:val="18"/>
              </w:rPr>
            </w:pPr>
            <w:r>
              <w:rPr>
                <w:snapToGrid w:val="0"/>
                <w:sz w:val="18"/>
              </w:rPr>
              <w:t>2 830</w:t>
            </w:r>
          </w:p>
        </w:tc>
        <w:tc>
          <w:tcPr>
            <w:tcW w:w="992" w:type="dxa"/>
            <w:gridSpan w:val="2"/>
            <w:tcBorders>
              <w:bottom w:val="nil"/>
            </w:tcBorders>
          </w:tcPr>
          <w:p w:rsidR="00000000" w:rsidRDefault="00000000">
            <w:pPr>
              <w:ind w:right="113"/>
              <w:jc w:val="right"/>
              <w:rPr>
                <w:snapToGrid w:val="0"/>
                <w:sz w:val="18"/>
              </w:rPr>
            </w:pPr>
            <w:r>
              <w:rPr>
                <w:snapToGrid w:val="0"/>
                <w:sz w:val="18"/>
              </w:rPr>
              <w:t>396</w:t>
            </w:r>
          </w:p>
        </w:tc>
        <w:tc>
          <w:tcPr>
            <w:tcW w:w="705" w:type="dxa"/>
            <w:gridSpan w:val="2"/>
            <w:tcBorders>
              <w:bottom w:val="nil"/>
            </w:tcBorders>
          </w:tcPr>
          <w:p w:rsidR="00000000" w:rsidRDefault="00000000">
            <w:pPr>
              <w:ind w:right="57"/>
              <w:jc w:val="right"/>
              <w:rPr>
                <w:snapToGrid w:val="0"/>
                <w:sz w:val="18"/>
              </w:rPr>
            </w:pPr>
            <w:r>
              <w:rPr>
                <w:snapToGrid w:val="0"/>
                <w:sz w:val="18"/>
              </w:rPr>
              <w:t>144</w:t>
            </w:r>
          </w:p>
        </w:tc>
      </w:tr>
      <w:tr w:rsidR="00000000">
        <w:tblPrEx>
          <w:tblCellMar>
            <w:top w:w="0" w:type="dxa"/>
            <w:bottom w:w="0" w:type="dxa"/>
          </w:tblCellMar>
        </w:tblPrEx>
        <w:trPr>
          <w:gridAfter w:val="1"/>
          <w:wAfter w:w="71" w:type="dxa"/>
          <w:cantSplit/>
          <w:trHeight w:val="155"/>
          <w:jc w:val="center"/>
        </w:trPr>
        <w:tc>
          <w:tcPr>
            <w:tcW w:w="1891" w:type="dxa"/>
            <w:gridSpan w:val="2"/>
            <w:tcBorders>
              <w:top w:val="nil"/>
              <w:bottom w:val="single" w:sz="4" w:space="0" w:color="auto"/>
            </w:tcBorders>
          </w:tcPr>
          <w:p w:rsidR="00000000" w:rsidRDefault="00000000">
            <w:pPr>
              <w:rPr>
                <w:snapToGrid w:val="0"/>
                <w:sz w:val="18"/>
              </w:rPr>
            </w:pPr>
          </w:p>
        </w:tc>
        <w:tc>
          <w:tcPr>
            <w:tcW w:w="684" w:type="dxa"/>
            <w:gridSpan w:val="2"/>
            <w:tcBorders>
              <w:top w:val="nil"/>
              <w:bottom w:val="single" w:sz="4" w:space="0" w:color="auto"/>
            </w:tcBorders>
          </w:tcPr>
          <w:p w:rsidR="00000000" w:rsidRDefault="00000000">
            <w:pPr>
              <w:rPr>
                <w:snapToGrid w:val="0"/>
                <w:sz w:val="18"/>
              </w:rPr>
            </w:pPr>
            <w:r>
              <w:rPr>
                <w:snapToGrid w:val="0"/>
                <w:sz w:val="18"/>
              </w:rPr>
              <w:t>1999</w:t>
            </w:r>
          </w:p>
        </w:tc>
        <w:tc>
          <w:tcPr>
            <w:tcW w:w="850" w:type="dxa"/>
            <w:gridSpan w:val="2"/>
            <w:tcBorders>
              <w:top w:val="nil"/>
              <w:bottom w:val="single" w:sz="4" w:space="0" w:color="auto"/>
            </w:tcBorders>
          </w:tcPr>
          <w:p w:rsidR="00000000" w:rsidRDefault="00000000">
            <w:pPr>
              <w:jc w:val="right"/>
              <w:rPr>
                <w:snapToGrid w:val="0"/>
                <w:sz w:val="18"/>
              </w:rPr>
            </w:pPr>
            <w:r>
              <w:rPr>
                <w:snapToGrid w:val="0"/>
                <w:sz w:val="18"/>
              </w:rPr>
              <w:t>5 927</w:t>
            </w:r>
          </w:p>
        </w:tc>
        <w:tc>
          <w:tcPr>
            <w:tcW w:w="999" w:type="dxa"/>
            <w:gridSpan w:val="2"/>
            <w:tcBorders>
              <w:top w:val="nil"/>
              <w:bottom w:val="single" w:sz="4" w:space="0" w:color="auto"/>
            </w:tcBorders>
          </w:tcPr>
          <w:p w:rsidR="00000000" w:rsidRDefault="00000000">
            <w:pPr>
              <w:ind w:right="113"/>
              <w:jc w:val="right"/>
              <w:rPr>
                <w:snapToGrid w:val="0"/>
                <w:sz w:val="18"/>
              </w:rPr>
            </w:pPr>
            <w:r>
              <w:rPr>
                <w:snapToGrid w:val="0"/>
                <w:sz w:val="18"/>
              </w:rPr>
              <w:t>255</w:t>
            </w:r>
          </w:p>
        </w:tc>
        <w:tc>
          <w:tcPr>
            <w:tcW w:w="869" w:type="dxa"/>
            <w:gridSpan w:val="2"/>
            <w:tcBorders>
              <w:top w:val="nil"/>
              <w:bottom w:val="single" w:sz="4" w:space="0" w:color="auto"/>
            </w:tcBorders>
          </w:tcPr>
          <w:p w:rsidR="00000000" w:rsidRDefault="00000000">
            <w:pPr>
              <w:ind w:right="57"/>
              <w:jc w:val="right"/>
              <w:rPr>
                <w:snapToGrid w:val="0"/>
                <w:sz w:val="18"/>
              </w:rPr>
            </w:pPr>
            <w:r>
              <w:rPr>
                <w:snapToGrid w:val="0"/>
                <w:sz w:val="18"/>
              </w:rPr>
              <w:t>5 142</w:t>
            </w:r>
          </w:p>
        </w:tc>
        <w:tc>
          <w:tcPr>
            <w:tcW w:w="992" w:type="dxa"/>
            <w:gridSpan w:val="2"/>
            <w:tcBorders>
              <w:top w:val="nil"/>
              <w:bottom w:val="single" w:sz="4" w:space="0" w:color="auto"/>
            </w:tcBorders>
          </w:tcPr>
          <w:p w:rsidR="00000000" w:rsidRDefault="00000000">
            <w:pPr>
              <w:ind w:right="113"/>
              <w:jc w:val="right"/>
              <w:rPr>
                <w:snapToGrid w:val="0"/>
                <w:sz w:val="18"/>
              </w:rPr>
            </w:pPr>
            <w:r>
              <w:rPr>
                <w:snapToGrid w:val="0"/>
                <w:sz w:val="18"/>
              </w:rPr>
              <w:t>2 150</w:t>
            </w:r>
          </w:p>
        </w:tc>
        <w:tc>
          <w:tcPr>
            <w:tcW w:w="1134" w:type="dxa"/>
            <w:gridSpan w:val="2"/>
            <w:tcBorders>
              <w:top w:val="nil"/>
              <w:bottom w:val="single" w:sz="4" w:space="0" w:color="auto"/>
            </w:tcBorders>
          </w:tcPr>
          <w:p w:rsidR="00000000" w:rsidRDefault="00000000">
            <w:pPr>
              <w:ind w:right="113"/>
              <w:jc w:val="right"/>
              <w:rPr>
                <w:snapToGrid w:val="0"/>
                <w:sz w:val="18"/>
              </w:rPr>
            </w:pPr>
            <w:r>
              <w:rPr>
                <w:snapToGrid w:val="0"/>
                <w:sz w:val="18"/>
              </w:rPr>
              <w:t>2 992</w:t>
            </w:r>
          </w:p>
        </w:tc>
        <w:tc>
          <w:tcPr>
            <w:tcW w:w="992" w:type="dxa"/>
            <w:gridSpan w:val="2"/>
            <w:tcBorders>
              <w:top w:val="nil"/>
              <w:bottom w:val="single" w:sz="4" w:space="0" w:color="auto"/>
            </w:tcBorders>
          </w:tcPr>
          <w:p w:rsidR="00000000" w:rsidRDefault="00000000">
            <w:pPr>
              <w:ind w:right="113"/>
              <w:jc w:val="right"/>
              <w:rPr>
                <w:snapToGrid w:val="0"/>
                <w:sz w:val="18"/>
              </w:rPr>
            </w:pPr>
            <w:r>
              <w:rPr>
                <w:snapToGrid w:val="0"/>
                <w:sz w:val="18"/>
              </w:rPr>
              <w:t>402</w:t>
            </w:r>
          </w:p>
        </w:tc>
        <w:tc>
          <w:tcPr>
            <w:tcW w:w="705" w:type="dxa"/>
            <w:gridSpan w:val="2"/>
            <w:tcBorders>
              <w:top w:val="nil"/>
              <w:bottom w:val="single" w:sz="4" w:space="0" w:color="auto"/>
            </w:tcBorders>
          </w:tcPr>
          <w:p w:rsidR="00000000" w:rsidRDefault="00000000">
            <w:pPr>
              <w:ind w:right="57"/>
              <w:jc w:val="right"/>
              <w:rPr>
                <w:snapToGrid w:val="0"/>
                <w:sz w:val="18"/>
              </w:rPr>
            </w:pPr>
            <w:r>
              <w:rPr>
                <w:snapToGrid w:val="0"/>
                <w:sz w:val="18"/>
              </w:rPr>
              <w:t>128</w:t>
            </w:r>
          </w:p>
        </w:tc>
      </w:tr>
      <w:tr w:rsidR="00000000">
        <w:tblPrEx>
          <w:tblCellMar>
            <w:top w:w="0" w:type="dxa"/>
            <w:bottom w:w="0" w:type="dxa"/>
          </w:tblCellMar>
        </w:tblPrEx>
        <w:trPr>
          <w:gridAfter w:val="1"/>
          <w:wAfter w:w="71" w:type="dxa"/>
          <w:cantSplit/>
          <w:trHeight w:val="155"/>
          <w:jc w:val="center"/>
        </w:trPr>
        <w:tc>
          <w:tcPr>
            <w:tcW w:w="1891" w:type="dxa"/>
            <w:gridSpan w:val="2"/>
            <w:tcBorders>
              <w:top w:val="single" w:sz="4" w:space="0" w:color="auto"/>
            </w:tcBorders>
          </w:tcPr>
          <w:p w:rsidR="00000000" w:rsidRDefault="00000000">
            <w:pPr>
              <w:rPr>
                <w:snapToGrid w:val="0"/>
                <w:sz w:val="18"/>
              </w:rPr>
            </w:pPr>
          </w:p>
        </w:tc>
        <w:tc>
          <w:tcPr>
            <w:tcW w:w="684" w:type="dxa"/>
            <w:gridSpan w:val="2"/>
            <w:tcBorders>
              <w:top w:val="single" w:sz="4" w:space="0" w:color="auto"/>
            </w:tcBorders>
          </w:tcPr>
          <w:p w:rsidR="00000000" w:rsidRDefault="00000000">
            <w:pPr>
              <w:rPr>
                <w:snapToGrid w:val="0"/>
                <w:sz w:val="18"/>
              </w:rPr>
            </w:pPr>
            <w:r>
              <w:rPr>
                <w:snapToGrid w:val="0"/>
                <w:sz w:val="18"/>
              </w:rPr>
              <w:t>1997</w:t>
            </w:r>
          </w:p>
        </w:tc>
        <w:tc>
          <w:tcPr>
            <w:tcW w:w="850" w:type="dxa"/>
            <w:gridSpan w:val="2"/>
            <w:tcBorders>
              <w:top w:val="single" w:sz="4" w:space="0" w:color="auto"/>
            </w:tcBorders>
          </w:tcPr>
          <w:p w:rsidR="00000000" w:rsidRDefault="00000000">
            <w:pPr>
              <w:jc w:val="right"/>
              <w:rPr>
                <w:snapToGrid w:val="0"/>
                <w:sz w:val="18"/>
              </w:rPr>
            </w:pPr>
            <w:r>
              <w:rPr>
                <w:snapToGrid w:val="0"/>
                <w:sz w:val="18"/>
              </w:rPr>
              <w:t>2 388</w:t>
            </w:r>
          </w:p>
        </w:tc>
        <w:tc>
          <w:tcPr>
            <w:tcW w:w="999" w:type="dxa"/>
            <w:gridSpan w:val="2"/>
            <w:tcBorders>
              <w:top w:val="single" w:sz="4" w:space="0" w:color="auto"/>
            </w:tcBorders>
          </w:tcPr>
          <w:p w:rsidR="00000000" w:rsidRDefault="00000000">
            <w:pPr>
              <w:ind w:right="113"/>
              <w:jc w:val="right"/>
              <w:rPr>
                <w:snapToGrid w:val="0"/>
                <w:sz w:val="18"/>
              </w:rPr>
            </w:pPr>
            <w:r>
              <w:rPr>
                <w:snapToGrid w:val="0"/>
                <w:sz w:val="18"/>
              </w:rPr>
              <w:t>105</w:t>
            </w:r>
          </w:p>
        </w:tc>
        <w:tc>
          <w:tcPr>
            <w:tcW w:w="869" w:type="dxa"/>
            <w:gridSpan w:val="2"/>
            <w:tcBorders>
              <w:top w:val="single" w:sz="4" w:space="0" w:color="auto"/>
            </w:tcBorders>
          </w:tcPr>
          <w:p w:rsidR="00000000" w:rsidRDefault="00000000">
            <w:pPr>
              <w:ind w:right="57"/>
              <w:jc w:val="right"/>
              <w:rPr>
                <w:snapToGrid w:val="0"/>
                <w:sz w:val="18"/>
              </w:rPr>
            </w:pPr>
            <w:r>
              <w:rPr>
                <w:snapToGrid w:val="0"/>
                <w:sz w:val="18"/>
              </w:rPr>
              <w:t>1 960</w:t>
            </w:r>
          </w:p>
        </w:tc>
        <w:tc>
          <w:tcPr>
            <w:tcW w:w="992" w:type="dxa"/>
            <w:gridSpan w:val="2"/>
            <w:tcBorders>
              <w:top w:val="single" w:sz="4" w:space="0" w:color="auto"/>
            </w:tcBorders>
          </w:tcPr>
          <w:p w:rsidR="00000000" w:rsidRDefault="00000000">
            <w:pPr>
              <w:ind w:right="113"/>
              <w:jc w:val="right"/>
              <w:rPr>
                <w:snapToGrid w:val="0"/>
                <w:sz w:val="18"/>
              </w:rPr>
            </w:pPr>
            <w:r>
              <w:rPr>
                <w:snapToGrid w:val="0"/>
                <w:sz w:val="18"/>
              </w:rPr>
              <w:t>452</w:t>
            </w:r>
          </w:p>
        </w:tc>
        <w:tc>
          <w:tcPr>
            <w:tcW w:w="1134" w:type="dxa"/>
            <w:gridSpan w:val="2"/>
            <w:tcBorders>
              <w:top w:val="single" w:sz="4" w:space="0" w:color="auto"/>
            </w:tcBorders>
          </w:tcPr>
          <w:p w:rsidR="00000000" w:rsidRDefault="00000000">
            <w:pPr>
              <w:ind w:right="113"/>
              <w:jc w:val="right"/>
              <w:rPr>
                <w:snapToGrid w:val="0"/>
                <w:sz w:val="18"/>
              </w:rPr>
            </w:pPr>
            <w:r>
              <w:rPr>
                <w:snapToGrid w:val="0"/>
                <w:sz w:val="18"/>
              </w:rPr>
              <w:t>1 508</w:t>
            </w:r>
          </w:p>
        </w:tc>
        <w:tc>
          <w:tcPr>
            <w:tcW w:w="992" w:type="dxa"/>
            <w:gridSpan w:val="2"/>
            <w:tcBorders>
              <w:top w:val="single" w:sz="4" w:space="0" w:color="auto"/>
            </w:tcBorders>
          </w:tcPr>
          <w:p w:rsidR="00000000" w:rsidRDefault="00000000">
            <w:pPr>
              <w:ind w:right="113"/>
              <w:jc w:val="right"/>
              <w:rPr>
                <w:snapToGrid w:val="0"/>
                <w:sz w:val="18"/>
              </w:rPr>
            </w:pPr>
            <w:r>
              <w:rPr>
                <w:snapToGrid w:val="0"/>
                <w:sz w:val="18"/>
              </w:rPr>
              <w:t>281</w:t>
            </w:r>
          </w:p>
        </w:tc>
        <w:tc>
          <w:tcPr>
            <w:tcW w:w="705" w:type="dxa"/>
            <w:gridSpan w:val="2"/>
            <w:tcBorders>
              <w:top w:val="single" w:sz="4" w:space="0" w:color="auto"/>
            </w:tcBorders>
          </w:tcPr>
          <w:p w:rsidR="00000000" w:rsidRDefault="00000000">
            <w:pPr>
              <w:ind w:right="57"/>
              <w:jc w:val="right"/>
              <w:rPr>
                <w:snapToGrid w:val="0"/>
                <w:sz w:val="18"/>
              </w:rPr>
            </w:pPr>
            <w:r>
              <w:rPr>
                <w:snapToGrid w:val="0"/>
                <w:sz w:val="18"/>
              </w:rPr>
              <w:t>42</w:t>
            </w:r>
          </w:p>
        </w:tc>
      </w:tr>
      <w:tr w:rsidR="00000000">
        <w:tblPrEx>
          <w:tblCellMar>
            <w:top w:w="0" w:type="dxa"/>
            <w:bottom w:w="0" w:type="dxa"/>
          </w:tblCellMar>
        </w:tblPrEx>
        <w:trPr>
          <w:gridAfter w:val="1"/>
          <w:wAfter w:w="71" w:type="dxa"/>
          <w:cantSplit/>
          <w:trHeight w:val="155"/>
          <w:jc w:val="center"/>
        </w:trPr>
        <w:tc>
          <w:tcPr>
            <w:tcW w:w="1891" w:type="dxa"/>
            <w:gridSpan w:val="2"/>
            <w:tcBorders>
              <w:bottom w:val="nil"/>
            </w:tcBorders>
          </w:tcPr>
          <w:p w:rsidR="00000000" w:rsidRDefault="00000000">
            <w:pPr>
              <w:rPr>
                <w:snapToGrid w:val="0"/>
                <w:sz w:val="18"/>
              </w:rPr>
            </w:pPr>
            <w:r>
              <w:rPr>
                <w:snapToGrid w:val="0"/>
                <w:sz w:val="18"/>
              </w:rPr>
              <w:t>Distrito Federal</w:t>
            </w:r>
          </w:p>
        </w:tc>
        <w:tc>
          <w:tcPr>
            <w:tcW w:w="684" w:type="dxa"/>
            <w:gridSpan w:val="2"/>
            <w:tcBorders>
              <w:bottom w:val="nil"/>
            </w:tcBorders>
          </w:tcPr>
          <w:p w:rsidR="00000000" w:rsidRDefault="00000000">
            <w:pPr>
              <w:rPr>
                <w:snapToGrid w:val="0"/>
                <w:sz w:val="18"/>
              </w:rPr>
            </w:pPr>
            <w:r>
              <w:rPr>
                <w:snapToGrid w:val="0"/>
                <w:sz w:val="18"/>
              </w:rPr>
              <w:t>1998</w:t>
            </w:r>
          </w:p>
        </w:tc>
        <w:tc>
          <w:tcPr>
            <w:tcW w:w="850" w:type="dxa"/>
            <w:gridSpan w:val="2"/>
            <w:tcBorders>
              <w:bottom w:val="nil"/>
            </w:tcBorders>
          </w:tcPr>
          <w:p w:rsidR="00000000" w:rsidRDefault="00000000">
            <w:pPr>
              <w:jc w:val="right"/>
              <w:rPr>
                <w:snapToGrid w:val="0"/>
                <w:sz w:val="18"/>
              </w:rPr>
            </w:pPr>
            <w:r>
              <w:rPr>
                <w:snapToGrid w:val="0"/>
                <w:sz w:val="18"/>
              </w:rPr>
              <w:t>2 179</w:t>
            </w:r>
          </w:p>
        </w:tc>
        <w:tc>
          <w:tcPr>
            <w:tcW w:w="999" w:type="dxa"/>
            <w:gridSpan w:val="2"/>
            <w:tcBorders>
              <w:bottom w:val="nil"/>
            </w:tcBorders>
          </w:tcPr>
          <w:p w:rsidR="00000000" w:rsidRDefault="00000000">
            <w:pPr>
              <w:ind w:right="113"/>
              <w:jc w:val="right"/>
              <w:rPr>
                <w:snapToGrid w:val="0"/>
                <w:sz w:val="18"/>
              </w:rPr>
            </w:pPr>
            <w:r>
              <w:rPr>
                <w:snapToGrid w:val="0"/>
                <w:sz w:val="18"/>
              </w:rPr>
              <w:t>92</w:t>
            </w:r>
          </w:p>
        </w:tc>
        <w:tc>
          <w:tcPr>
            <w:tcW w:w="869" w:type="dxa"/>
            <w:gridSpan w:val="2"/>
            <w:tcBorders>
              <w:bottom w:val="nil"/>
            </w:tcBorders>
          </w:tcPr>
          <w:p w:rsidR="00000000" w:rsidRDefault="00000000">
            <w:pPr>
              <w:ind w:right="57"/>
              <w:jc w:val="right"/>
              <w:rPr>
                <w:snapToGrid w:val="0"/>
                <w:sz w:val="18"/>
              </w:rPr>
            </w:pPr>
            <w:r>
              <w:rPr>
                <w:snapToGrid w:val="0"/>
                <w:sz w:val="18"/>
              </w:rPr>
              <w:t>1 771</w:t>
            </w:r>
          </w:p>
        </w:tc>
        <w:tc>
          <w:tcPr>
            <w:tcW w:w="992" w:type="dxa"/>
            <w:gridSpan w:val="2"/>
            <w:tcBorders>
              <w:bottom w:val="nil"/>
            </w:tcBorders>
          </w:tcPr>
          <w:p w:rsidR="00000000" w:rsidRDefault="00000000">
            <w:pPr>
              <w:ind w:right="113"/>
              <w:jc w:val="right"/>
              <w:rPr>
                <w:snapToGrid w:val="0"/>
                <w:sz w:val="18"/>
              </w:rPr>
            </w:pPr>
            <w:r>
              <w:rPr>
                <w:snapToGrid w:val="0"/>
                <w:sz w:val="18"/>
              </w:rPr>
              <w:t>439</w:t>
            </w:r>
          </w:p>
        </w:tc>
        <w:tc>
          <w:tcPr>
            <w:tcW w:w="1134" w:type="dxa"/>
            <w:gridSpan w:val="2"/>
            <w:tcBorders>
              <w:bottom w:val="nil"/>
            </w:tcBorders>
          </w:tcPr>
          <w:p w:rsidR="00000000" w:rsidRDefault="00000000">
            <w:pPr>
              <w:ind w:right="113"/>
              <w:jc w:val="right"/>
              <w:rPr>
                <w:snapToGrid w:val="0"/>
                <w:sz w:val="18"/>
              </w:rPr>
            </w:pPr>
            <w:r>
              <w:rPr>
                <w:snapToGrid w:val="0"/>
                <w:sz w:val="18"/>
              </w:rPr>
              <w:t>1 332</w:t>
            </w:r>
          </w:p>
        </w:tc>
        <w:tc>
          <w:tcPr>
            <w:tcW w:w="992" w:type="dxa"/>
            <w:gridSpan w:val="2"/>
            <w:tcBorders>
              <w:bottom w:val="nil"/>
            </w:tcBorders>
          </w:tcPr>
          <w:p w:rsidR="00000000" w:rsidRDefault="00000000">
            <w:pPr>
              <w:ind w:right="113"/>
              <w:jc w:val="right"/>
              <w:rPr>
                <w:snapToGrid w:val="0"/>
                <w:sz w:val="18"/>
              </w:rPr>
            </w:pPr>
            <w:r>
              <w:rPr>
                <w:snapToGrid w:val="0"/>
                <w:sz w:val="18"/>
              </w:rPr>
              <w:t>249</w:t>
            </w:r>
          </w:p>
        </w:tc>
        <w:tc>
          <w:tcPr>
            <w:tcW w:w="705" w:type="dxa"/>
            <w:gridSpan w:val="2"/>
            <w:tcBorders>
              <w:bottom w:val="nil"/>
            </w:tcBorders>
          </w:tcPr>
          <w:p w:rsidR="00000000" w:rsidRDefault="00000000">
            <w:pPr>
              <w:ind w:right="57"/>
              <w:jc w:val="right"/>
              <w:rPr>
                <w:snapToGrid w:val="0"/>
                <w:sz w:val="18"/>
              </w:rPr>
            </w:pPr>
            <w:r>
              <w:rPr>
                <w:snapToGrid w:val="0"/>
                <w:sz w:val="18"/>
              </w:rPr>
              <w:t>67</w:t>
            </w:r>
          </w:p>
        </w:tc>
      </w:tr>
      <w:tr w:rsidR="00000000">
        <w:tblPrEx>
          <w:tblCellMar>
            <w:top w:w="0" w:type="dxa"/>
            <w:bottom w:w="0" w:type="dxa"/>
          </w:tblCellMar>
        </w:tblPrEx>
        <w:trPr>
          <w:gridAfter w:val="1"/>
          <w:wAfter w:w="71" w:type="dxa"/>
          <w:cantSplit/>
          <w:trHeight w:val="155"/>
          <w:jc w:val="center"/>
        </w:trPr>
        <w:tc>
          <w:tcPr>
            <w:tcW w:w="1891" w:type="dxa"/>
            <w:gridSpan w:val="2"/>
            <w:tcBorders>
              <w:top w:val="nil"/>
              <w:bottom w:val="single" w:sz="4" w:space="0" w:color="auto"/>
            </w:tcBorders>
          </w:tcPr>
          <w:p w:rsidR="00000000" w:rsidRDefault="00000000">
            <w:pPr>
              <w:rPr>
                <w:snapToGrid w:val="0"/>
                <w:sz w:val="18"/>
              </w:rPr>
            </w:pPr>
          </w:p>
        </w:tc>
        <w:tc>
          <w:tcPr>
            <w:tcW w:w="684" w:type="dxa"/>
            <w:gridSpan w:val="2"/>
            <w:tcBorders>
              <w:top w:val="nil"/>
              <w:bottom w:val="single" w:sz="4" w:space="0" w:color="auto"/>
            </w:tcBorders>
          </w:tcPr>
          <w:p w:rsidR="00000000" w:rsidRDefault="00000000">
            <w:pPr>
              <w:rPr>
                <w:snapToGrid w:val="0"/>
                <w:sz w:val="18"/>
              </w:rPr>
            </w:pPr>
            <w:r>
              <w:rPr>
                <w:snapToGrid w:val="0"/>
                <w:sz w:val="18"/>
              </w:rPr>
              <w:t>1999</w:t>
            </w:r>
          </w:p>
        </w:tc>
        <w:tc>
          <w:tcPr>
            <w:tcW w:w="850" w:type="dxa"/>
            <w:gridSpan w:val="2"/>
            <w:tcBorders>
              <w:top w:val="nil"/>
              <w:bottom w:val="single" w:sz="4" w:space="0" w:color="auto"/>
            </w:tcBorders>
          </w:tcPr>
          <w:p w:rsidR="00000000" w:rsidRDefault="00000000">
            <w:pPr>
              <w:jc w:val="right"/>
              <w:rPr>
                <w:snapToGrid w:val="0"/>
                <w:sz w:val="18"/>
              </w:rPr>
            </w:pPr>
            <w:r>
              <w:rPr>
                <w:snapToGrid w:val="0"/>
                <w:sz w:val="18"/>
              </w:rPr>
              <w:t>2 006</w:t>
            </w:r>
          </w:p>
        </w:tc>
        <w:tc>
          <w:tcPr>
            <w:tcW w:w="999" w:type="dxa"/>
            <w:gridSpan w:val="2"/>
            <w:tcBorders>
              <w:top w:val="nil"/>
              <w:bottom w:val="single" w:sz="4" w:space="0" w:color="auto"/>
            </w:tcBorders>
          </w:tcPr>
          <w:p w:rsidR="00000000" w:rsidRDefault="00000000">
            <w:pPr>
              <w:ind w:right="113"/>
              <w:jc w:val="right"/>
              <w:rPr>
                <w:snapToGrid w:val="0"/>
                <w:sz w:val="18"/>
              </w:rPr>
            </w:pPr>
            <w:r>
              <w:rPr>
                <w:snapToGrid w:val="0"/>
                <w:sz w:val="18"/>
              </w:rPr>
              <w:t>105</w:t>
            </w:r>
          </w:p>
        </w:tc>
        <w:tc>
          <w:tcPr>
            <w:tcW w:w="869" w:type="dxa"/>
            <w:gridSpan w:val="2"/>
            <w:tcBorders>
              <w:top w:val="nil"/>
              <w:bottom w:val="single" w:sz="4" w:space="0" w:color="auto"/>
            </w:tcBorders>
          </w:tcPr>
          <w:p w:rsidR="00000000" w:rsidRDefault="00000000">
            <w:pPr>
              <w:ind w:right="57"/>
              <w:jc w:val="right"/>
              <w:rPr>
                <w:snapToGrid w:val="0"/>
                <w:sz w:val="18"/>
              </w:rPr>
            </w:pPr>
            <w:r>
              <w:rPr>
                <w:snapToGrid w:val="0"/>
                <w:sz w:val="18"/>
              </w:rPr>
              <w:t>1 697</w:t>
            </w:r>
          </w:p>
        </w:tc>
        <w:tc>
          <w:tcPr>
            <w:tcW w:w="992" w:type="dxa"/>
            <w:gridSpan w:val="2"/>
            <w:tcBorders>
              <w:top w:val="nil"/>
              <w:bottom w:val="single" w:sz="4" w:space="0" w:color="auto"/>
            </w:tcBorders>
          </w:tcPr>
          <w:p w:rsidR="00000000" w:rsidRDefault="00000000">
            <w:pPr>
              <w:ind w:right="113"/>
              <w:jc w:val="right"/>
              <w:rPr>
                <w:snapToGrid w:val="0"/>
                <w:sz w:val="18"/>
              </w:rPr>
            </w:pPr>
            <w:r>
              <w:rPr>
                <w:snapToGrid w:val="0"/>
                <w:sz w:val="18"/>
              </w:rPr>
              <w:t>385</w:t>
            </w:r>
          </w:p>
        </w:tc>
        <w:tc>
          <w:tcPr>
            <w:tcW w:w="1134" w:type="dxa"/>
            <w:gridSpan w:val="2"/>
            <w:tcBorders>
              <w:top w:val="nil"/>
              <w:bottom w:val="single" w:sz="4" w:space="0" w:color="auto"/>
            </w:tcBorders>
          </w:tcPr>
          <w:p w:rsidR="00000000" w:rsidRDefault="00000000">
            <w:pPr>
              <w:ind w:right="113"/>
              <w:jc w:val="right"/>
              <w:rPr>
                <w:snapToGrid w:val="0"/>
                <w:sz w:val="18"/>
              </w:rPr>
            </w:pPr>
            <w:r>
              <w:rPr>
                <w:snapToGrid w:val="0"/>
                <w:sz w:val="18"/>
              </w:rPr>
              <w:t>1 312</w:t>
            </w:r>
          </w:p>
        </w:tc>
        <w:tc>
          <w:tcPr>
            <w:tcW w:w="992" w:type="dxa"/>
            <w:gridSpan w:val="2"/>
            <w:tcBorders>
              <w:top w:val="nil"/>
              <w:bottom w:val="single" w:sz="4" w:space="0" w:color="auto"/>
            </w:tcBorders>
          </w:tcPr>
          <w:p w:rsidR="00000000" w:rsidRDefault="00000000">
            <w:pPr>
              <w:ind w:right="113"/>
              <w:jc w:val="right"/>
              <w:rPr>
                <w:snapToGrid w:val="0"/>
                <w:sz w:val="18"/>
              </w:rPr>
            </w:pPr>
            <w:r>
              <w:rPr>
                <w:snapToGrid w:val="0"/>
                <w:sz w:val="18"/>
              </w:rPr>
              <w:t>126</w:t>
            </w:r>
          </w:p>
        </w:tc>
        <w:tc>
          <w:tcPr>
            <w:tcW w:w="705" w:type="dxa"/>
            <w:gridSpan w:val="2"/>
            <w:tcBorders>
              <w:top w:val="nil"/>
              <w:bottom w:val="single" w:sz="4" w:space="0" w:color="auto"/>
            </w:tcBorders>
          </w:tcPr>
          <w:p w:rsidR="00000000" w:rsidRDefault="00000000">
            <w:pPr>
              <w:ind w:right="57"/>
              <w:jc w:val="right"/>
              <w:rPr>
                <w:snapToGrid w:val="0"/>
                <w:sz w:val="18"/>
              </w:rPr>
            </w:pPr>
            <w:r>
              <w:rPr>
                <w:snapToGrid w:val="0"/>
                <w:sz w:val="18"/>
              </w:rPr>
              <w:t>78</w:t>
            </w:r>
          </w:p>
        </w:tc>
      </w:tr>
      <w:tr w:rsidR="00000000">
        <w:tblPrEx>
          <w:tblCellMar>
            <w:top w:w="0" w:type="dxa"/>
            <w:bottom w:w="0" w:type="dxa"/>
          </w:tblCellMar>
        </w:tblPrEx>
        <w:trPr>
          <w:gridAfter w:val="1"/>
          <w:wAfter w:w="71" w:type="dxa"/>
          <w:cantSplit/>
          <w:trHeight w:val="155"/>
          <w:jc w:val="center"/>
        </w:trPr>
        <w:tc>
          <w:tcPr>
            <w:tcW w:w="1891" w:type="dxa"/>
            <w:gridSpan w:val="2"/>
            <w:tcBorders>
              <w:top w:val="single" w:sz="4" w:space="0" w:color="auto"/>
            </w:tcBorders>
          </w:tcPr>
          <w:p w:rsidR="00000000" w:rsidRDefault="00000000">
            <w:pPr>
              <w:rPr>
                <w:snapToGrid w:val="0"/>
                <w:sz w:val="18"/>
              </w:rPr>
            </w:pPr>
          </w:p>
        </w:tc>
        <w:tc>
          <w:tcPr>
            <w:tcW w:w="684" w:type="dxa"/>
            <w:gridSpan w:val="2"/>
            <w:tcBorders>
              <w:top w:val="single" w:sz="4" w:space="0" w:color="auto"/>
            </w:tcBorders>
          </w:tcPr>
          <w:p w:rsidR="00000000" w:rsidRDefault="00000000">
            <w:pPr>
              <w:rPr>
                <w:snapToGrid w:val="0"/>
                <w:sz w:val="18"/>
              </w:rPr>
            </w:pPr>
            <w:r>
              <w:rPr>
                <w:snapToGrid w:val="0"/>
                <w:sz w:val="18"/>
              </w:rPr>
              <w:t>1997</w:t>
            </w:r>
          </w:p>
        </w:tc>
        <w:tc>
          <w:tcPr>
            <w:tcW w:w="850" w:type="dxa"/>
            <w:gridSpan w:val="2"/>
            <w:tcBorders>
              <w:top w:val="single" w:sz="4" w:space="0" w:color="auto"/>
            </w:tcBorders>
          </w:tcPr>
          <w:p w:rsidR="00000000" w:rsidRDefault="00000000">
            <w:pPr>
              <w:jc w:val="right"/>
              <w:rPr>
                <w:snapToGrid w:val="0"/>
                <w:sz w:val="18"/>
              </w:rPr>
            </w:pPr>
            <w:r>
              <w:rPr>
                <w:snapToGrid w:val="0"/>
                <w:sz w:val="18"/>
              </w:rPr>
              <w:noBreakHyphen/>
            </w:r>
          </w:p>
        </w:tc>
        <w:tc>
          <w:tcPr>
            <w:tcW w:w="999" w:type="dxa"/>
            <w:gridSpan w:val="2"/>
            <w:tcBorders>
              <w:top w:val="single" w:sz="4" w:space="0" w:color="auto"/>
            </w:tcBorders>
          </w:tcPr>
          <w:p w:rsidR="00000000" w:rsidRDefault="00000000">
            <w:pPr>
              <w:ind w:right="113"/>
              <w:jc w:val="right"/>
              <w:rPr>
                <w:snapToGrid w:val="0"/>
                <w:sz w:val="18"/>
              </w:rPr>
            </w:pPr>
            <w:r>
              <w:rPr>
                <w:snapToGrid w:val="0"/>
                <w:sz w:val="18"/>
              </w:rPr>
              <w:noBreakHyphen/>
            </w:r>
          </w:p>
        </w:tc>
        <w:tc>
          <w:tcPr>
            <w:tcW w:w="869" w:type="dxa"/>
            <w:gridSpan w:val="2"/>
            <w:tcBorders>
              <w:top w:val="single" w:sz="4" w:space="0" w:color="auto"/>
            </w:tcBorders>
          </w:tcPr>
          <w:p w:rsidR="00000000" w:rsidRDefault="00000000">
            <w:pPr>
              <w:ind w:right="57"/>
              <w:jc w:val="right"/>
              <w:rPr>
                <w:snapToGrid w:val="0"/>
                <w:sz w:val="18"/>
              </w:rPr>
            </w:pPr>
            <w:r>
              <w:rPr>
                <w:snapToGrid w:val="0"/>
                <w:sz w:val="18"/>
              </w:rPr>
              <w:noBreakHyphen/>
            </w:r>
          </w:p>
        </w:tc>
        <w:tc>
          <w:tcPr>
            <w:tcW w:w="992" w:type="dxa"/>
            <w:gridSpan w:val="2"/>
            <w:tcBorders>
              <w:top w:val="single" w:sz="4" w:space="0" w:color="auto"/>
            </w:tcBorders>
          </w:tcPr>
          <w:p w:rsidR="00000000" w:rsidRDefault="00000000">
            <w:pPr>
              <w:ind w:right="113"/>
              <w:jc w:val="right"/>
              <w:rPr>
                <w:snapToGrid w:val="0"/>
                <w:sz w:val="18"/>
              </w:rPr>
            </w:pPr>
            <w:r>
              <w:rPr>
                <w:snapToGrid w:val="0"/>
                <w:sz w:val="18"/>
              </w:rPr>
              <w:noBreakHyphen/>
            </w:r>
          </w:p>
        </w:tc>
        <w:tc>
          <w:tcPr>
            <w:tcW w:w="1134" w:type="dxa"/>
            <w:gridSpan w:val="2"/>
            <w:tcBorders>
              <w:top w:val="single" w:sz="4" w:space="0" w:color="auto"/>
            </w:tcBorders>
          </w:tcPr>
          <w:p w:rsidR="00000000" w:rsidRDefault="00000000">
            <w:pPr>
              <w:ind w:right="113"/>
              <w:jc w:val="right"/>
              <w:rPr>
                <w:snapToGrid w:val="0"/>
                <w:sz w:val="18"/>
              </w:rPr>
            </w:pPr>
          </w:p>
        </w:tc>
        <w:tc>
          <w:tcPr>
            <w:tcW w:w="992" w:type="dxa"/>
            <w:gridSpan w:val="2"/>
            <w:tcBorders>
              <w:top w:val="single" w:sz="4" w:space="0" w:color="auto"/>
            </w:tcBorders>
          </w:tcPr>
          <w:p w:rsidR="00000000" w:rsidRDefault="00000000">
            <w:pPr>
              <w:ind w:right="113"/>
              <w:jc w:val="right"/>
              <w:rPr>
                <w:snapToGrid w:val="0"/>
                <w:sz w:val="18"/>
              </w:rPr>
            </w:pPr>
            <w:r>
              <w:rPr>
                <w:snapToGrid w:val="0"/>
                <w:sz w:val="18"/>
              </w:rPr>
              <w:noBreakHyphen/>
            </w:r>
          </w:p>
        </w:tc>
        <w:tc>
          <w:tcPr>
            <w:tcW w:w="705" w:type="dxa"/>
            <w:gridSpan w:val="2"/>
            <w:tcBorders>
              <w:top w:val="single" w:sz="4" w:space="0" w:color="auto"/>
            </w:tcBorders>
          </w:tcPr>
          <w:p w:rsidR="00000000" w:rsidRDefault="00000000">
            <w:pPr>
              <w:ind w:right="57"/>
              <w:jc w:val="right"/>
              <w:rPr>
                <w:snapToGrid w:val="0"/>
                <w:sz w:val="18"/>
              </w:rPr>
            </w:pPr>
            <w:r>
              <w:rPr>
                <w:snapToGrid w:val="0"/>
                <w:sz w:val="18"/>
              </w:rPr>
              <w:noBreakHyphen/>
            </w:r>
          </w:p>
        </w:tc>
      </w:tr>
      <w:tr w:rsidR="00000000">
        <w:tblPrEx>
          <w:tblCellMar>
            <w:top w:w="0" w:type="dxa"/>
            <w:bottom w:w="0" w:type="dxa"/>
          </w:tblCellMar>
        </w:tblPrEx>
        <w:trPr>
          <w:gridAfter w:val="1"/>
          <w:wAfter w:w="71" w:type="dxa"/>
          <w:cantSplit/>
          <w:trHeight w:val="155"/>
          <w:jc w:val="center"/>
        </w:trPr>
        <w:tc>
          <w:tcPr>
            <w:tcW w:w="1891" w:type="dxa"/>
            <w:gridSpan w:val="2"/>
          </w:tcPr>
          <w:p w:rsidR="00000000" w:rsidRDefault="00000000">
            <w:pPr>
              <w:rPr>
                <w:snapToGrid w:val="0"/>
                <w:sz w:val="18"/>
              </w:rPr>
            </w:pPr>
            <w:r>
              <w:rPr>
                <w:snapToGrid w:val="0"/>
                <w:sz w:val="18"/>
              </w:rPr>
              <w:t>Unknown</w:t>
            </w:r>
          </w:p>
        </w:tc>
        <w:tc>
          <w:tcPr>
            <w:tcW w:w="684" w:type="dxa"/>
            <w:gridSpan w:val="2"/>
          </w:tcPr>
          <w:p w:rsidR="00000000" w:rsidRDefault="00000000">
            <w:pPr>
              <w:rPr>
                <w:snapToGrid w:val="0"/>
                <w:sz w:val="18"/>
              </w:rPr>
            </w:pPr>
            <w:r>
              <w:rPr>
                <w:snapToGrid w:val="0"/>
                <w:sz w:val="18"/>
              </w:rPr>
              <w:t>1998</w:t>
            </w:r>
          </w:p>
        </w:tc>
        <w:tc>
          <w:tcPr>
            <w:tcW w:w="850" w:type="dxa"/>
            <w:gridSpan w:val="2"/>
          </w:tcPr>
          <w:p w:rsidR="00000000" w:rsidRDefault="00000000">
            <w:pPr>
              <w:jc w:val="right"/>
              <w:rPr>
                <w:snapToGrid w:val="0"/>
                <w:sz w:val="18"/>
              </w:rPr>
            </w:pPr>
            <w:r>
              <w:rPr>
                <w:snapToGrid w:val="0"/>
                <w:sz w:val="18"/>
              </w:rPr>
              <w:t>1</w:t>
            </w:r>
          </w:p>
        </w:tc>
        <w:tc>
          <w:tcPr>
            <w:tcW w:w="999" w:type="dxa"/>
            <w:gridSpan w:val="2"/>
          </w:tcPr>
          <w:p w:rsidR="00000000" w:rsidRDefault="00000000">
            <w:pPr>
              <w:ind w:right="113"/>
              <w:jc w:val="right"/>
              <w:rPr>
                <w:snapToGrid w:val="0"/>
                <w:sz w:val="18"/>
              </w:rPr>
            </w:pPr>
            <w:r>
              <w:rPr>
                <w:snapToGrid w:val="0"/>
                <w:sz w:val="18"/>
              </w:rPr>
              <w:noBreakHyphen/>
            </w:r>
          </w:p>
        </w:tc>
        <w:tc>
          <w:tcPr>
            <w:tcW w:w="869" w:type="dxa"/>
            <w:gridSpan w:val="2"/>
          </w:tcPr>
          <w:p w:rsidR="00000000" w:rsidRDefault="00000000">
            <w:pPr>
              <w:ind w:right="57"/>
              <w:jc w:val="right"/>
              <w:rPr>
                <w:snapToGrid w:val="0"/>
                <w:sz w:val="18"/>
              </w:rPr>
            </w:pPr>
            <w:r>
              <w:rPr>
                <w:snapToGrid w:val="0"/>
                <w:sz w:val="18"/>
              </w:rPr>
              <w:noBreakHyphen/>
            </w:r>
          </w:p>
        </w:tc>
        <w:tc>
          <w:tcPr>
            <w:tcW w:w="992" w:type="dxa"/>
            <w:gridSpan w:val="2"/>
          </w:tcPr>
          <w:p w:rsidR="00000000" w:rsidRDefault="00000000">
            <w:pPr>
              <w:ind w:right="113"/>
              <w:jc w:val="right"/>
              <w:rPr>
                <w:snapToGrid w:val="0"/>
                <w:sz w:val="18"/>
              </w:rPr>
            </w:pPr>
            <w:r>
              <w:rPr>
                <w:snapToGrid w:val="0"/>
                <w:sz w:val="18"/>
              </w:rPr>
              <w:noBreakHyphen/>
            </w:r>
          </w:p>
        </w:tc>
        <w:tc>
          <w:tcPr>
            <w:tcW w:w="1134" w:type="dxa"/>
            <w:gridSpan w:val="2"/>
          </w:tcPr>
          <w:p w:rsidR="00000000" w:rsidRDefault="00000000">
            <w:pPr>
              <w:ind w:right="113"/>
              <w:jc w:val="right"/>
              <w:rPr>
                <w:snapToGrid w:val="0"/>
                <w:sz w:val="18"/>
              </w:rPr>
            </w:pPr>
            <w:r>
              <w:rPr>
                <w:snapToGrid w:val="0"/>
                <w:sz w:val="18"/>
              </w:rPr>
              <w:noBreakHyphen/>
            </w:r>
          </w:p>
        </w:tc>
        <w:tc>
          <w:tcPr>
            <w:tcW w:w="992" w:type="dxa"/>
            <w:gridSpan w:val="2"/>
          </w:tcPr>
          <w:p w:rsidR="00000000" w:rsidRDefault="00000000">
            <w:pPr>
              <w:ind w:right="113"/>
              <w:jc w:val="right"/>
              <w:rPr>
                <w:snapToGrid w:val="0"/>
                <w:sz w:val="18"/>
              </w:rPr>
            </w:pPr>
            <w:r>
              <w:rPr>
                <w:snapToGrid w:val="0"/>
                <w:sz w:val="18"/>
              </w:rPr>
              <w:noBreakHyphen/>
            </w:r>
          </w:p>
        </w:tc>
        <w:tc>
          <w:tcPr>
            <w:tcW w:w="705" w:type="dxa"/>
            <w:gridSpan w:val="2"/>
          </w:tcPr>
          <w:p w:rsidR="00000000" w:rsidRDefault="00000000">
            <w:pPr>
              <w:ind w:right="57"/>
              <w:jc w:val="right"/>
              <w:rPr>
                <w:snapToGrid w:val="0"/>
                <w:sz w:val="18"/>
              </w:rPr>
            </w:pPr>
            <w:r>
              <w:rPr>
                <w:snapToGrid w:val="0"/>
                <w:sz w:val="18"/>
              </w:rPr>
              <w:t>1</w:t>
            </w:r>
          </w:p>
        </w:tc>
      </w:tr>
      <w:tr w:rsidR="00000000">
        <w:tblPrEx>
          <w:tblCellMar>
            <w:top w:w="0" w:type="dxa"/>
            <w:bottom w:w="0" w:type="dxa"/>
          </w:tblCellMar>
        </w:tblPrEx>
        <w:trPr>
          <w:gridAfter w:val="1"/>
          <w:wAfter w:w="71" w:type="dxa"/>
          <w:cantSplit/>
          <w:trHeight w:val="155"/>
          <w:jc w:val="center"/>
        </w:trPr>
        <w:tc>
          <w:tcPr>
            <w:tcW w:w="1891" w:type="dxa"/>
            <w:gridSpan w:val="2"/>
          </w:tcPr>
          <w:p w:rsidR="00000000" w:rsidRDefault="00000000">
            <w:pPr>
              <w:rPr>
                <w:snapToGrid w:val="0"/>
                <w:sz w:val="18"/>
              </w:rPr>
            </w:pPr>
          </w:p>
        </w:tc>
        <w:tc>
          <w:tcPr>
            <w:tcW w:w="684" w:type="dxa"/>
            <w:gridSpan w:val="2"/>
          </w:tcPr>
          <w:p w:rsidR="00000000" w:rsidRDefault="00000000">
            <w:pPr>
              <w:rPr>
                <w:snapToGrid w:val="0"/>
                <w:sz w:val="18"/>
              </w:rPr>
            </w:pPr>
            <w:r>
              <w:rPr>
                <w:snapToGrid w:val="0"/>
                <w:sz w:val="18"/>
              </w:rPr>
              <w:t>1999</w:t>
            </w:r>
          </w:p>
        </w:tc>
        <w:tc>
          <w:tcPr>
            <w:tcW w:w="850" w:type="dxa"/>
            <w:gridSpan w:val="2"/>
          </w:tcPr>
          <w:p w:rsidR="00000000" w:rsidRDefault="00000000">
            <w:pPr>
              <w:jc w:val="right"/>
              <w:rPr>
                <w:snapToGrid w:val="0"/>
                <w:sz w:val="18"/>
              </w:rPr>
            </w:pPr>
            <w:r>
              <w:rPr>
                <w:snapToGrid w:val="0"/>
                <w:sz w:val="18"/>
              </w:rPr>
              <w:noBreakHyphen/>
            </w:r>
          </w:p>
        </w:tc>
        <w:tc>
          <w:tcPr>
            <w:tcW w:w="999" w:type="dxa"/>
            <w:gridSpan w:val="2"/>
          </w:tcPr>
          <w:p w:rsidR="00000000" w:rsidRDefault="00000000">
            <w:pPr>
              <w:ind w:right="113"/>
              <w:jc w:val="right"/>
              <w:rPr>
                <w:snapToGrid w:val="0"/>
                <w:sz w:val="18"/>
              </w:rPr>
            </w:pPr>
            <w:r>
              <w:rPr>
                <w:snapToGrid w:val="0"/>
                <w:sz w:val="18"/>
              </w:rPr>
              <w:noBreakHyphen/>
            </w:r>
          </w:p>
        </w:tc>
        <w:tc>
          <w:tcPr>
            <w:tcW w:w="869" w:type="dxa"/>
            <w:gridSpan w:val="2"/>
          </w:tcPr>
          <w:p w:rsidR="00000000" w:rsidRDefault="00000000">
            <w:pPr>
              <w:ind w:right="57"/>
              <w:jc w:val="right"/>
              <w:rPr>
                <w:snapToGrid w:val="0"/>
                <w:sz w:val="18"/>
              </w:rPr>
            </w:pPr>
            <w:r>
              <w:rPr>
                <w:snapToGrid w:val="0"/>
                <w:sz w:val="18"/>
              </w:rPr>
              <w:noBreakHyphen/>
            </w:r>
          </w:p>
        </w:tc>
        <w:tc>
          <w:tcPr>
            <w:tcW w:w="992" w:type="dxa"/>
            <w:gridSpan w:val="2"/>
          </w:tcPr>
          <w:p w:rsidR="00000000" w:rsidRDefault="00000000">
            <w:pPr>
              <w:ind w:right="113"/>
              <w:jc w:val="right"/>
              <w:rPr>
                <w:snapToGrid w:val="0"/>
                <w:sz w:val="18"/>
              </w:rPr>
            </w:pPr>
            <w:r>
              <w:rPr>
                <w:snapToGrid w:val="0"/>
                <w:sz w:val="18"/>
              </w:rPr>
              <w:noBreakHyphen/>
            </w:r>
          </w:p>
        </w:tc>
        <w:tc>
          <w:tcPr>
            <w:tcW w:w="1134" w:type="dxa"/>
            <w:gridSpan w:val="2"/>
          </w:tcPr>
          <w:p w:rsidR="00000000" w:rsidRDefault="00000000">
            <w:pPr>
              <w:ind w:right="113"/>
              <w:jc w:val="right"/>
              <w:rPr>
                <w:snapToGrid w:val="0"/>
                <w:sz w:val="18"/>
              </w:rPr>
            </w:pPr>
            <w:r>
              <w:rPr>
                <w:snapToGrid w:val="0"/>
                <w:sz w:val="18"/>
              </w:rPr>
              <w:noBreakHyphen/>
            </w:r>
          </w:p>
        </w:tc>
        <w:tc>
          <w:tcPr>
            <w:tcW w:w="992" w:type="dxa"/>
            <w:gridSpan w:val="2"/>
          </w:tcPr>
          <w:p w:rsidR="00000000" w:rsidRDefault="00000000">
            <w:pPr>
              <w:ind w:right="113"/>
              <w:jc w:val="right"/>
              <w:rPr>
                <w:snapToGrid w:val="0"/>
                <w:sz w:val="18"/>
              </w:rPr>
            </w:pPr>
            <w:r>
              <w:rPr>
                <w:snapToGrid w:val="0"/>
                <w:sz w:val="18"/>
              </w:rPr>
              <w:noBreakHyphen/>
            </w:r>
          </w:p>
        </w:tc>
        <w:tc>
          <w:tcPr>
            <w:tcW w:w="705" w:type="dxa"/>
            <w:gridSpan w:val="2"/>
          </w:tcPr>
          <w:p w:rsidR="00000000" w:rsidRDefault="00000000">
            <w:pPr>
              <w:ind w:right="57"/>
              <w:jc w:val="right"/>
              <w:rPr>
                <w:snapToGrid w:val="0"/>
                <w:sz w:val="18"/>
              </w:rPr>
            </w:pPr>
            <w:r>
              <w:rPr>
                <w:snapToGrid w:val="0"/>
                <w:sz w:val="18"/>
              </w:rPr>
              <w:noBreakHyphen/>
            </w:r>
          </w:p>
        </w:tc>
      </w:tr>
    </w:tbl>
    <w:p w:rsidR="00000000" w:rsidRDefault="00000000">
      <w:pPr>
        <w:rPr>
          <w:snapToGrid w:val="0"/>
          <w:kern w:val="2"/>
          <w:sz w:val="18"/>
        </w:rPr>
      </w:pPr>
    </w:p>
    <w:p w:rsidR="00000000" w:rsidRDefault="00000000">
      <w:pPr>
        <w:rPr>
          <w:snapToGrid w:val="0"/>
          <w:kern w:val="2"/>
          <w:sz w:val="18"/>
        </w:rPr>
      </w:pPr>
      <w:r>
        <w:rPr>
          <w:snapToGrid w:val="0"/>
          <w:kern w:val="2"/>
          <w:sz w:val="18"/>
        </w:rPr>
        <w:tab/>
      </w:r>
      <w:r>
        <w:rPr>
          <w:snapToGrid w:val="0"/>
          <w:kern w:val="2"/>
          <w:sz w:val="18"/>
          <w:u w:val="single"/>
        </w:rPr>
        <w:t>Source</w:t>
      </w:r>
      <w:r>
        <w:rPr>
          <w:snapToGrid w:val="0"/>
          <w:kern w:val="2"/>
          <w:sz w:val="18"/>
        </w:rPr>
        <w:t>:  DATAPREV, SUB and CAT.</w:t>
      </w:r>
    </w:p>
    <w:p w:rsidR="00000000" w:rsidRDefault="00000000">
      <w:pPr>
        <w:rPr>
          <w:snapToGrid w:val="0"/>
          <w:color w:val="000000"/>
          <w:kern w:val="2"/>
          <w:sz w:val="18"/>
          <w:u w:val="words"/>
        </w:rPr>
      </w:pPr>
    </w:p>
    <w:p w:rsidR="00000000" w:rsidRDefault="00000000">
      <w:pPr>
        <w:rPr>
          <w:kern w:val="2"/>
          <w:sz w:val="18"/>
        </w:rPr>
      </w:pPr>
      <w:r>
        <w:rPr>
          <w:snapToGrid w:val="0"/>
          <w:kern w:val="2"/>
          <w:sz w:val="18"/>
        </w:rPr>
        <w:tab/>
        <w:t>Please note:  The data are incomplete and are subject to corrections.</w:t>
      </w:r>
    </w:p>
    <w:p w:rsidR="00000000" w:rsidRDefault="00000000">
      <w:pPr>
        <w:pStyle w:val="ParaNo"/>
        <w:tabs>
          <w:tab w:val="clear" w:pos="360"/>
          <w:tab w:val="clear" w:pos="737"/>
        </w:tabs>
        <w:rPr>
          <w:kern w:val="2"/>
          <w:lang w:val="en-GB"/>
        </w:rPr>
      </w:pPr>
      <w:r>
        <w:rPr>
          <w:kern w:val="2"/>
          <w:lang w:val="en-GB"/>
        </w:rPr>
        <w:t>Brazilian legislation regarding remunerated weekly rest periods is found in the Federal Constitution, in Law 605/49 and in the Consolidated Labour Laws.  All this legislation allows workers to enjoy the right to a weekly remunerated rest period of 24 consecutive hours which should be given preferentially on Sundays, whatever the activity in question might be.  The above legislation came with a list of activities that had to continue on Sundays because of the company’s technical requirements, in which case permanent permission was granted for work that needed to be done on rest days.  Examples included dairy companies or port services.  This means that the worker had to be given a different rest day as part of a rotating system of duty shifts for all employees, in accordance with regulations approved by Decree 27048, dated 12 August 1949.</w:t>
      </w:r>
    </w:p>
    <w:p w:rsidR="00000000" w:rsidRDefault="00000000">
      <w:pPr>
        <w:rPr>
          <w:kern w:val="2"/>
        </w:rPr>
      </w:pPr>
    </w:p>
    <w:p w:rsidR="00000000" w:rsidRDefault="00000000">
      <w:pPr>
        <w:pStyle w:val="ParaNo"/>
        <w:tabs>
          <w:tab w:val="clear" w:pos="360"/>
          <w:tab w:val="clear" w:pos="737"/>
        </w:tabs>
        <w:rPr>
          <w:kern w:val="2"/>
          <w:lang w:val="en-GB"/>
        </w:rPr>
      </w:pPr>
      <w:r>
        <w:rPr>
          <w:kern w:val="2"/>
          <w:lang w:val="en-GB"/>
        </w:rPr>
        <w:t>As time went by this list no longer met the needs of the times, particularly with regard to the requirements of supermarkets or hypermarkets that had not been specifically mentioned in the decree.  Furthermore, in large urban centres where commercial relations had become increasingly complex, it became clear that society demanded that a number of establishments be kept open on Sundays.  For this reason Decree 99467/90 was passed, allowing retail stores to open on Sundays in general, as long as a collective agreement or accord in this regard had been signed.</w:t>
      </w:r>
    </w:p>
    <w:p w:rsidR="00000000" w:rsidRDefault="00000000">
      <w:pPr>
        <w:rPr>
          <w:kern w:val="2"/>
        </w:rPr>
      </w:pPr>
    </w:p>
    <w:p w:rsidR="00000000" w:rsidRDefault="00000000">
      <w:pPr>
        <w:pStyle w:val="ParaNo"/>
        <w:tabs>
          <w:tab w:val="clear" w:pos="360"/>
          <w:tab w:val="clear" w:pos="737"/>
        </w:tabs>
        <w:rPr>
          <w:kern w:val="2"/>
          <w:lang w:val="en-GB"/>
        </w:rPr>
      </w:pPr>
      <w:r>
        <w:rPr>
          <w:kern w:val="2"/>
          <w:lang w:val="en-GB"/>
        </w:rPr>
        <w:t>With a view to injecting dynamism into commerce and to generating retail job openings, on 7 August 1997 the Government issued Provisional Measure 1.539</w:t>
      </w:r>
      <w:r>
        <w:rPr>
          <w:kern w:val="2"/>
          <w:lang w:val="en-GB"/>
        </w:rPr>
        <w:noBreakHyphen/>
        <w:t>34.  Article 6 determines that people may work on Sundays, in the retail trade in general, as long as workplace protection standards and municipal legislation governing opening hours for places of business are respected.  This measure has preserved the rights that protect workers (another rest day, limited working hours and rest periods during the day).  The Provisional Measure left other decisions to the municipalities, such as exact opening hours for trade establishments, thus respecting the rights of municipalities that are enshrined in the Constitution.</w:t>
      </w:r>
    </w:p>
    <w:p w:rsidR="00000000" w:rsidRDefault="00000000">
      <w:pPr>
        <w:rPr>
          <w:kern w:val="2"/>
        </w:rPr>
      </w:pPr>
    </w:p>
    <w:p w:rsidR="00000000" w:rsidRDefault="00000000">
      <w:pPr>
        <w:pStyle w:val="ParaNo"/>
        <w:tabs>
          <w:tab w:val="clear" w:pos="360"/>
          <w:tab w:val="clear" w:pos="737"/>
        </w:tabs>
        <w:rPr>
          <w:kern w:val="2"/>
          <w:lang w:val="en-GB"/>
        </w:rPr>
      </w:pPr>
      <w:r>
        <w:rPr>
          <w:kern w:val="2"/>
          <w:lang w:val="en-GB"/>
        </w:rPr>
        <w:t>When Provisional Measure</w:t>
      </w:r>
      <w:r>
        <w:rPr>
          <w:rStyle w:val="EndnoteReference"/>
          <w:kern w:val="2"/>
          <w:lang w:val="en-GB"/>
        </w:rPr>
        <w:endnoteReference w:id="5"/>
      </w:r>
      <w:r>
        <w:rPr>
          <w:kern w:val="2"/>
          <w:lang w:val="en-GB"/>
        </w:rPr>
        <w:t xml:space="preserve"> 1539</w:t>
      </w:r>
      <w:r>
        <w:rPr>
          <w:kern w:val="2"/>
          <w:lang w:val="en-GB"/>
        </w:rPr>
        <w:noBreakHyphen/>
        <w:t>35, dated 4 September 1997, was issued, the National Confederation of Workers in Retail Trade (CNTC) contested the measure in the Federal Supreme Court (STF), alleging the unconstitutionality of article 6.  In a preliminary decision the STF suspended the effects of the legal order in question via Message 121, handed down on 25 September 1997 (ADIN 1675).  The request for immediate action regarding the unconstitutionality of the issue was subsequently considered to be flawed and the preliminary injunction that had been granted was then annulled.  The Federal Government had been monitoring these judicial developments and therefore decided to change the wording of article 6.  This was done via Provisional Measure 1539</w:t>
      </w:r>
      <w:r>
        <w:rPr>
          <w:kern w:val="2"/>
          <w:lang w:val="en-GB"/>
        </w:rPr>
        <w:noBreakHyphen/>
        <w:t>36, dated 2 October 1997.  The new text reads as follows:  “Beginning 9 November 1997, work on Sundays in retail establishments in general is hereby authorized, pursuant to Constitutional Article 30, paragraph I.  Sole paragraph.  Remunerated weekly rest periods must fall on a Sunday at least once every four weeks.  All other norms designed to protect workers and/or other decisions reached by collective bargaining or agreements must continue to be respected.”</w:t>
      </w:r>
    </w:p>
    <w:p w:rsidR="00000000" w:rsidRDefault="00000000">
      <w:pPr>
        <w:rPr>
          <w:kern w:val="2"/>
        </w:rPr>
      </w:pPr>
    </w:p>
    <w:p w:rsidR="00000000" w:rsidRDefault="00000000">
      <w:pPr>
        <w:pStyle w:val="ParaNo"/>
        <w:tabs>
          <w:tab w:val="clear" w:pos="360"/>
          <w:tab w:val="clear" w:pos="737"/>
        </w:tabs>
        <w:rPr>
          <w:kern w:val="2"/>
          <w:lang w:val="en-GB"/>
        </w:rPr>
      </w:pPr>
      <w:r>
        <w:rPr>
          <w:kern w:val="2"/>
          <w:lang w:val="en-GB"/>
        </w:rPr>
        <w:br w:type="page"/>
        <w:t>Article 30, paragraph I, of the Federal Constitution refers to the power of municipalities to legislate upon matters of local interest.  The new sole paragraph was added to the Provisional Measure to ensure that it would be fully in line with the Constitution, which requires a weekly rest period to fall preferably on Sundays.  As a result, once every four weeks at most the worker in retail trade who is asked to work on Sundays will be rotated to ensure that his or her rest period will fall on a Sunday.</w:t>
      </w:r>
    </w:p>
    <w:p w:rsidR="00000000" w:rsidRDefault="00000000">
      <w:pPr>
        <w:rPr>
          <w:kern w:val="2"/>
        </w:rPr>
      </w:pPr>
    </w:p>
    <w:p w:rsidR="00000000" w:rsidRDefault="00000000">
      <w:pPr>
        <w:pStyle w:val="ParaNo"/>
        <w:tabs>
          <w:tab w:val="clear" w:pos="360"/>
          <w:tab w:val="clear" w:pos="737"/>
        </w:tabs>
        <w:rPr>
          <w:kern w:val="2"/>
          <w:lang w:val="en-GB"/>
        </w:rPr>
      </w:pPr>
      <w:r>
        <w:rPr>
          <w:kern w:val="2"/>
          <w:lang w:val="en-GB"/>
        </w:rPr>
        <w:t>The Provisional Measure in question has not been transformed into a law by the National Congress yet, so the Federal Government has been reissuing the Measure on a monthly basis with the exact wording mentioned above.</w:t>
      </w:r>
    </w:p>
    <w:p w:rsidR="00000000" w:rsidRDefault="00000000">
      <w:pPr>
        <w:rPr>
          <w:kern w:val="2"/>
        </w:rPr>
      </w:pPr>
    </w:p>
    <w:p w:rsidR="00000000" w:rsidRDefault="00000000">
      <w:pPr>
        <w:pStyle w:val="ParaNo"/>
        <w:tabs>
          <w:tab w:val="clear" w:pos="360"/>
          <w:tab w:val="clear" w:pos="737"/>
        </w:tabs>
        <w:rPr>
          <w:kern w:val="2"/>
          <w:lang w:val="en-GB"/>
        </w:rPr>
      </w:pPr>
      <w:r>
        <w:rPr>
          <w:kern w:val="2"/>
          <w:lang w:val="en-GB"/>
        </w:rPr>
        <w:t>All workers are guaranteed a weekly rest period; when workers are required on Sundays a rotating schedule is prepared.  When such rotating schedules become impossible, for example in the case of cast members of theatre productions or others in similar situations, another weekly rest period must be guaranteed, pursuant to article 10, paragraph IX, of Law 6533, dated 24 May 1978.</w:t>
      </w:r>
    </w:p>
    <w:p w:rsidR="00000000" w:rsidRDefault="00000000">
      <w:pPr>
        <w:rPr>
          <w:kern w:val="2"/>
        </w:rPr>
      </w:pPr>
    </w:p>
    <w:p w:rsidR="00000000" w:rsidRDefault="00000000">
      <w:pPr>
        <w:pStyle w:val="ParaNo"/>
        <w:tabs>
          <w:tab w:val="clear" w:pos="360"/>
          <w:tab w:val="clear" w:pos="737"/>
        </w:tabs>
        <w:rPr>
          <w:kern w:val="2"/>
          <w:lang w:val="en-GB"/>
        </w:rPr>
      </w:pPr>
      <w:r>
        <w:rPr>
          <w:kern w:val="2"/>
          <w:lang w:val="en-GB"/>
        </w:rPr>
        <w:t>The Federal Constitution of 1998 has determined that all urban, rural, special category or domestic workers have a right to enjoy annual vacations with remuneration at least one third higher than the normal salary (art. 7, para. XVII.).  The additional one third of a monthly wage is designed to give workers some extra earnings to allow them to enjoy their annual rest period with their family in a better fashion.</w:t>
      </w:r>
    </w:p>
    <w:p w:rsidR="00000000" w:rsidRDefault="00000000">
      <w:pPr>
        <w:rPr>
          <w:kern w:val="2"/>
        </w:rPr>
      </w:pPr>
    </w:p>
    <w:p w:rsidR="00000000" w:rsidRDefault="00000000">
      <w:pPr>
        <w:pStyle w:val="ParaNo"/>
        <w:tabs>
          <w:tab w:val="clear" w:pos="360"/>
          <w:tab w:val="clear" w:pos="737"/>
        </w:tabs>
        <w:rPr>
          <w:kern w:val="2"/>
          <w:lang w:val="en-GB"/>
        </w:rPr>
      </w:pPr>
      <w:r>
        <w:rPr>
          <w:kern w:val="2"/>
          <w:lang w:val="en-GB"/>
        </w:rPr>
        <w:t>Articles 129 and 130 of the CLT also guarantee that all workers will have the right to enjoy a vacation period whose duration will depend on the workers’ diligence, after the employment contract has been in effect for a period of 12 months.</w:t>
      </w:r>
    </w:p>
    <w:p w:rsidR="00000000" w:rsidRDefault="00000000">
      <w:pPr>
        <w:rPr>
          <w:kern w:val="2"/>
        </w:rPr>
      </w:pPr>
    </w:p>
    <w:p w:rsidR="00000000" w:rsidRDefault="00000000">
      <w:pPr>
        <w:pStyle w:val="ParaNo"/>
        <w:tabs>
          <w:tab w:val="clear" w:pos="360"/>
          <w:tab w:val="clear" w:pos="737"/>
        </w:tabs>
        <w:rPr>
          <w:kern w:val="2"/>
          <w:lang w:val="en-GB"/>
        </w:rPr>
      </w:pPr>
      <w:r>
        <w:rPr>
          <w:kern w:val="2"/>
          <w:lang w:val="en-GB"/>
        </w:rPr>
        <w:t>Workers who have not missed work more than five times during the period in question will have the right to enjoy 30 consecutive days of vacation.  If the worker has missed work 6 to 14 times, this vacation period will be reduced to 24 consecutive days and if the worker has been absent from the workplace from 15 to 23 times they will have the right to enjoy 18 consecutive days of vacation.  Finally, workers who have missed work between 24 and 32 times will have the right to 12 days of vacation.  Any worker who has been absent from the workplace without a proper explanation more than 32 times will lose his or her right to a vacation for the period in question.  The time spent on vacation is included in length</w:t>
      </w:r>
      <w:r>
        <w:rPr>
          <w:kern w:val="2"/>
          <w:lang w:val="en-GB"/>
        </w:rPr>
        <w:noBreakHyphen/>
        <w:t>of</w:t>
      </w:r>
      <w:r>
        <w:rPr>
          <w:kern w:val="2"/>
          <w:lang w:val="en-GB"/>
        </w:rPr>
        <w:noBreakHyphen/>
        <w:t>service calculations whenever legal requirements come into play.  In an attempt to adapt Brazil’s legal framework to labour market requirements, the Brazilian Government passed Provisional Measure 1709, on 6 August 1998, by which it created a part</w:t>
      </w:r>
      <w:r>
        <w:rPr>
          <w:kern w:val="2"/>
          <w:lang w:val="en-GB"/>
        </w:rPr>
        <w:noBreakHyphen/>
        <w:t>time work system.  Part</w:t>
      </w:r>
      <w:r>
        <w:rPr>
          <w:kern w:val="2"/>
          <w:lang w:val="en-GB"/>
        </w:rPr>
        <w:noBreakHyphen/>
        <w:t>time work must not exceed 25 hours a week.  Currently, Provisional Measure 1952</w:t>
      </w:r>
      <w:r>
        <w:rPr>
          <w:kern w:val="2"/>
          <w:lang w:val="en-GB"/>
        </w:rPr>
        <w:noBreakHyphen/>
        <w:t xml:space="preserve">26, of 26 July 2000 is in effect.  </w:t>
      </w:r>
    </w:p>
    <w:p w:rsidR="00000000" w:rsidRDefault="00000000">
      <w:pPr>
        <w:rPr>
          <w:kern w:val="2"/>
        </w:rPr>
      </w:pPr>
    </w:p>
    <w:p w:rsidR="00000000" w:rsidRDefault="00000000">
      <w:pPr>
        <w:pStyle w:val="ParaNo"/>
        <w:tabs>
          <w:tab w:val="clear" w:pos="360"/>
          <w:tab w:val="clear" w:pos="737"/>
        </w:tabs>
        <w:rPr>
          <w:kern w:val="2"/>
          <w:lang w:val="en-GB"/>
        </w:rPr>
      </w:pPr>
      <w:r>
        <w:rPr>
          <w:kern w:val="2"/>
          <w:lang w:val="en-GB"/>
        </w:rPr>
        <w:t xml:space="preserve">The reduced workday required the creation of new criteria to be used when determining vacation periods, as follows:  18 days of annual leave for weekly work ranging from 22 to 25 hours; 16 days for 20 to 22 hours of weekly work; 14 days for 15 to 20 hours per week; 12 days for 10 to 15 hours per week; 10 days for 5 to 10 hours per week and 8 days for 5 or </w:t>
      </w:r>
    </w:p>
    <w:p w:rsidR="00000000" w:rsidRDefault="00000000">
      <w:pPr>
        <w:rPr>
          <w:kern w:val="2"/>
        </w:rPr>
      </w:pPr>
      <w:r>
        <w:rPr>
          <w:kern w:val="2"/>
        </w:rPr>
        <w:t xml:space="preserve">less hours of work a week.  Under this system, overtime is not allowed, vacations may not be </w:t>
      </w:r>
    </w:p>
    <w:p w:rsidR="00000000" w:rsidRDefault="00000000">
      <w:pPr>
        <w:rPr>
          <w:kern w:val="2"/>
        </w:rPr>
      </w:pPr>
      <w:r>
        <w:rPr>
          <w:kern w:val="2"/>
        </w:rPr>
        <w:br w:type="page"/>
        <w:t>split into more than one period, and employees may not sell their vacations for money.  When the employee has no justification for having missed work more than seven times in a 12</w:t>
      </w:r>
      <w:r>
        <w:rPr>
          <w:kern w:val="2"/>
        </w:rPr>
        <w:noBreakHyphen/>
        <w:t>month period, the corresponding vacation will be cut in half.</w:t>
      </w:r>
    </w:p>
    <w:p w:rsidR="00000000" w:rsidRDefault="00000000">
      <w:pPr>
        <w:rPr>
          <w:kern w:val="2"/>
        </w:rPr>
      </w:pPr>
    </w:p>
    <w:p w:rsidR="00000000" w:rsidRDefault="00000000">
      <w:pPr>
        <w:pStyle w:val="ParaNo"/>
        <w:tabs>
          <w:tab w:val="clear" w:pos="360"/>
          <w:tab w:val="clear" w:pos="737"/>
        </w:tabs>
        <w:rPr>
          <w:kern w:val="2"/>
          <w:lang w:val="en-GB"/>
        </w:rPr>
      </w:pPr>
      <w:r>
        <w:rPr>
          <w:kern w:val="2"/>
          <w:lang w:val="en-GB"/>
        </w:rPr>
        <w:t>The traditional workweek in Brazil is 44 hours.  However, the more highly organized trade unions, particularly in the automobile sector, have demanded workweeks of 40 hours to help preserve current jobs (a number of collective bargaining negotiations have led to agreements of this nature).</w:t>
      </w:r>
    </w:p>
    <w:p w:rsidR="00000000" w:rsidRDefault="00000000">
      <w:pPr>
        <w:rPr>
          <w:kern w:val="2"/>
        </w:rPr>
      </w:pPr>
    </w:p>
    <w:p w:rsidR="00000000" w:rsidRDefault="00000000">
      <w:pPr>
        <w:pStyle w:val="ParaNo"/>
        <w:tabs>
          <w:tab w:val="clear" w:pos="360"/>
          <w:tab w:val="clear" w:pos="737"/>
        </w:tabs>
        <w:rPr>
          <w:kern w:val="2"/>
          <w:lang w:val="en-GB"/>
        </w:rPr>
      </w:pPr>
      <w:r>
        <w:rPr>
          <w:kern w:val="2"/>
          <w:lang w:val="en-GB"/>
        </w:rPr>
        <w:t>At this time, a normal workday is a period of eight hours.  Current laws have created exceptions for special groups of workers such as those in the banking sector, telephone workers, professional musicians, cinema operators, maritime workers, miners, railway workers, journalists, doctors and others.  This workday can be extended for an additional two hours via a written agreement between the employer and the employee or through collective bargaining.</w:t>
      </w:r>
    </w:p>
    <w:p w:rsidR="00000000" w:rsidRDefault="00000000">
      <w:pPr>
        <w:rPr>
          <w:kern w:val="2"/>
        </w:rPr>
      </w:pPr>
    </w:p>
    <w:p w:rsidR="00000000" w:rsidRDefault="00000000">
      <w:pPr>
        <w:pStyle w:val="ParaNo"/>
        <w:tabs>
          <w:tab w:val="clear" w:pos="360"/>
          <w:tab w:val="clear" w:pos="737"/>
        </w:tabs>
        <w:rPr>
          <w:kern w:val="2"/>
          <w:lang w:val="en-GB"/>
        </w:rPr>
      </w:pPr>
      <w:r>
        <w:rPr>
          <w:kern w:val="2"/>
          <w:lang w:val="en-GB"/>
        </w:rPr>
        <w:t>Federal legislation attempts to dissuade excessive use of overtime by requiring a minimum hourly wage that is 50 per cent higher than the normal hourly wage.  Additional wages for overtime can be waived if the overtime on one day is compensated by reducing the work on the next day.  Nevertheless, no total workday may exceed 10 hours.  In the case of industrial activities that require operations 24 hours a day, workplace shifts of 6 hours each have been created.  Depending on collective bargaining, these shifts may be as long as eight hours a day, on a rotating duty schedule.</w:t>
      </w:r>
    </w:p>
    <w:p w:rsidR="00000000" w:rsidRDefault="00000000">
      <w:pPr>
        <w:rPr>
          <w:kern w:val="2"/>
        </w:rPr>
      </w:pPr>
    </w:p>
    <w:p w:rsidR="00000000" w:rsidRDefault="00000000">
      <w:pPr>
        <w:pStyle w:val="ParaNo"/>
        <w:tabs>
          <w:tab w:val="clear" w:pos="360"/>
          <w:tab w:val="clear" w:pos="737"/>
        </w:tabs>
        <w:rPr>
          <w:kern w:val="2"/>
          <w:lang w:val="en-GB"/>
        </w:rPr>
      </w:pPr>
      <w:r>
        <w:rPr>
          <w:kern w:val="2"/>
          <w:lang w:val="en-GB"/>
        </w:rPr>
        <w:t>Because of the singularities of certain activities in places such as hospitals, for example, collective bargaining has introduced a system of 12 hours on the job and 36 hours off the job.  In the case of security personnel these periods can be as long as 24 hours on the job and 72 hours off the job, as long as labour jurisprudence supports this decision.</w:t>
      </w:r>
    </w:p>
    <w:p w:rsidR="00000000" w:rsidRDefault="00000000">
      <w:pPr>
        <w:rPr>
          <w:kern w:val="2"/>
        </w:rPr>
      </w:pPr>
    </w:p>
    <w:p w:rsidR="00000000" w:rsidRDefault="00000000">
      <w:pPr>
        <w:pStyle w:val="ParaNo"/>
        <w:tabs>
          <w:tab w:val="clear" w:pos="360"/>
          <w:tab w:val="clear" w:pos="737"/>
        </w:tabs>
        <w:rPr>
          <w:kern w:val="2"/>
          <w:lang w:val="en-GB"/>
        </w:rPr>
      </w:pPr>
      <w:r>
        <w:rPr>
          <w:kern w:val="2"/>
          <w:lang w:val="en-GB"/>
        </w:rPr>
        <w:t>The Office for the Inspection and Auditing of the Workplace has been given the responsibility of routinely checking on rest periods in workplace contracts whenever they go to companies to examine any other workplace documents.</w:t>
      </w:r>
    </w:p>
    <w:p w:rsidR="00000000" w:rsidRDefault="00000000">
      <w:pPr>
        <w:rPr>
          <w:kern w:val="2"/>
        </w:rPr>
      </w:pPr>
    </w:p>
    <w:p w:rsidR="00000000" w:rsidRDefault="00000000">
      <w:pPr>
        <w:pStyle w:val="ParaNo"/>
        <w:tabs>
          <w:tab w:val="clear" w:pos="360"/>
          <w:tab w:val="clear" w:pos="737"/>
        </w:tabs>
        <w:rPr>
          <w:kern w:val="2"/>
          <w:lang w:val="en-GB"/>
        </w:rPr>
      </w:pPr>
      <w:r>
        <w:rPr>
          <w:kern w:val="2"/>
          <w:lang w:val="en-GB"/>
        </w:rPr>
        <w:t>From January to July 2000, 6,237 cases of charges regarding leave or rest periods were registered, representing 11.47 per cent of total workplace inspections charges that were filed for that period.  These charges were filed after inspecting 4,779 companies.  Most irregularities are found in rural areas and primarily occur when work similar to slave labour or under degrading conditions is found.  The Government has a specialized team to combat slave or degrading labour.</w:t>
      </w:r>
    </w:p>
    <w:p w:rsidR="00000000" w:rsidRDefault="00000000">
      <w:pPr>
        <w:rPr>
          <w:kern w:val="2"/>
        </w:rPr>
      </w:pPr>
    </w:p>
    <w:p w:rsidR="00000000" w:rsidRDefault="00000000">
      <w:pPr>
        <w:pStyle w:val="ParaNo"/>
        <w:tabs>
          <w:tab w:val="clear" w:pos="360"/>
          <w:tab w:val="clear" w:pos="737"/>
        </w:tabs>
        <w:rPr>
          <w:kern w:val="2"/>
          <w:lang w:val="en-GB"/>
        </w:rPr>
      </w:pPr>
      <w:r>
        <w:rPr>
          <w:kern w:val="2"/>
          <w:lang w:val="en-GB"/>
        </w:rPr>
        <w:t>The workers who are affected most are always those who do not have proper working documents.  Since the enjoyment of their rights is not registered in working documents, it becomes harder for inspectors to verify past violations.  In order to more effectively protect workers’ rights in rural areas, we are currently studying alternatives and have initiated a programme to encourage proper solutions leading to formal employment relationships.  Within this framework, we have heard that in the city of Rolândia in the State of Paraná farmers have been developing a collective system to hire temporary rural manpower since 1997.</w:t>
      </w:r>
    </w:p>
    <w:p w:rsidR="00000000" w:rsidRDefault="00000000">
      <w:pPr>
        <w:pStyle w:val="ParaNo"/>
        <w:tabs>
          <w:tab w:val="clear" w:pos="360"/>
          <w:tab w:val="clear" w:pos="737"/>
        </w:tabs>
        <w:rPr>
          <w:kern w:val="2"/>
          <w:lang w:val="en-GB"/>
        </w:rPr>
      </w:pPr>
      <w:r>
        <w:rPr>
          <w:kern w:val="2"/>
          <w:lang w:val="en-GB"/>
        </w:rPr>
        <w:t>In July 1999, the Workplace Inspection Secretary sent a group of workplace inspectors and auditors to learn about this experiment in Rolândia.  It was seen that this type of contract met the needs of both employers and employees in rural areas and a project was immediately set up to publicize this form of hiring throughout the nation.</w:t>
      </w:r>
    </w:p>
    <w:p w:rsidR="00000000" w:rsidRDefault="00000000">
      <w:pPr>
        <w:rPr>
          <w:kern w:val="2"/>
        </w:rPr>
      </w:pPr>
    </w:p>
    <w:p w:rsidR="00000000" w:rsidRDefault="00000000">
      <w:pPr>
        <w:pStyle w:val="ParaNo"/>
        <w:tabs>
          <w:tab w:val="clear" w:pos="360"/>
          <w:tab w:val="clear" w:pos="737"/>
        </w:tabs>
        <w:rPr>
          <w:kern w:val="2"/>
          <w:lang w:val="en-GB"/>
        </w:rPr>
      </w:pPr>
      <w:r>
        <w:rPr>
          <w:kern w:val="2"/>
          <w:lang w:val="en-GB"/>
        </w:rPr>
        <w:t>Another important type of system is the so</w:t>
      </w:r>
      <w:r>
        <w:rPr>
          <w:kern w:val="2"/>
          <w:lang w:val="en-GB"/>
        </w:rPr>
        <w:noBreakHyphen/>
        <w:t>called “Consortium of Rural Employers”, initially also called the “Employers Consortium” or “Employee Registry Run Collectively on Behalf of Employers”.  These systems bring together farmers and individuals for the sole purpose of directly and jointly hiring rural workers.  One of the farmers is given the power to hire and manage the labour force to be shared by all the farmers.  In Brazil, the key incentive leading rural producers to assume joint responsibility as employers is the legal security that results from the labour relationship and the low cost of mandatory benefits.  Attempts to outsource labour in rural areas have always encountered legal constraints, particularly when the activity in question is the primary activity of the employer.  Such situations have led to a number of ongoing lawsuits and have led to tremendous labour liabilities.  Now intensified State control via Ministry of Labour and Employment inspections, the Federal Public Ministry and the labour courts have set the stage in a proper fashion to allow this new hiring system to be created and implemented.</w:t>
      </w:r>
    </w:p>
    <w:p w:rsidR="00000000" w:rsidRDefault="00000000">
      <w:pPr>
        <w:rPr>
          <w:kern w:val="2"/>
        </w:rPr>
      </w:pPr>
    </w:p>
    <w:p w:rsidR="00000000" w:rsidRDefault="00000000">
      <w:pPr>
        <w:pStyle w:val="ParaNo"/>
        <w:tabs>
          <w:tab w:val="clear" w:pos="360"/>
          <w:tab w:val="clear" w:pos="737"/>
        </w:tabs>
        <w:rPr>
          <w:kern w:val="2"/>
          <w:lang w:val="en-GB"/>
        </w:rPr>
      </w:pPr>
      <w:r>
        <w:rPr>
          <w:kern w:val="2"/>
          <w:lang w:val="en-GB"/>
        </w:rPr>
        <w:t>Social security legislation establishes a difference between the amounts to be paid into the system by employers that are legal entities and those that are individuals.  The social security contributions (or payroll taxes) to be paid by legal entities are based on remuneration paid to workers, whereas social security to be paid by individuals is a reflection of the sales of products resulting from rural activities.  The latter payments are undeniably lower.  As an individual a rural employer will only pay 2 per cent on what is sold into the social security system, as described above, whereas employers that are legal entities will be charged 20 per cent of the worker’s wages.  Other payroll taxes, called taxes for third parties, are also differentiated.  In the case of individuals in rural areas, 2.5 per cent must be set aside as educational wages and 0.2 per cent must go to the National Institute for Colonization and Agrarian Reform (INCRA) of the Rural Development Ministry.  For legal entities in rural areas, 2.5 per cent must be sent to the National Service for Rural Apprenticeship, called SENAR, in addition to the two taxes mentioned immediately above.</w:t>
      </w:r>
    </w:p>
    <w:p w:rsidR="00000000" w:rsidRDefault="00000000">
      <w:pPr>
        <w:rPr>
          <w:kern w:val="2"/>
        </w:rPr>
      </w:pPr>
    </w:p>
    <w:p w:rsidR="00000000" w:rsidRDefault="00000000">
      <w:pPr>
        <w:pStyle w:val="ParaNo"/>
        <w:tabs>
          <w:tab w:val="clear" w:pos="360"/>
          <w:tab w:val="clear" w:pos="737"/>
        </w:tabs>
        <w:rPr>
          <w:kern w:val="2"/>
          <w:lang w:val="en-GB"/>
        </w:rPr>
      </w:pPr>
      <w:r>
        <w:rPr>
          <w:kern w:val="2"/>
          <w:lang w:val="en-GB"/>
        </w:rPr>
        <w:t>The pioneering experiment in Rolândia, Paraná, involves approximately 170 farmers/producers and 860 workers.  The Ministry of Labour and Employment has expanded the model to include the States of Minas Gerais and São Paulo.  Ten Consortiums of Rural Employers have been set up in Minas Gerais, comprising a total of 320 rural producers and three additional Consortiums are still being formed, in addition to eight Consortiums in São Paulo, comprising 364 farmers/producers.  In Minas Gerais 3,128 rural employees have been registered and in São Paulo 5,640.</w:t>
      </w:r>
    </w:p>
    <w:p w:rsidR="00000000" w:rsidRDefault="00000000">
      <w:pPr>
        <w:rPr>
          <w:kern w:val="2"/>
        </w:rPr>
      </w:pPr>
    </w:p>
    <w:p w:rsidR="00000000" w:rsidRDefault="00000000">
      <w:pPr>
        <w:pStyle w:val="ParaNo"/>
        <w:tabs>
          <w:tab w:val="clear" w:pos="360"/>
          <w:tab w:val="clear" w:pos="737"/>
        </w:tabs>
        <w:rPr>
          <w:lang w:val="en-GB"/>
        </w:rPr>
      </w:pPr>
      <w:r>
        <w:rPr>
          <w:kern w:val="2"/>
          <w:lang w:val="en-GB"/>
        </w:rPr>
        <w:t>The fact that a direct labour relationship between the employer and the worker in rural areas has been guaranteed clears the way for the possibility of progress when enforcing rest period legislation in the near term.</w:t>
      </w:r>
    </w:p>
    <w:p w:rsidR="00000000" w:rsidRDefault="00000000"/>
    <w:p w:rsidR="00000000" w:rsidRDefault="00000000">
      <w:pPr>
        <w:rPr>
          <w:u w:val="single"/>
        </w:rPr>
      </w:pPr>
    </w:p>
    <w:p w:rsidR="00000000" w:rsidRDefault="00000000">
      <w:pPr>
        <w:jc w:val="center"/>
        <w:rPr>
          <w:u w:val="single"/>
        </w:rPr>
      </w:pPr>
    </w:p>
    <w:p w:rsidR="00000000" w:rsidRDefault="00000000">
      <w:pPr>
        <w:pStyle w:val="Heading1"/>
        <w:rPr>
          <w:kern w:val="20"/>
        </w:rPr>
      </w:pPr>
      <w:r>
        <w:rPr>
          <w:kern w:val="20"/>
        </w:rPr>
        <w:t>Article 8</w:t>
      </w:r>
    </w:p>
    <w:p w:rsidR="00000000" w:rsidRDefault="00000000">
      <w:pPr>
        <w:pStyle w:val="BodyText"/>
        <w:rPr>
          <w:kern w:val="20"/>
        </w:rPr>
      </w:pPr>
    </w:p>
    <w:p w:rsidR="00000000" w:rsidRDefault="00000000">
      <w:pPr>
        <w:pStyle w:val="ParaNo"/>
        <w:tabs>
          <w:tab w:val="clear" w:pos="360"/>
          <w:tab w:val="clear" w:pos="737"/>
        </w:tabs>
        <w:rPr>
          <w:kern w:val="20"/>
          <w:lang w:val="en-GB"/>
        </w:rPr>
      </w:pPr>
      <w:r>
        <w:rPr>
          <w:kern w:val="20"/>
          <w:lang w:val="en-GB"/>
        </w:rPr>
        <w:t>It is worth mentioning the following concerning international instruments on which information is requested by the Commission of Economic, Social and Cultural Rights in its guidelines:</w:t>
      </w:r>
    </w:p>
    <w:p w:rsidR="00000000" w:rsidRDefault="00000000">
      <w:pPr>
        <w:pStyle w:val="BodyText"/>
        <w:rPr>
          <w:kern w:val="20"/>
        </w:rPr>
      </w:pPr>
    </w:p>
    <w:p w:rsidR="00000000" w:rsidRDefault="00000000">
      <w:pPr>
        <w:pStyle w:val="BodyText"/>
        <w:rPr>
          <w:kern w:val="20"/>
        </w:rPr>
      </w:pPr>
      <w:r>
        <w:rPr>
          <w:kern w:val="20"/>
        </w:rPr>
        <w:tab/>
        <w:t>(a)</w:t>
      </w:r>
      <w:r>
        <w:rPr>
          <w:kern w:val="20"/>
        </w:rPr>
        <w:tab/>
        <w:t>International Covenant on Civil and Political Rights.  Brazil signed the International Covenant on Civil and Political Rights and ratified it on 24 January 1992.  The Covenant came into force in Brazil on 24 April that same year.  It was proclaimed by Decree No. 592 dated 6 July 1992.  In 1994, the initial report was submitted to the Human Rights Committee (CCPR/C/81/Add.6, dated 2 March 1995).  A periodic report is being drafted, as prescribed in the Covenant;</w:t>
      </w:r>
    </w:p>
    <w:p w:rsidR="00000000" w:rsidRDefault="00000000">
      <w:pPr>
        <w:pStyle w:val="BodyText"/>
        <w:rPr>
          <w:kern w:val="20"/>
        </w:rPr>
      </w:pPr>
    </w:p>
    <w:p w:rsidR="00000000" w:rsidRDefault="00000000">
      <w:pPr>
        <w:pStyle w:val="BodyText"/>
        <w:rPr>
          <w:kern w:val="20"/>
        </w:rPr>
      </w:pPr>
      <w:r>
        <w:rPr>
          <w:kern w:val="20"/>
        </w:rPr>
        <w:tab/>
        <w:t>(b)</w:t>
      </w:r>
      <w:r>
        <w:rPr>
          <w:kern w:val="20"/>
        </w:rPr>
        <w:tab/>
        <w:t>ILO Right to Organize and Collective Bargaining Convention, 1949 (No. 98).  The Convention was ratified by Brazil on 18 November 1952.  The latest report on the application of the Convention was forwarded to the ILO in 1999.  In April that same year, the ILO sent to Brazil a technical advisory delegation to confirm the progress in collective bargaining.  The Government was requested to provide information in the next document about all measures taken to boost collective bargaining in the autarchies and public foundations, since they are not part of the core functions of the State.  It also requested information about the express repeal of article 623 of the CLT (Consolidation of Labour Laws) on the nullity of the provisions of a convention or agreement that are contrary to the rules of the financial economic policy of the Government or prevailing wage policy;</w:t>
      </w:r>
    </w:p>
    <w:p w:rsidR="00000000" w:rsidRDefault="00000000">
      <w:pPr>
        <w:pStyle w:val="BodyText"/>
        <w:rPr>
          <w:kern w:val="20"/>
        </w:rPr>
      </w:pPr>
    </w:p>
    <w:p w:rsidR="00000000" w:rsidRDefault="00000000">
      <w:pPr>
        <w:pStyle w:val="BodyText"/>
        <w:rPr>
          <w:kern w:val="20"/>
        </w:rPr>
      </w:pPr>
      <w:r>
        <w:rPr>
          <w:kern w:val="20"/>
        </w:rPr>
        <w:tab/>
        <w:t>(c)</w:t>
      </w:r>
      <w:r>
        <w:rPr>
          <w:kern w:val="20"/>
        </w:rPr>
        <w:tab/>
        <w:t>ILO Freedom of Association and Protection of the Right to Organize Convention, 1948 (No. 87) and the Labour Relations (Public Service) Convention, 1978 (No. 151).</w:t>
      </w:r>
    </w:p>
    <w:p w:rsidR="00000000" w:rsidRDefault="00000000">
      <w:pPr>
        <w:pStyle w:val="BodyText"/>
        <w:rPr>
          <w:kern w:val="20"/>
        </w:rPr>
      </w:pPr>
    </w:p>
    <w:p w:rsidR="00000000" w:rsidRDefault="00000000">
      <w:pPr>
        <w:pStyle w:val="BodyText"/>
        <w:rPr>
          <w:kern w:val="20"/>
        </w:rPr>
      </w:pPr>
      <w:r>
        <w:rPr>
          <w:kern w:val="20"/>
        </w:rPr>
        <w:t>These conventions have not been ratified by Brazil.</w:t>
      </w:r>
    </w:p>
    <w:p w:rsidR="00000000" w:rsidRDefault="00000000">
      <w:pPr>
        <w:pStyle w:val="BodyText"/>
        <w:rPr>
          <w:kern w:val="20"/>
        </w:rPr>
      </w:pPr>
    </w:p>
    <w:p w:rsidR="00000000" w:rsidRDefault="00000000">
      <w:pPr>
        <w:pStyle w:val="ParaNo"/>
        <w:tabs>
          <w:tab w:val="clear" w:pos="360"/>
          <w:tab w:val="clear" w:pos="737"/>
        </w:tabs>
        <w:rPr>
          <w:kern w:val="20"/>
          <w:lang w:val="en-GB"/>
        </w:rPr>
      </w:pPr>
      <w:r>
        <w:rPr>
          <w:kern w:val="20"/>
          <w:lang w:val="en-GB"/>
        </w:rPr>
        <w:t>In Brazil, there are no legal requirements for setting up a trade union.  The freedom of association and of trade unions are rights prescribed in the 1988 Federal Constitution.  The Constitution prescribes on the matter of freedom of association in article 5, sub</w:t>
      </w:r>
      <w:r>
        <w:rPr>
          <w:kern w:val="20"/>
          <w:lang w:val="en-GB"/>
        </w:rPr>
        <w:noBreakHyphen/>
        <w:t>items XVII to XX.</w:t>
      </w:r>
      <w:r>
        <w:rPr>
          <w:rStyle w:val="EndnoteReference"/>
          <w:spacing w:val="20"/>
          <w:kern w:val="20"/>
          <w:lang w:val="en-GB"/>
        </w:rPr>
        <w:endnoteReference w:id="6"/>
      </w:r>
      <w:r>
        <w:rPr>
          <w:kern w:val="20"/>
          <w:lang w:val="en-GB"/>
        </w:rPr>
        <w:t xml:space="preserve">  These rules also apply to the association in trade unions, pursuant to article 8, paragraph I, of the Federal Constitution.</w:t>
      </w:r>
      <w:r>
        <w:rPr>
          <w:rStyle w:val="EndnoteReference"/>
          <w:kern w:val="20"/>
          <w:lang w:val="en-GB"/>
        </w:rPr>
        <w:endnoteReference w:id="7"/>
      </w:r>
    </w:p>
    <w:p w:rsidR="00000000" w:rsidRDefault="00000000"/>
    <w:p w:rsidR="00000000" w:rsidRDefault="00000000">
      <w:pPr>
        <w:pStyle w:val="ParaNo"/>
        <w:tabs>
          <w:tab w:val="clear" w:pos="360"/>
          <w:tab w:val="clear" w:pos="737"/>
        </w:tabs>
        <w:rPr>
          <w:kern w:val="20"/>
          <w:lang w:val="en-GB"/>
        </w:rPr>
      </w:pPr>
      <w:r>
        <w:rPr>
          <w:kern w:val="20"/>
          <w:lang w:val="en-GB"/>
        </w:rPr>
        <w:t>In 1937, the prevailing Federal Constitution followed the Italian corporatist model of trade union organization, establishing constraints of a unique nature on trade unions in terms of economic and professional category, and recognition by the State, and requiring the association to be officially established by charter, and to be funded through mandatory contributions.</w:t>
      </w:r>
    </w:p>
    <w:p w:rsidR="00000000" w:rsidRDefault="00000000"/>
    <w:p w:rsidR="00000000" w:rsidRDefault="00000000">
      <w:pPr>
        <w:pStyle w:val="ParaNo"/>
        <w:tabs>
          <w:tab w:val="clear" w:pos="360"/>
          <w:tab w:val="clear" w:pos="737"/>
        </w:tabs>
        <w:rPr>
          <w:kern w:val="20"/>
          <w:lang w:val="en-GB"/>
        </w:rPr>
      </w:pPr>
      <w:r>
        <w:rPr>
          <w:kern w:val="20"/>
          <w:lang w:val="en-GB"/>
        </w:rPr>
        <w:t xml:space="preserve">The 1988 Constitution eliminated the need for trade union recognition by charter and created the confederate contribution.  Trade unions today only require to be registered at the Ministry of Labour and Employment, the government agency that verifies that the trade union meets the conditions of article 8.  The 1988 Federal Constitution also eliminated State control </w:t>
      </w:r>
    </w:p>
    <w:p w:rsidR="00000000" w:rsidRDefault="00000000">
      <w:pPr>
        <w:rPr>
          <w:kern w:val="20"/>
        </w:rPr>
      </w:pPr>
      <w:r>
        <w:rPr>
          <w:kern w:val="20"/>
        </w:rPr>
        <w:br w:type="page"/>
        <w:t xml:space="preserve">over trade unions, the recognition and operation of which were previously subject to arbitrary action by public agents.  It may be said without hesitation that the new constitutional text established an environment of freedom previously unknown by Brazilian trade unionism.  However, it should be noted that the question of trade union freedom deserves to be improved in the constitutional text itself.  In fact, the aforementioned article 8 has continued with some of the same constraints as the trade union model inherited from the State system of labour relations </w:t>
      </w:r>
      <w:r>
        <w:rPr>
          <w:kern w:val="20"/>
        </w:rPr>
        <w:noBreakHyphen/>
        <w:t xml:space="preserve"> the regulation that a union may represent only one economic or professional category and the requirement of compulsory contribution mentioned in items II and IV of article 8 of the Constitution.</w:t>
      </w:r>
      <w:r>
        <w:rPr>
          <w:rStyle w:val="EndnoteReference"/>
          <w:kern w:val="20"/>
        </w:rPr>
        <w:endnoteReference w:id="8"/>
      </w:r>
    </w:p>
    <w:p w:rsidR="00000000" w:rsidRDefault="00000000"/>
    <w:p w:rsidR="00000000" w:rsidRDefault="00000000">
      <w:pPr>
        <w:pStyle w:val="ParaNo"/>
        <w:tabs>
          <w:tab w:val="clear" w:pos="360"/>
          <w:tab w:val="clear" w:pos="737"/>
        </w:tabs>
        <w:rPr>
          <w:kern w:val="20"/>
          <w:lang w:val="en-GB"/>
        </w:rPr>
      </w:pPr>
      <w:r>
        <w:rPr>
          <w:kern w:val="20"/>
          <w:lang w:val="en-GB"/>
        </w:rPr>
        <w:t>On this point, the Brazilian Government wishes to refer again to ILO Convention No. 87.  In order to move towards full trade union freedom, the Government submitted to the National Congress the bill for a Constitutional Amendment No. 623/98, mentioned above.  The purposes of the constitutional amendment are:  freedom to create trade unions without being obliged to fulfil the criterion of professional or economic category, as well as the freedom to join or not; the end of the monopoly on representation caused by mandatory trade union membership, foreseeing the adoption of a law essential to the transition from the trade union system to trade union freedom; suppression of the so</w:t>
      </w:r>
      <w:r>
        <w:rPr>
          <w:kern w:val="20"/>
          <w:lang w:val="en-GB"/>
        </w:rPr>
        <w:noBreakHyphen/>
        <w:t>called confederation contribution, to be replaced by a contribution approved by a general meeting of members; review of the regulatory authority, continuing with the Labour Court as an optional arbitrator of collective economic disputes at the joint request of the parties and, in cases of public interest, the possibility of binding arbitration of labour disputes; the institution of extra</w:t>
      </w:r>
      <w:r>
        <w:rPr>
          <w:kern w:val="20"/>
          <w:lang w:val="en-GB"/>
        </w:rPr>
        <w:noBreakHyphen/>
        <w:t>judicial prosecution prior to mediation and conciliation in individual disputes.  Once the proposal is approved by the National Congress, Brazil will be fully in conformity with the provision of ILO Convention No. 87 and will be in appropriate institutional conditions to fully practise collective bargaining.</w:t>
      </w:r>
    </w:p>
    <w:p w:rsidR="00000000" w:rsidRDefault="00000000"/>
    <w:p w:rsidR="00000000" w:rsidRDefault="00000000">
      <w:pPr>
        <w:pStyle w:val="ParaNo"/>
        <w:tabs>
          <w:tab w:val="clear" w:pos="360"/>
          <w:tab w:val="clear" w:pos="737"/>
        </w:tabs>
        <w:rPr>
          <w:kern w:val="20"/>
          <w:lang w:val="en-GB"/>
        </w:rPr>
      </w:pPr>
      <w:r>
        <w:rPr>
          <w:kern w:val="20"/>
          <w:lang w:val="en-GB"/>
        </w:rPr>
        <w:t>Currently, the creation of a trade union federation is possible based on a minimum of five trade unions, in compliance with the limitation of only one union per economic or professional category in the same territorial unit.  A minimum of three federations are required to create a confederation, with the same requirement.  In Brazilian legislation, there is no impediment to trade union representative entities’ joining international trade union organizations.</w:t>
      </w:r>
    </w:p>
    <w:p w:rsidR="00000000" w:rsidRDefault="00000000"/>
    <w:p w:rsidR="00000000" w:rsidRDefault="00000000">
      <w:pPr>
        <w:pStyle w:val="ParaNo"/>
        <w:tabs>
          <w:tab w:val="clear" w:pos="360"/>
          <w:tab w:val="clear" w:pos="737"/>
        </w:tabs>
        <w:rPr>
          <w:kern w:val="20"/>
          <w:lang w:val="en-GB"/>
        </w:rPr>
      </w:pPr>
      <w:r>
        <w:rPr>
          <w:kern w:val="20"/>
          <w:lang w:val="en-GB"/>
        </w:rPr>
        <w:t>With regard to how the trade unions operate, the basic text is again article 8 of the Federal Constitution, when establishing guarantees for the freedom of association and practising of trade union activity, such as freedom to be a member or to continue as a member of a trade union (item V), the mandatory participation of the trade unions in collective labour bargaining (item VI) and security of employment of a trade union member who applies or is elected to a post of trade union official until a year after the end of the term of office (item VIII).  Trade unions also enjoy the freedom to be members of similar international organizations.</w:t>
      </w:r>
    </w:p>
    <w:p w:rsidR="00000000" w:rsidRDefault="00000000"/>
    <w:p w:rsidR="00000000" w:rsidRDefault="00000000">
      <w:pPr>
        <w:pStyle w:val="ParaNo"/>
        <w:tabs>
          <w:tab w:val="clear" w:pos="360"/>
          <w:tab w:val="clear" w:pos="737"/>
        </w:tabs>
        <w:rPr>
          <w:kern w:val="20"/>
          <w:lang w:val="en-GB"/>
        </w:rPr>
      </w:pPr>
      <w:r>
        <w:rPr>
          <w:kern w:val="20"/>
          <w:lang w:val="en-GB"/>
        </w:rPr>
        <w:t xml:space="preserve">Constraints against the right to organize trade unions are bound to the constitutional principle of trade union uniqueness, which, for example, forbids the creation of a company union.  With the exception of the military, all other workers, including public servants, are </w:t>
      </w:r>
    </w:p>
    <w:p w:rsidR="00000000" w:rsidRDefault="00000000">
      <w:pPr>
        <w:rPr>
          <w:kern w:val="20"/>
        </w:rPr>
      </w:pPr>
      <w:r>
        <w:rPr>
          <w:kern w:val="20"/>
        </w:rPr>
        <w:t xml:space="preserve">entitled to be members of trade unions.  The impediment against association of members of the armed forces and federal and state military, military police and military firemen </w:t>
      </w:r>
      <w:r>
        <w:rPr>
          <w:kern w:val="20"/>
        </w:rPr>
        <w:noBreakHyphen/>
        <w:t xml:space="preserve"> is stated in article 42, paragraph 5, of the Constitution.</w:t>
      </w:r>
    </w:p>
    <w:p w:rsidR="00000000" w:rsidRDefault="00000000"/>
    <w:p w:rsidR="00000000" w:rsidRDefault="00000000">
      <w:pPr>
        <w:pStyle w:val="ParaNo"/>
        <w:tabs>
          <w:tab w:val="clear" w:pos="360"/>
          <w:tab w:val="clear" w:pos="737"/>
        </w:tabs>
        <w:rPr>
          <w:kern w:val="20"/>
          <w:lang w:val="en-GB"/>
        </w:rPr>
      </w:pPr>
      <w:r>
        <w:rPr>
          <w:kern w:val="20"/>
          <w:lang w:val="en-GB"/>
        </w:rPr>
        <w:t>Today there are no accurate statistics on the Brazilian trade union structure.  According to data available in the Ministry of Labour and Employment, between 1931 and October 1988 (period in which the State controlled the creation and operation of trade unions), around 10,600 institutions of this kind were recognized in Brazil.  After adopting the prevailing 1988 Constitution, and until 1999, it is estimated that approximately 6,000 trade unions had been created which today total around 16,500 institutions representing professional and economic categories.</w:t>
      </w:r>
    </w:p>
    <w:p w:rsidR="00000000" w:rsidRDefault="00000000"/>
    <w:p w:rsidR="00000000" w:rsidRDefault="00000000">
      <w:pPr>
        <w:pStyle w:val="ParaNo"/>
        <w:tabs>
          <w:tab w:val="clear" w:pos="360"/>
          <w:tab w:val="clear" w:pos="737"/>
        </w:tabs>
        <w:rPr>
          <w:kern w:val="20"/>
          <w:lang w:val="en-GB"/>
        </w:rPr>
      </w:pPr>
      <w:r>
        <w:rPr>
          <w:kern w:val="20"/>
          <w:lang w:val="en-GB"/>
        </w:rPr>
        <w:t>The workers’ right to strike is guaranteed by the Federal Constitution, in the introductory paragraph to article 9.</w:t>
      </w:r>
      <w:r>
        <w:rPr>
          <w:rStyle w:val="EndnoteReference"/>
          <w:kern w:val="20"/>
          <w:lang w:val="en-GB"/>
        </w:rPr>
        <w:endnoteReference w:id="9"/>
      </w:r>
      <w:r>
        <w:rPr>
          <w:kern w:val="20"/>
          <w:lang w:val="en-GB"/>
        </w:rPr>
        <w:t xml:space="preserve">  On the other hand, paragraph 1 of article 9 indicates that it is the duty of a specific law to establish the essential services or activities and the way to meet the pressing needs of the population.  The constitutional rule is regulated by Law No. 7783, dated 28 June 1989, which states in its article 10 the essential activities and sectors to which apply the constraints also recognized in article 8 of the International Covenant on Economic, Social and Cultural Rights.</w:t>
      </w:r>
      <w:r>
        <w:rPr>
          <w:rStyle w:val="EndnoteReference"/>
          <w:kern w:val="20"/>
          <w:lang w:val="en-GB"/>
        </w:rPr>
        <w:endnoteReference w:id="10"/>
      </w:r>
    </w:p>
    <w:p w:rsidR="00000000" w:rsidRDefault="00000000"/>
    <w:p w:rsidR="00000000" w:rsidRDefault="00000000">
      <w:pPr>
        <w:pStyle w:val="ParaNo"/>
        <w:tabs>
          <w:tab w:val="clear" w:pos="360"/>
          <w:tab w:val="clear" w:pos="737"/>
        </w:tabs>
        <w:rPr>
          <w:kern w:val="20"/>
          <w:lang w:val="en-GB"/>
        </w:rPr>
      </w:pPr>
      <w:r>
        <w:rPr>
          <w:kern w:val="20"/>
          <w:lang w:val="en-GB"/>
        </w:rPr>
        <w:t>Article 11 of the aforementioned law stipulates that, in services or activities considered essential, trade unions, employers and workers are obliged to guarantee, during the strike, to provide the essential services to meet the pressing needs of the community.  It also clarifies the concept of “pressing needs” as those, should they fail to be provided, imply imminent danger to the survival, health and security of the population.  Should these provisions fail to be met, the public authorities are responsible for ensuring the provision of the essential services.  Moreover, the same statute provides that, in strikes of essential services or activities, the trade unions or workers must report the decision to the employers and users at least 72 hours before the walkout.</w:t>
      </w:r>
    </w:p>
    <w:p w:rsidR="00000000" w:rsidRDefault="00000000"/>
    <w:p w:rsidR="00000000" w:rsidRDefault="00000000">
      <w:pPr>
        <w:pStyle w:val="ParaNo"/>
        <w:tabs>
          <w:tab w:val="clear" w:pos="360"/>
          <w:tab w:val="clear" w:pos="737"/>
        </w:tabs>
        <w:rPr>
          <w:kern w:val="20"/>
          <w:lang w:val="en-GB"/>
        </w:rPr>
      </w:pPr>
      <w:r>
        <w:rPr>
          <w:kern w:val="20"/>
          <w:lang w:val="en-GB"/>
        </w:rPr>
        <w:t>The regulation also foresees that, through an agreement between workers and employers, teams of employees are maintained in order to prevent the walkout from resulting in irreparable damage to property, machinery and equipment, and that it is possible to immediately resume company operations when the strike ceases.</w:t>
      </w:r>
    </w:p>
    <w:p w:rsidR="00000000" w:rsidRDefault="00000000">
      <w:pPr>
        <w:pStyle w:val="BodyText"/>
        <w:rPr>
          <w:kern w:val="20"/>
        </w:rPr>
      </w:pPr>
    </w:p>
    <w:p w:rsidR="00000000" w:rsidRDefault="00000000">
      <w:pPr>
        <w:pStyle w:val="ParaNo"/>
        <w:tabs>
          <w:tab w:val="clear" w:pos="360"/>
          <w:tab w:val="clear" w:pos="737"/>
        </w:tabs>
        <w:rPr>
          <w:kern w:val="20"/>
          <w:lang w:val="en-GB"/>
        </w:rPr>
      </w:pPr>
      <w:r>
        <w:rPr>
          <w:kern w:val="20"/>
          <w:lang w:val="en-GB"/>
        </w:rPr>
        <w:t>The Constitution, article 9, paragraph 2, cautions that abuse of the right to strike subjects those responsible to legal penalties.  Law 7783 characterizes abuse of the right to strike as non</w:t>
      </w:r>
      <w:r>
        <w:rPr>
          <w:kern w:val="20"/>
          <w:lang w:val="en-GB"/>
        </w:rPr>
        <w:noBreakHyphen/>
        <w:t>compliance with the rules contained therein and continuing the stoppage after signing an agreement, convention or labour court decision, the last stating, on the basis of the relevant jurisprudence, whether the strike is legal.</w:t>
      </w:r>
    </w:p>
    <w:p w:rsidR="00000000" w:rsidRDefault="00000000"/>
    <w:p w:rsidR="00000000" w:rsidRDefault="00000000">
      <w:pPr>
        <w:pStyle w:val="ParaNo"/>
        <w:tabs>
          <w:tab w:val="clear" w:pos="360"/>
          <w:tab w:val="clear" w:pos="737"/>
        </w:tabs>
        <w:rPr>
          <w:kern w:val="20"/>
          <w:lang w:val="en-GB"/>
        </w:rPr>
      </w:pPr>
      <w:r>
        <w:rPr>
          <w:kern w:val="20"/>
          <w:lang w:val="en-GB"/>
        </w:rPr>
        <w:t xml:space="preserve">The right to strike is, therefore, guaranteed to all categories of workers </w:t>
      </w:r>
      <w:r>
        <w:rPr>
          <w:kern w:val="20"/>
          <w:lang w:val="en-GB"/>
        </w:rPr>
        <w:noBreakHyphen/>
        <w:t xml:space="preserve"> except members of the military, as mentioned previously </w:t>
      </w:r>
      <w:r>
        <w:rPr>
          <w:kern w:val="20"/>
          <w:lang w:val="en-GB"/>
        </w:rPr>
        <w:noBreakHyphen/>
        <w:t xml:space="preserve"> pursuant to the conditions relating to special services or activities.  The Federal Constitution also recognizes this right to the civil public servants, in terms and with constraints stated by a complementary law (art. 37, item VII).  Should there be no rules on this constitutional provision, then, by principle of analogy, the provisions of Law No. 7783 prevail.</w:t>
      </w:r>
    </w:p>
    <w:p w:rsidR="00000000" w:rsidRDefault="00000000"/>
    <w:p w:rsidR="00000000" w:rsidRDefault="00000000">
      <w:pPr>
        <w:pStyle w:val="ParaNo"/>
        <w:tabs>
          <w:tab w:val="clear" w:pos="360"/>
          <w:tab w:val="clear" w:pos="737"/>
        </w:tabs>
        <w:rPr>
          <w:kern w:val="20"/>
          <w:lang w:val="en-GB"/>
        </w:rPr>
      </w:pPr>
      <w:r>
        <w:rPr>
          <w:kern w:val="20"/>
          <w:lang w:val="en-GB"/>
        </w:rPr>
        <w:t>The right to strike is widely ensured by the internal legal system and has been freely exercised since the restoration of the democratic system and advent of the 1988 Constitution.</w:t>
      </w:r>
    </w:p>
    <w:p w:rsidR="00000000" w:rsidRDefault="00000000"/>
    <w:p w:rsidR="00000000" w:rsidRDefault="00000000">
      <w:pPr>
        <w:pStyle w:val="Heading1"/>
        <w:rPr>
          <w:kern w:val="20"/>
        </w:rPr>
      </w:pPr>
      <w:r>
        <w:rPr>
          <w:kern w:val="20"/>
        </w:rPr>
        <w:t>Article 9</w:t>
      </w:r>
    </w:p>
    <w:p w:rsidR="00000000" w:rsidRDefault="00000000"/>
    <w:p w:rsidR="00000000" w:rsidRDefault="00000000">
      <w:pPr>
        <w:pStyle w:val="ParaNo"/>
        <w:tabs>
          <w:tab w:val="clear" w:pos="360"/>
          <w:tab w:val="clear" w:pos="737"/>
        </w:tabs>
        <w:rPr>
          <w:kern w:val="20"/>
          <w:lang w:val="en-GB"/>
        </w:rPr>
      </w:pPr>
      <w:r>
        <w:rPr>
          <w:kern w:val="20"/>
          <w:lang w:val="en-GB"/>
        </w:rPr>
        <w:t>Concerning international instruments on the matter of social security to be addressed in the report as recommended by the Committee, the Brazilian Government mentions:</w:t>
      </w:r>
    </w:p>
    <w:p w:rsidR="00000000" w:rsidRDefault="00000000">
      <w:pPr>
        <w:rPr>
          <w:kern w:val="20"/>
        </w:rPr>
      </w:pPr>
    </w:p>
    <w:p w:rsidR="00000000" w:rsidRDefault="00000000">
      <w:pPr>
        <w:pStyle w:val="BodyText"/>
        <w:rPr>
          <w:kern w:val="20"/>
        </w:rPr>
      </w:pPr>
      <w:r>
        <w:rPr>
          <w:kern w:val="20"/>
        </w:rPr>
        <w:tab/>
        <w:t>(a)</w:t>
      </w:r>
      <w:r>
        <w:rPr>
          <w:kern w:val="20"/>
        </w:rPr>
        <w:tab/>
        <w:t>ILO Social Security (Minimum Standards) Convention, 1952 (No. 102); Employment Injury Benefits Convention, 1964 (No. 121); Invalidity, Old Age and Survivors’ Benefits Convention, 1967 (No. 128); Medical Care and Sickness Benefits Convention, 1969 (No. 130).  The legislation on social security in Brazil has been undergoing a process of change to offer greater protection than the provisions considered by these conventions, conceived decades ago.  This is why none of them has been ratified by Brazil;</w:t>
      </w:r>
    </w:p>
    <w:p w:rsidR="00000000" w:rsidRDefault="00000000">
      <w:pPr>
        <w:pStyle w:val="BodyText"/>
        <w:rPr>
          <w:kern w:val="20"/>
        </w:rPr>
      </w:pPr>
    </w:p>
    <w:p w:rsidR="00000000" w:rsidRDefault="00000000">
      <w:pPr>
        <w:pStyle w:val="BodyText"/>
        <w:rPr>
          <w:kern w:val="20"/>
        </w:rPr>
      </w:pPr>
      <w:r>
        <w:rPr>
          <w:kern w:val="20"/>
        </w:rPr>
        <w:tab/>
        <w:t>(b)</w:t>
      </w:r>
      <w:r>
        <w:rPr>
          <w:kern w:val="20"/>
        </w:rPr>
        <w:tab/>
        <w:t>ILO Employment Promotion and Protection against Unemployment Convention, 1988 (No. 168).  Brazil ratified this convention on 23 September 1993.  The latest report was submitted to the ILO in 1998 and was received without comment by the Committee of Experts.</w:t>
      </w:r>
    </w:p>
    <w:p w:rsidR="00000000" w:rsidRDefault="00000000"/>
    <w:p w:rsidR="00000000" w:rsidRDefault="00000000">
      <w:pPr>
        <w:pStyle w:val="ParaNo"/>
        <w:tabs>
          <w:tab w:val="clear" w:pos="360"/>
          <w:tab w:val="clear" w:pos="737"/>
        </w:tabs>
        <w:rPr>
          <w:kern w:val="20"/>
          <w:lang w:val="en-GB"/>
        </w:rPr>
      </w:pPr>
      <w:r>
        <w:rPr>
          <w:kern w:val="20"/>
          <w:lang w:val="en-GB"/>
        </w:rPr>
        <w:t>Before making detailed comments on social security in Brazil, the Brazilian Government considers it essential to submit to the Committee on Economic, Social and Cultural Rights some viewpoints that characterize its perception of the matter and the commitment that it has firmly endeavoured to fulfil concerning all, without distinction.</w:t>
      </w:r>
    </w:p>
    <w:p w:rsidR="00000000" w:rsidRDefault="00000000"/>
    <w:p w:rsidR="00000000" w:rsidRDefault="00000000">
      <w:pPr>
        <w:pStyle w:val="ParaNo"/>
        <w:tabs>
          <w:tab w:val="clear" w:pos="360"/>
          <w:tab w:val="clear" w:pos="737"/>
        </w:tabs>
        <w:rPr>
          <w:kern w:val="20"/>
          <w:lang w:val="en-GB"/>
        </w:rPr>
      </w:pPr>
      <w:r>
        <w:rPr>
          <w:kern w:val="20"/>
          <w:lang w:val="en-GB"/>
        </w:rPr>
        <w:t>The creation of a protection network for the worker has for years been one of the essential concerns of the State and the social security system plays an important role in this network.</w:t>
      </w:r>
    </w:p>
    <w:p w:rsidR="00000000" w:rsidRDefault="00000000">
      <w:pPr>
        <w:pStyle w:val="BodyText"/>
        <w:rPr>
          <w:kern w:val="20"/>
        </w:rPr>
      </w:pPr>
    </w:p>
    <w:p w:rsidR="00000000" w:rsidRDefault="00000000">
      <w:pPr>
        <w:pStyle w:val="ParaNo"/>
        <w:tabs>
          <w:tab w:val="clear" w:pos="360"/>
          <w:tab w:val="clear" w:pos="737"/>
        </w:tabs>
        <w:rPr>
          <w:kern w:val="20"/>
          <w:lang w:val="en-GB"/>
        </w:rPr>
      </w:pPr>
      <w:r>
        <w:rPr>
          <w:kern w:val="20"/>
          <w:lang w:val="en-GB"/>
        </w:rPr>
        <w:t>A system that protects the worker, such as the social security system, provided on an ongoing basis, involves a huge amount of resources and obligations.  In order for it to survive over the years, it is necessary for each participant to contribute with a portion of his or her income while economically active.  Financing the system is based, therefore, on the contributory nature of the beneficiary’s employment.  Should a citizen receive a pension without having contributed to it at any moment, the overall system would be paying the bill, since the resources would have to be taken from other contributors.</w:t>
      </w:r>
    </w:p>
    <w:p w:rsidR="00000000" w:rsidRDefault="00000000"/>
    <w:p w:rsidR="00000000" w:rsidRDefault="00000000">
      <w:pPr>
        <w:pStyle w:val="ParaNo"/>
        <w:tabs>
          <w:tab w:val="clear" w:pos="360"/>
          <w:tab w:val="clear" w:pos="737"/>
        </w:tabs>
        <w:rPr>
          <w:kern w:val="20"/>
          <w:lang w:val="en-GB"/>
        </w:rPr>
      </w:pPr>
      <w:r>
        <w:rPr>
          <w:kern w:val="20"/>
          <w:lang w:val="en-GB"/>
        </w:rPr>
        <w:t>At the same time, the contribution must be established according to the capacity of each individual, and the benefit must be in proportion to this same contribution.  This is the principle of equality.  Should this fail to happen, certain persons or groups of people will be enjoying benefits to which they did not duly contribute.</w:t>
      </w:r>
    </w:p>
    <w:p w:rsidR="00000000" w:rsidRDefault="00000000">
      <w:pPr>
        <w:pStyle w:val="BodyText"/>
        <w:rPr>
          <w:kern w:val="20"/>
        </w:rPr>
      </w:pPr>
    </w:p>
    <w:p w:rsidR="00000000" w:rsidRDefault="00000000">
      <w:pPr>
        <w:pStyle w:val="ParaNo"/>
        <w:tabs>
          <w:tab w:val="clear" w:pos="360"/>
          <w:tab w:val="clear" w:pos="737"/>
        </w:tabs>
        <w:rPr>
          <w:kern w:val="20"/>
          <w:lang w:val="en-GB"/>
        </w:rPr>
      </w:pPr>
      <w:r>
        <w:rPr>
          <w:kern w:val="20"/>
          <w:lang w:val="en-GB"/>
        </w:rPr>
        <w:t>To a certain extent, some distribution of income does eventually occur within the system.  But this distribution must be in the correct direction, with the system’s rules benefiting those with less purchasing power.  This solidarity with the underprivileged is a rule that strengthens social cohesion.  It is a mistake, however, to consider the social security system essentially as a mechanism for reducing social disparities.</w:t>
      </w:r>
    </w:p>
    <w:p w:rsidR="00000000" w:rsidRDefault="00000000">
      <w:pPr>
        <w:pStyle w:val="BodyText"/>
        <w:rPr>
          <w:kern w:val="20"/>
        </w:rPr>
      </w:pPr>
    </w:p>
    <w:p w:rsidR="00000000" w:rsidRDefault="00000000">
      <w:pPr>
        <w:pStyle w:val="ParaNo"/>
        <w:tabs>
          <w:tab w:val="clear" w:pos="360"/>
          <w:tab w:val="clear" w:pos="737"/>
        </w:tabs>
        <w:rPr>
          <w:kern w:val="20"/>
          <w:lang w:val="en-GB"/>
        </w:rPr>
      </w:pPr>
      <w:r>
        <w:rPr>
          <w:kern w:val="20"/>
          <w:lang w:val="en-GB"/>
        </w:rPr>
        <w:br w:type="page"/>
        <w:t xml:space="preserve">Every member of society must be protected by the social security system, as stated in the principle of universality, since social risks affect everyone and, for this reason, there is no sense in protecting only some groups and not others.  This principle permits the State to impose compulsory adherence to the system, so that protection is extended to the whole population.  </w:t>
      </w:r>
    </w:p>
    <w:p w:rsidR="00000000" w:rsidRDefault="00000000">
      <w:pPr>
        <w:pStyle w:val="BodyText"/>
        <w:rPr>
          <w:kern w:val="20"/>
        </w:rPr>
      </w:pPr>
    </w:p>
    <w:p w:rsidR="00000000" w:rsidRDefault="00000000">
      <w:pPr>
        <w:pStyle w:val="ParaNo"/>
        <w:tabs>
          <w:tab w:val="clear" w:pos="360"/>
          <w:tab w:val="clear" w:pos="737"/>
        </w:tabs>
        <w:rPr>
          <w:kern w:val="20"/>
          <w:lang w:val="en-GB"/>
        </w:rPr>
      </w:pPr>
      <w:r>
        <w:rPr>
          <w:kern w:val="20"/>
          <w:lang w:val="en-GB"/>
        </w:rPr>
        <w:t>The sense of justice imposes standardization so that the benefits are the same for all participants.  It is totally unacceptable that the rules differentiate between professional categories or benefit some individuals in detriment to others, without reasons known to and accepted by the population.</w:t>
      </w:r>
    </w:p>
    <w:p w:rsidR="00000000" w:rsidRDefault="00000000">
      <w:pPr>
        <w:pStyle w:val="BodyText"/>
        <w:rPr>
          <w:kern w:val="20"/>
        </w:rPr>
      </w:pPr>
    </w:p>
    <w:p w:rsidR="00000000" w:rsidRDefault="00000000">
      <w:pPr>
        <w:pStyle w:val="ParaNo"/>
        <w:tabs>
          <w:tab w:val="clear" w:pos="360"/>
          <w:tab w:val="clear" w:pos="737"/>
        </w:tabs>
        <w:rPr>
          <w:kern w:val="20"/>
          <w:lang w:val="en-GB"/>
        </w:rPr>
      </w:pPr>
      <w:r>
        <w:rPr>
          <w:kern w:val="20"/>
          <w:lang w:val="en-GB"/>
        </w:rPr>
        <w:t>By definition, the social security system depends on variables that are hard to forecast.  Such variables may be of a demographic nature or related to the level of economic activity or changes in the labour market during the years.  It is difficult to assess accurately the duration of the benefits granted or if, with all the current changes in the population and labour market, the form of financing will be sufficient to cover the continuing benefits.</w:t>
      </w:r>
    </w:p>
    <w:p w:rsidR="00000000" w:rsidRDefault="00000000">
      <w:pPr>
        <w:pStyle w:val="BodyText"/>
        <w:rPr>
          <w:kern w:val="20"/>
        </w:rPr>
      </w:pPr>
    </w:p>
    <w:p w:rsidR="00000000" w:rsidRDefault="00000000">
      <w:pPr>
        <w:pStyle w:val="ParaNo"/>
        <w:tabs>
          <w:tab w:val="clear" w:pos="360"/>
          <w:tab w:val="clear" w:pos="737"/>
        </w:tabs>
        <w:rPr>
          <w:kern w:val="20"/>
          <w:lang w:val="en-GB"/>
        </w:rPr>
      </w:pPr>
      <w:r>
        <w:rPr>
          <w:kern w:val="20"/>
          <w:lang w:val="en-GB"/>
        </w:rPr>
        <w:t>Specialists on such matters, actuaries and demographers, work with averages and analyse the profile of the pensioners to be able to discover trends.  They analyse the financial impact of each rule in the system and seek to establish a suitable financing scheme for the existing benefits.  Any increase in benefits without the proper counterweight of resources may cause the entire system to come to a standstill.</w:t>
      </w:r>
    </w:p>
    <w:p w:rsidR="00000000" w:rsidRDefault="00000000"/>
    <w:p w:rsidR="00000000" w:rsidRDefault="00000000">
      <w:pPr>
        <w:pStyle w:val="ParaNo"/>
        <w:tabs>
          <w:tab w:val="clear" w:pos="360"/>
          <w:tab w:val="clear" w:pos="737"/>
        </w:tabs>
        <w:rPr>
          <w:kern w:val="20"/>
          <w:lang w:val="en-GB"/>
        </w:rPr>
      </w:pPr>
      <w:r>
        <w:rPr>
          <w:kern w:val="20"/>
          <w:lang w:val="en-GB"/>
        </w:rPr>
        <w:t>The financial and actuarial balance</w:t>
      </w:r>
      <w:r>
        <w:rPr>
          <w:rStyle w:val="EndnoteReference"/>
          <w:kern w:val="20"/>
          <w:lang w:val="en-GB"/>
        </w:rPr>
        <w:endnoteReference w:id="11"/>
      </w:r>
      <w:r>
        <w:rPr>
          <w:kern w:val="20"/>
          <w:lang w:val="en-GB"/>
        </w:rPr>
        <w:t xml:space="preserve"> is necessary not only to give security to the people who contribute to the system every month and who expect to enjoy the benefits in the future, but also to guarantee the payment of benefits to those who have contributed in the past.  The actuarial calculations, therefore, are made for several generations.</w:t>
      </w:r>
    </w:p>
    <w:p w:rsidR="00000000" w:rsidRDefault="00000000">
      <w:pPr>
        <w:pStyle w:val="BodyText"/>
        <w:rPr>
          <w:kern w:val="20"/>
        </w:rPr>
      </w:pPr>
    </w:p>
    <w:p w:rsidR="00000000" w:rsidRDefault="00000000">
      <w:pPr>
        <w:pStyle w:val="ParaNo"/>
        <w:tabs>
          <w:tab w:val="clear" w:pos="360"/>
          <w:tab w:val="clear" w:pos="737"/>
        </w:tabs>
        <w:rPr>
          <w:kern w:val="20"/>
          <w:lang w:val="en-GB"/>
        </w:rPr>
      </w:pPr>
      <w:r>
        <w:rPr>
          <w:kern w:val="20"/>
          <w:lang w:val="en-GB"/>
        </w:rPr>
        <w:t>Every country in the world today adopts social security laws, which appeared for the very first time in Germany in the late nineteenth century and have been universalizing since then.  Most countries adopt a basic universal social security system, alongside a complementary public or private retirement system.  In both systems, the individual contribution is the basis of the benefit and one of the main standards is the age limit.  Almost all countries also have special systems for civil and military public servants, with standards different from those pertaining to all other workers.</w:t>
      </w:r>
    </w:p>
    <w:p w:rsidR="00000000" w:rsidRDefault="00000000"/>
    <w:p w:rsidR="00000000" w:rsidRDefault="00000000">
      <w:pPr>
        <w:pStyle w:val="ParaNo"/>
        <w:tabs>
          <w:tab w:val="clear" w:pos="360"/>
          <w:tab w:val="clear" w:pos="737"/>
        </w:tabs>
        <w:rPr>
          <w:kern w:val="20"/>
          <w:lang w:val="en-GB"/>
        </w:rPr>
      </w:pPr>
      <w:r>
        <w:rPr>
          <w:kern w:val="20"/>
          <w:lang w:val="en-GB"/>
        </w:rPr>
        <w:t>The age limit is a guideline adopted by the social security systems of almost every country; only seven countries use time of employment as the basis for retirement among those countries and only Brazil does not condition the payment of pension on retirement from the labour market.</w:t>
      </w:r>
    </w:p>
    <w:p w:rsidR="00000000" w:rsidRDefault="00000000"/>
    <w:p w:rsidR="00000000" w:rsidRDefault="00000000">
      <w:pPr>
        <w:pStyle w:val="ParaNo"/>
        <w:tabs>
          <w:tab w:val="clear" w:pos="360"/>
          <w:tab w:val="clear" w:pos="737"/>
        </w:tabs>
        <w:rPr>
          <w:kern w:val="20"/>
          <w:lang w:val="en-GB"/>
        </w:rPr>
      </w:pPr>
      <w:r>
        <w:rPr>
          <w:kern w:val="20"/>
          <w:lang w:val="en-GB"/>
        </w:rPr>
        <w:t xml:space="preserve">Most countries stipulate a minimum period of contribution for granting a pension, a requirement known in Brazil as </w:t>
      </w:r>
      <w:r>
        <w:rPr>
          <w:kern w:val="20"/>
          <w:u w:val="single"/>
          <w:lang w:val="en-GB"/>
        </w:rPr>
        <w:t>carência</w:t>
      </w:r>
      <w:r>
        <w:rPr>
          <w:kern w:val="20"/>
          <w:lang w:val="en-GB"/>
        </w:rPr>
        <w:t>, or grace period.  Moreover, in most countries the maximum pension paid by the public social security system is always limited to less than the last wage earned.</w:t>
      </w:r>
    </w:p>
    <w:p w:rsidR="00000000" w:rsidRDefault="00000000">
      <w:pPr>
        <w:pStyle w:val="BodyText"/>
        <w:rPr>
          <w:kern w:val="20"/>
        </w:rPr>
      </w:pPr>
    </w:p>
    <w:p w:rsidR="00000000" w:rsidRDefault="00000000">
      <w:pPr>
        <w:pStyle w:val="ParaNo"/>
        <w:tabs>
          <w:tab w:val="clear" w:pos="360"/>
          <w:tab w:val="clear" w:pos="737"/>
        </w:tabs>
        <w:rPr>
          <w:kern w:val="20"/>
          <w:lang w:val="en-GB"/>
        </w:rPr>
      </w:pPr>
      <w:r>
        <w:rPr>
          <w:kern w:val="20"/>
          <w:lang w:val="en-GB"/>
        </w:rPr>
        <w:t>Another element found in the laws of most countries is the special pension schemes applicable to civil and military public servants, on the basis that civil servants’ dedication to the State must be full time.</w:t>
      </w:r>
    </w:p>
    <w:p w:rsidR="00000000" w:rsidRDefault="00000000"/>
    <w:p w:rsidR="00000000" w:rsidRDefault="00000000">
      <w:pPr>
        <w:pStyle w:val="ParaNo"/>
        <w:tabs>
          <w:tab w:val="clear" w:pos="360"/>
          <w:tab w:val="clear" w:pos="737"/>
        </w:tabs>
        <w:rPr>
          <w:kern w:val="20"/>
          <w:lang w:val="en-GB"/>
        </w:rPr>
      </w:pPr>
      <w:r>
        <w:rPr>
          <w:kern w:val="20"/>
          <w:lang w:val="en-GB"/>
        </w:rPr>
        <w:t>Throughout the debate on the social security system, criticism against globalization of the economy has been a recurring theme.  The Brazilian Government recognizes that globalization is present today and seeks to increase its share of the international market and enhance the productive system.  Nevertheless, there is a growing concern about the negative impacts that widespread globalization may cause in a number of sectors and segments of society, including human rights in general and the full realization of economic, social and cultural rights in particular.  From this angle, the Brazilian Government has maintained that globalization must be symmetrical and has increasingly considered its ethical and human dimensions.</w:t>
      </w:r>
    </w:p>
    <w:p w:rsidR="00000000" w:rsidRDefault="00000000"/>
    <w:p w:rsidR="00000000" w:rsidRDefault="00000000">
      <w:pPr>
        <w:pStyle w:val="ParaNo"/>
        <w:tabs>
          <w:tab w:val="clear" w:pos="360"/>
          <w:tab w:val="clear" w:pos="737"/>
        </w:tabs>
        <w:rPr>
          <w:kern w:val="20"/>
          <w:lang w:val="en-GB"/>
        </w:rPr>
      </w:pPr>
      <w:r>
        <w:rPr>
          <w:kern w:val="20"/>
          <w:lang w:val="en-GB"/>
        </w:rPr>
        <w:t xml:space="preserve">The structure of social welfare in Brazil is based on a project by congressman Eloy Chaves in 1923, which led to the creation, through Decree No. 4682, of the Retirement and Pension Fund for railroad employees.  These workers and their families were then entitled to medical care, specially priced medicaments, retirement and pensions.  The system in mind, however, was not at all comprehensive and had a fragile structure.  The “pension funds” were organized by companies and very often did not reach the required number of recipients to establish underwriting bases </w:t>
      </w:r>
      <w:r>
        <w:rPr>
          <w:kern w:val="20"/>
          <w:lang w:val="en-GB"/>
        </w:rPr>
        <w:noBreakHyphen/>
        <w:t xml:space="preserve"> in other words, a sufficient number of contributories to establish a flow of revenue to ensure the payment of long</w:t>
      </w:r>
      <w:r>
        <w:rPr>
          <w:kern w:val="20"/>
          <w:lang w:val="en-GB"/>
        </w:rPr>
        <w:noBreakHyphen/>
        <w:t>term benefits.  The 1923 project adopted two universal principles from the social security systems:  the contributory character and the age limit.</w:t>
      </w:r>
    </w:p>
    <w:p w:rsidR="00000000" w:rsidRDefault="00000000"/>
    <w:p w:rsidR="00000000" w:rsidRDefault="00000000">
      <w:pPr>
        <w:pStyle w:val="ParaNo"/>
        <w:tabs>
          <w:tab w:val="clear" w:pos="360"/>
          <w:tab w:val="clear" w:pos="737"/>
        </w:tabs>
        <w:rPr>
          <w:kern w:val="20"/>
          <w:lang w:val="en-GB"/>
        </w:rPr>
      </w:pPr>
      <w:r>
        <w:rPr>
          <w:kern w:val="20"/>
          <w:lang w:val="en-GB"/>
        </w:rPr>
        <w:t>It is interesting to note that the 50</w:t>
      </w:r>
      <w:r>
        <w:rPr>
          <w:kern w:val="20"/>
          <w:lang w:val="en-GB"/>
        </w:rPr>
        <w:noBreakHyphen/>
        <w:t>year age limit established in the aforementioned Decree was higher than the life expectancy of the Brazilian born in the 1920s.  Although there are no demographic data available for that decade, it is possible to reach this conclusion based on IBGE estimates for 1950</w:t>
      </w:r>
      <w:r>
        <w:rPr>
          <w:kern w:val="20"/>
          <w:lang w:val="en-GB"/>
        </w:rPr>
        <w:noBreakHyphen/>
        <w:t>1955, when life expectancy at birth in Brazil was around 49 years.</w:t>
      </w:r>
    </w:p>
    <w:p w:rsidR="00000000" w:rsidRDefault="00000000"/>
    <w:p w:rsidR="00000000" w:rsidRDefault="00000000">
      <w:pPr>
        <w:pStyle w:val="ParaNo"/>
        <w:tabs>
          <w:tab w:val="clear" w:pos="360"/>
          <w:tab w:val="clear" w:pos="737"/>
        </w:tabs>
        <w:rPr>
          <w:kern w:val="20"/>
          <w:lang w:val="en-GB"/>
        </w:rPr>
      </w:pPr>
      <w:r>
        <w:rPr>
          <w:kern w:val="20"/>
          <w:lang w:val="en-GB"/>
        </w:rPr>
        <w:t>The following table gives estimated and forecast life expectancy in Brazil for the period from 1950 to 2015.  The Committee could use these data also to assess the continuing improvement in the life expectancy of the Brazilian population, an aspect relating to the economic, social and cultural rights covered by the International Covenant.</w:t>
      </w:r>
    </w:p>
    <w:p w:rsidR="00000000" w:rsidRDefault="00000000"/>
    <w:p w:rsidR="00000000" w:rsidRDefault="00000000">
      <w:pPr>
        <w:pStyle w:val="ParaNo"/>
        <w:tabs>
          <w:tab w:val="clear" w:pos="360"/>
          <w:tab w:val="clear" w:pos="737"/>
        </w:tabs>
        <w:rPr>
          <w:kern w:val="20"/>
          <w:lang w:val="en-GB"/>
        </w:rPr>
      </w:pPr>
      <w:r>
        <w:rPr>
          <w:kern w:val="20"/>
          <w:lang w:val="en-GB"/>
        </w:rPr>
        <w:t xml:space="preserve">The social security system based on the company pension fund, founded in the 1920s, became the model that was adopted in other sectors of the economy. </w:t>
      </w:r>
    </w:p>
    <w:p w:rsidR="00000000" w:rsidRDefault="00000000">
      <w:pPr>
        <w:pStyle w:val="BodyText"/>
        <w:rPr>
          <w:kern w:val="20"/>
        </w:rPr>
      </w:pPr>
    </w:p>
    <w:p w:rsidR="00000000" w:rsidRDefault="00000000">
      <w:pPr>
        <w:pStyle w:val="ParaNo"/>
        <w:tabs>
          <w:tab w:val="clear" w:pos="360"/>
          <w:tab w:val="clear" w:pos="737"/>
        </w:tabs>
        <w:rPr>
          <w:kern w:val="20"/>
          <w:lang w:val="en-GB"/>
        </w:rPr>
      </w:pPr>
      <w:r>
        <w:rPr>
          <w:kern w:val="20"/>
          <w:lang w:val="en-GB"/>
        </w:rPr>
        <w:t>The faults in the actuarial tables of the retirement and pension funds were reflected in the formation of equity.  Administrations were marked by technical dismantling which prevented them from protecting the financial health of the Funds as they grew and as the number of benefits increased.</w:t>
      </w:r>
    </w:p>
    <w:p w:rsidR="00000000" w:rsidRDefault="00000000"/>
    <w:p w:rsidR="00000000" w:rsidRDefault="00000000">
      <w:pPr>
        <w:pStyle w:val="Heading1"/>
        <w:rPr>
          <w:kern w:val="20"/>
        </w:rPr>
      </w:pPr>
      <w:r>
        <w:rPr>
          <w:kern w:val="20"/>
        </w:rPr>
        <w:br w:type="page"/>
        <w:t>Table 33</w:t>
      </w:r>
    </w:p>
    <w:p w:rsidR="00000000" w:rsidRDefault="00000000">
      <w:pPr>
        <w:pStyle w:val="Heading1"/>
        <w:rPr>
          <w:kern w:val="20"/>
        </w:rPr>
      </w:pPr>
    </w:p>
    <w:p w:rsidR="00000000" w:rsidRDefault="00000000">
      <w:pPr>
        <w:pStyle w:val="Heading1"/>
        <w:rPr>
          <w:kern w:val="20"/>
        </w:rPr>
      </w:pPr>
      <w:r>
        <w:rPr>
          <w:kern w:val="20"/>
        </w:rPr>
        <w:t>Life expectancy at birth,</w:t>
      </w:r>
      <w:r>
        <w:rPr>
          <w:rStyle w:val="EndnoteReference"/>
          <w:b/>
          <w:bCs/>
          <w:kern w:val="20"/>
        </w:rPr>
        <w:endnoteReference w:id="12"/>
      </w:r>
      <w:r>
        <w:rPr>
          <w:kern w:val="20"/>
        </w:rPr>
        <w:t xml:space="preserve"> estimates and forecasts, 1950</w:t>
      </w:r>
      <w:r>
        <w:rPr>
          <w:kern w:val="20"/>
        </w:rPr>
        <w:noBreakHyphen/>
        <w:t>2015</w:t>
      </w:r>
    </w:p>
    <w:p w:rsidR="00000000" w:rsidRDefault="00000000"/>
    <w:tbl>
      <w:tblPr>
        <w:tblW w:w="0" w:type="auto"/>
        <w:jc w:val="center"/>
        <w:tblInd w:w="-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0" w:type="dxa"/>
          <w:right w:w="60" w:type="dxa"/>
        </w:tblCellMar>
        <w:tblLook w:val="0000" w:firstRow="0" w:lastRow="0" w:firstColumn="0" w:lastColumn="0" w:noHBand="0" w:noVBand="0"/>
      </w:tblPr>
      <w:tblGrid>
        <w:gridCol w:w="2428"/>
        <w:gridCol w:w="1929"/>
        <w:gridCol w:w="1915"/>
      </w:tblGrid>
      <w:tr w:rsidR="00000000">
        <w:tblPrEx>
          <w:tblCellMar>
            <w:top w:w="0" w:type="dxa"/>
            <w:bottom w:w="0" w:type="dxa"/>
          </w:tblCellMar>
        </w:tblPrEx>
        <w:trPr>
          <w:cantSplit/>
          <w:jc w:val="center"/>
        </w:trPr>
        <w:tc>
          <w:tcPr>
            <w:tcW w:w="2428" w:type="dxa"/>
            <w:tcBorders>
              <w:bottom w:val="single" w:sz="4" w:space="0" w:color="auto"/>
            </w:tcBorders>
            <w:vAlign w:val="bottom"/>
          </w:tcPr>
          <w:p w:rsidR="00000000" w:rsidRDefault="00000000">
            <w:pPr>
              <w:pStyle w:val="BodyText"/>
              <w:jc w:val="center"/>
            </w:pPr>
            <w:r>
              <w:t>Period</w:t>
            </w:r>
          </w:p>
        </w:tc>
        <w:tc>
          <w:tcPr>
            <w:tcW w:w="1929" w:type="dxa"/>
            <w:tcBorders>
              <w:bottom w:val="single" w:sz="4" w:space="0" w:color="auto"/>
            </w:tcBorders>
            <w:vAlign w:val="bottom"/>
          </w:tcPr>
          <w:p w:rsidR="00000000" w:rsidRDefault="00000000">
            <w:pPr>
              <w:pStyle w:val="BodyText"/>
              <w:jc w:val="center"/>
            </w:pPr>
            <w:r>
              <w:t>Men</w:t>
            </w:r>
          </w:p>
        </w:tc>
        <w:tc>
          <w:tcPr>
            <w:tcW w:w="1915" w:type="dxa"/>
            <w:tcBorders>
              <w:bottom w:val="single" w:sz="4" w:space="0" w:color="auto"/>
            </w:tcBorders>
            <w:vAlign w:val="bottom"/>
          </w:tcPr>
          <w:p w:rsidR="00000000" w:rsidRDefault="00000000">
            <w:pPr>
              <w:pStyle w:val="BodyText"/>
              <w:jc w:val="center"/>
            </w:pPr>
            <w:r>
              <w:t>Women</w:t>
            </w:r>
          </w:p>
        </w:tc>
      </w:tr>
      <w:tr w:rsidR="00000000">
        <w:tblPrEx>
          <w:tblCellMar>
            <w:top w:w="0" w:type="dxa"/>
            <w:bottom w:w="0" w:type="dxa"/>
          </w:tblCellMar>
        </w:tblPrEx>
        <w:trPr>
          <w:cantSplit/>
          <w:jc w:val="center"/>
        </w:trPr>
        <w:tc>
          <w:tcPr>
            <w:tcW w:w="2428" w:type="dxa"/>
            <w:tcBorders>
              <w:bottom w:val="nil"/>
            </w:tcBorders>
            <w:vAlign w:val="bottom"/>
          </w:tcPr>
          <w:p w:rsidR="00000000" w:rsidRDefault="00000000">
            <w:pPr>
              <w:pStyle w:val="BodyText"/>
              <w:jc w:val="center"/>
            </w:pPr>
            <w:r>
              <w:t>1950</w:t>
            </w:r>
            <w:r>
              <w:noBreakHyphen/>
              <w:t>1955</w:t>
            </w:r>
          </w:p>
        </w:tc>
        <w:tc>
          <w:tcPr>
            <w:tcW w:w="1929" w:type="dxa"/>
            <w:tcBorders>
              <w:bottom w:val="nil"/>
            </w:tcBorders>
            <w:vAlign w:val="bottom"/>
          </w:tcPr>
          <w:p w:rsidR="00000000" w:rsidRDefault="00000000">
            <w:pPr>
              <w:pStyle w:val="BodyText"/>
              <w:jc w:val="center"/>
            </w:pPr>
            <w:r>
              <w:t>49.32</w:t>
            </w:r>
          </w:p>
        </w:tc>
        <w:tc>
          <w:tcPr>
            <w:tcW w:w="1915" w:type="dxa"/>
            <w:tcBorders>
              <w:bottom w:val="nil"/>
            </w:tcBorders>
            <w:vAlign w:val="bottom"/>
          </w:tcPr>
          <w:p w:rsidR="00000000" w:rsidRDefault="00000000">
            <w:pPr>
              <w:pStyle w:val="BodyText"/>
              <w:jc w:val="center"/>
            </w:pPr>
            <w:r>
              <w:t>52.75</w:t>
            </w:r>
          </w:p>
        </w:tc>
      </w:tr>
      <w:tr w:rsidR="00000000">
        <w:tblPrEx>
          <w:tblCellMar>
            <w:top w:w="0" w:type="dxa"/>
            <w:bottom w:w="0" w:type="dxa"/>
          </w:tblCellMar>
        </w:tblPrEx>
        <w:trPr>
          <w:cantSplit/>
          <w:jc w:val="center"/>
        </w:trPr>
        <w:tc>
          <w:tcPr>
            <w:tcW w:w="2428" w:type="dxa"/>
            <w:tcBorders>
              <w:top w:val="nil"/>
              <w:bottom w:val="nil"/>
            </w:tcBorders>
            <w:vAlign w:val="bottom"/>
          </w:tcPr>
          <w:p w:rsidR="00000000" w:rsidRDefault="00000000">
            <w:pPr>
              <w:pStyle w:val="BodyText"/>
              <w:jc w:val="center"/>
            </w:pPr>
            <w:r>
              <w:t>1955</w:t>
            </w:r>
            <w:r>
              <w:noBreakHyphen/>
              <w:t>1960</w:t>
            </w:r>
          </w:p>
        </w:tc>
        <w:tc>
          <w:tcPr>
            <w:tcW w:w="1929" w:type="dxa"/>
            <w:tcBorders>
              <w:top w:val="nil"/>
              <w:bottom w:val="nil"/>
            </w:tcBorders>
            <w:vAlign w:val="bottom"/>
          </w:tcPr>
          <w:p w:rsidR="00000000" w:rsidRDefault="00000000">
            <w:pPr>
              <w:pStyle w:val="BodyText"/>
              <w:jc w:val="center"/>
            </w:pPr>
            <w:r>
              <w:t>51.60</w:t>
            </w:r>
          </w:p>
        </w:tc>
        <w:tc>
          <w:tcPr>
            <w:tcW w:w="1915" w:type="dxa"/>
            <w:tcBorders>
              <w:top w:val="nil"/>
              <w:bottom w:val="nil"/>
            </w:tcBorders>
            <w:vAlign w:val="bottom"/>
          </w:tcPr>
          <w:p w:rsidR="00000000" w:rsidRDefault="00000000">
            <w:pPr>
              <w:pStyle w:val="BodyText"/>
              <w:jc w:val="center"/>
            </w:pPr>
            <w:r>
              <w:t>55.38</w:t>
            </w:r>
          </w:p>
        </w:tc>
      </w:tr>
      <w:tr w:rsidR="00000000">
        <w:tblPrEx>
          <w:tblCellMar>
            <w:top w:w="0" w:type="dxa"/>
            <w:bottom w:w="0" w:type="dxa"/>
          </w:tblCellMar>
        </w:tblPrEx>
        <w:trPr>
          <w:cantSplit/>
          <w:jc w:val="center"/>
        </w:trPr>
        <w:tc>
          <w:tcPr>
            <w:tcW w:w="2428" w:type="dxa"/>
            <w:tcBorders>
              <w:top w:val="nil"/>
              <w:bottom w:val="nil"/>
            </w:tcBorders>
            <w:vAlign w:val="bottom"/>
          </w:tcPr>
          <w:p w:rsidR="00000000" w:rsidRDefault="00000000">
            <w:pPr>
              <w:pStyle w:val="BodyText"/>
              <w:jc w:val="center"/>
            </w:pPr>
            <w:r>
              <w:t>1960</w:t>
            </w:r>
            <w:r>
              <w:noBreakHyphen/>
              <w:t>1965</w:t>
            </w:r>
          </w:p>
        </w:tc>
        <w:tc>
          <w:tcPr>
            <w:tcW w:w="1929" w:type="dxa"/>
            <w:tcBorders>
              <w:top w:val="nil"/>
              <w:bottom w:val="nil"/>
            </w:tcBorders>
            <w:vAlign w:val="bottom"/>
          </w:tcPr>
          <w:p w:rsidR="00000000" w:rsidRDefault="00000000">
            <w:pPr>
              <w:pStyle w:val="BodyText"/>
              <w:jc w:val="center"/>
            </w:pPr>
            <w:r>
              <w:t>54.02</w:t>
            </w:r>
          </w:p>
        </w:tc>
        <w:tc>
          <w:tcPr>
            <w:tcW w:w="1915" w:type="dxa"/>
            <w:tcBorders>
              <w:top w:val="nil"/>
              <w:bottom w:val="nil"/>
            </w:tcBorders>
            <w:vAlign w:val="bottom"/>
          </w:tcPr>
          <w:p w:rsidR="00000000" w:rsidRDefault="00000000">
            <w:pPr>
              <w:pStyle w:val="BodyText"/>
              <w:jc w:val="center"/>
            </w:pPr>
            <w:r>
              <w:t>57.82</w:t>
            </w:r>
          </w:p>
        </w:tc>
      </w:tr>
      <w:tr w:rsidR="00000000">
        <w:tblPrEx>
          <w:tblCellMar>
            <w:top w:w="0" w:type="dxa"/>
            <w:bottom w:w="0" w:type="dxa"/>
          </w:tblCellMar>
        </w:tblPrEx>
        <w:trPr>
          <w:cantSplit/>
          <w:jc w:val="center"/>
        </w:trPr>
        <w:tc>
          <w:tcPr>
            <w:tcW w:w="2428" w:type="dxa"/>
            <w:tcBorders>
              <w:top w:val="nil"/>
              <w:bottom w:val="nil"/>
            </w:tcBorders>
            <w:vAlign w:val="bottom"/>
          </w:tcPr>
          <w:p w:rsidR="00000000" w:rsidRDefault="00000000">
            <w:pPr>
              <w:pStyle w:val="BodyText"/>
              <w:jc w:val="center"/>
            </w:pPr>
            <w:r>
              <w:t>1965</w:t>
            </w:r>
            <w:r>
              <w:noBreakHyphen/>
              <w:t>1970</w:t>
            </w:r>
          </w:p>
        </w:tc>
        <w:tc>
          <w:tcPr>
            <w:tcW w:w="1929" w:type="dxa"/>
            <w:tcBorders>
              <w:top w:val="nil"/>
              <w:bottom w:val="nil"/>
            </w:tcBorders>
            <w:vAlign w:val="bottom"/>
          </w:tcPr>
          <w:p w:rsidR="00000000" w:rsidRDefault="00000000">
            <w:pPr>
              <w:pStyle w:val="BodyText"/>
              <w:jc w:val="center"/>
            </w:pPr>
            <w:r>
              <w:t>55.94</w:t>
            </w:r>
          </w:p>
        </w:tc>
        <w:tc>
          <w:tcPr>
            <w:tcW w:w="1915" w:type="dxa"/>
            <w:tcBorders>
              <w:top w:val="nil"/>
              <w:bottom w:val="nil"/>
            </w:tcBorders>
            <w:vAlign w:val="bottom"/>
          </w:tcPr>
          <w:p w:rsidR="00000000" w:rsidRDefault="00000000">
            <w:pPr>
              <w:pStyle w:val="BodyText"/>
              <w:jc w:val="center"/>
            </w:pPr>
            <w:r>
              <w:t>59.95</w:t>
            </w:r>
          </w:p>
        </w:tc>
      </w:tr>
      <w:tr w:rsidR="00000000">
        <w:tblPrEx>
          <w:tblCellMar>
            <w:top w:w="0" w:type="dxa"/>
            <w:bottom w:w="0" w:type="dxa"/>
          </w:tblCellMar>
        </w:tblPrEx>
        <w:trPr>
          <w:cantSplit/>
          <w:jc w:val="center"/>
        </w:trPr>
        <w:tc>
          <w:tcPr>
            <w:tcW w:w="2428" w:type="dxa"/>
            <w:tcBorders>
              <w:top w:val="nil"/>
              <w:bottom w:val="nil"/>
            </w:tcBorders>
            <w:vAlign w:val="bottom"/>
          </w:tcPr>
          <w:p w:rsidR="00000000" w:rsidRDefault="00000000">
            <w:pPr>
              <w:pStyle w:val="BodyText"/>
              <w:jc w:val="center"/>
            </w:pPr>
            <w:r>
              <w:t>1970</w:t>
            </w:r>
            <w:r>
              <w:noBreakHyphen/>
              <w:t>1975</w:t>
            </w:r>
          </w:p>
        </w:tc>
        <w:tc>
          <w:tcPr>
            <w:tcW w:w="1929" w:type="dxa"/>
            <w:tcBorders>
              <w:top w:val="nil"/>
              <w:bottom w:val="nil"/>
            </w:tcBorders>
            <w:vAlign w:val="bottom"/>
          </w:tcPr>
          <w:p w:rsidR="00000000" w:rsidRDefault="00000000">
            <w:pPr>
              <w:pStyle w:val="BodyText"/>
              <w:jc w:val="center"/>
            </w:pPr>
            <w:r>
              <w:t>57.57</w:t>
            </w:r>
          </w:p>
        </w:tc>
        <w:tc>
          <w:tcPr>
            <w:tcW w:w="1915" w:type="dxa"/>
            <w:tcBorders>
              <w:top w:val="nil"/>
              <w:bottom w:val="nil"/>
            </w:tcBorders>
            <w:vAlign w:val="bottom"/>
          </w:tcPr>
          <w:p w:rsidR="00000000" w:rsidRDefault="00000000">
            <w:pPr>
              <w:pStyle w:val="BodyText"/>
              <w:jc w:val="center"/>
            </w:pPr>
            <w:r>
              <w:t>62.17</w:t>
            </w:r>
          </w:p>
        </w:tc>
      </w:tr>
      <w:tr w:rsidR="00000000">
        <w:tblPrEx>
          <w:tblCellMar>
            <w:top w:w="0" w:type="dxa"/>
            <w:bottom w:w="0" w:type="dxa"/>
          </w:tblCellMar>
        </w:tblPrEx>
        <w:trPr>
          <w:cantSplit/>
          <w:jc w:val="center"/>
        </w:trPr>
        <w:tc>
          <w:tcPr>
            <w:tcW w:w="2428" w:type="dxa"/>
            <w:tcBorders>
              <w:top w:val="nil"/>
              <w:bottom w:val="nil"/>
            </w:tcBorders>
            <w:vAlign w:val="bottom"/>
          </w:tcPr>
          <w:p w:rsidR="00000000" w:rsidRDefault="00000000">
            <w:pPr>
              <w:pStyle w:val="BodyText"/>
              <w:jc w:val="center"/>
            </w:pPr>
            <w:r>
              <w:t>1975</w:t>
            </w:r>
            <w:r>
              <w:noBreakHyphen/>
              <w:t>1980</w:t>
            </w:r>
          </w:p>
        </w:tc>
        <w:tc>
          <w:tcPr>
            <w:tcW w:w="1929" w:type="dxa"/>
            <w:tcBorders>
              <w:top w:val="nil"/>
              <w:bottom w:val="nil"/>
            </w:tcBorders>
            <w:vAlign w:val="bottom"/>
          </w:tcPr>
          <w:p w:rsidR="00000000" w:rsidRDefault="00000000">
            <w:pPr>
              <w:pStyle w:val="BodyText"/>
              <w:jc w:val="center"/>
            </w:pPr>
            <w:r>
              <w:t>59.54</w:t>
            </w:r>
          </w:p>
        </w:tc>
        <w:tc>
          <w:tcPr>
            <w:tcW w:w="1915" w:type="dxa"/>
            <w:tcBorders>
              <w:top w:val="nil"/>
              <w:bottom w:val="nil"/>
            </w:tcBorders>
            <w:vAlign w:val="bottom"/>
          </w:tcPr>
          <w:p w:rsidR="00000000" w:rsidRDefault="00000000">
            <w:pPr>
              <w:pStyle w:val="BodyText"/>
              <w:jc w:val="center"/>
            </w:pPr>
            <w:r>
              <w:t>64.25</w:t>
            </w:r>
          </w:p>
        </w:tc>
      </w:tr>
      <w:tr w:rsidR="00000000">
        <w:tblPrEx>
          <w:tblCellMar>
            <w:top w:w="0" w:type="dxa"/>
            <w:bottom w:w="0" w:type="dxa"/>
          </w:tblCellMar>
        </w:tblPrEx>
        <w:trPr>
          <w:cantSplit/>
          <w:jc w:val="center"/>
        </w:trPr>
        <w:tc>
          <w:tcPr>
            <w:tcW w:w="2428" w:type="dxa"/>
            <w:tcBorders>
              <w:top w:val="nil"/>
              <w:bottom w:val="nil"/>
            </w:tcBorders>
            <w:vAlign w:val="bottom"/>
          </w:tcPr>
          <w:p w:rsidR="00000000" w:rsidRDefault="00000000">
            <w:pPr>
              <w:pStyle w:val="BodyText"/>
              <w:jc w:val="center"/>
            </w:pPr>
            <w:r>
              <w:t>1980</w:t>
            </w:r>
            <w:r>
              <w:noBreakHyphen/>
              <w:t>1985</w:t>
            </w:r>
          </w:p>
        </w:tc>
        <w:tc>
          <w:tcPr>
            <w:tcW w:w="1929" w:type="dxa"/>
            <w:tcBorders>
              <w:top w:val="nil"/>
              <w:bottom w:val="nil"/>
            </w:tcBorders>
            <w:vAlign w:val="bottom"/>
          </w:tcPr>
          <w:p w:rsidR="00000000" w:rsidRDefault="00000000">
            <w:pPr>
              <w:pStyle w:val="BodyText"/>
              <w:jc w:val="center"/>
            </w:pPr>
            <w:r>
              <w:t>60.95</w:t>
            </w:r>
          </w:p>
        </w:tc>
        <w:tc>
          <w:tcPr>
            <w:tcW w:w="1915" w:type="dxa"/>
            <w:tcBorders>
              <w:top w:val="nil"/>
              <w:bottom w:val="nil"/>
            </w:tcBorders>
            <w:vAlign w:val="bottom"/>
          </w:tcPr>
          <w:p w:rsidR="00000000" w:rsidRDefault="00000000">
            <w:pPr>
              <w:pStyle w:val="BodyText"/>
              <w:jc w:val="center"/>
            </w:pPr>
            <w:r>
              <w:t>66.00</w:t>
            </w:r>
          </w:p>
        </w:tc>
      </w:tr>
      <w:tr w:rsidR="00000000">
        <w:tblPrEx>
          <w:tblCellMar>
            <w:top w:w="0" w:type="dxa"/>
            <w:bottom w:w="0" w:type="dxa"/>
          </w:tblCellMar>
        </w:tblPrEx>
        <w:trPr>
          <w:cantSplit/>
          <w:jc w:val="center"/>
        </w:trPr>
        <w:tc>
          <w:tcPr>
            <w:tcW w:w="2428" w:type="dxa"/>
            <w:tcBorders>
              <w:top w:val="nil"/>
              <w:bottom w:val="nil"/>
            </w:tcBorders>
            <w:vAlign w:val="bottom"/>
          </w:tcPr>
          <w:p w:rsidR="00000000" w:rsidRDefault="00000000">
            <w:pPr>
              <w:pStyle w:val="BodyText"/>
              <w:jc w:val="center"/>
            </w:pPr>
            <w:r>
              <w:t>1985</w:t>
            </w:r>
            <w:r>
              <w:noBreakHyphen/>
              <w:t>1990</w:t>
            </w:r>
          </w:p>
        </w:tc>
        <w:tc>
          <w:tcPr>
            <w:tcW w:w="1929" w:type="dxa"/>
            <w:tcBorders>
              <w:top w:val="nil"/>
              <w:bottom w:val="nil"/>
            </w:tcBorders>
            <w:vAlign w:val="bottom"/>
          </w:tcPr>
          <w:p w:rsidR="00000000" w:rsidRDefault="00000000">
            <w:pPr>
              <w:pStyle w:val="BodyText"/>
              <w:jc w:val="center"/>
            </w:pPr>
            <w:r>
              <w:t>62.30</w:t>
            </w:r>
          </w:p>
        </w:tc>
        <w:tc>
          <w:tcPr>
            <w:tcW w:w="1915" w:type="dxa"/>
            <w:tcBorders>
              <w:top w:val="nil"/>
              <w:bottom w:val="nil"/>
            </w:tcBorders>
            <w:vAlign w:val="bottom"/>
          </w:tcPr>
          <w:p w:rsidR="00000000" w:rsidRDefault="00000000">
            <w:pPr>
              <w:pStyle w:val="BodyText"/>
              <w:jc w:val="center"/>
            </w:pPr>
            <w:r>
              <w:t>67.60</w:t>
            </w:r>
          </w:p>
        </w:tc>
      </w:tr>
      <w:tr w:rsidR="00000000">
        <w:tblPrEx>
          <w:tblCellMar>
            <w:top w:w="0" w:type="dxa"/>
            <w:bottom w:w="0" w:type="dxa"/>
          </w:tblCellMar>
        </w:tblPrEx>
        <w:trPr>
          <w:cantSplit/>
          <w:jc w:val="center"/>
        </w:trPr>
        <w:tc>
          <w:tcPr>
            <w:tcW w:w="2428" w:type="dxa"/>
            <w:tcBorders>
              <w:top w:val="nil"/>
              <w:bottom w:val="nil"/>
            </w:tcBorders>
            <w:vAlign w:val="bottom"/>
          </w:tcPr>
          <w:p w:rsidR="00000000" w:rsidRDefault="00000000">
            <w:pPr>
              <w:pStyle w:val="BodyText"/>
              <w:jc w:val="center"/>
            </w:pPr>
            <w:r>
              <w:t>1990</w:t>
            </w:r>
            <w:r>
              <w:noBreakHyphen/>
              <w:t>1995</w:t>
            </w:r>
          </w:p>
        </w:tc>
        <w:tc>
          <w:tcPr>
            <w:tcW w:w="1929" w:type="dxa"/>
            <w:tcBorders>
              <w:top w:val="nil"/>
              <w:bottom w:val="nil"/>
            </w:tcBorders>
            <w:vAlign w:val="bottom"/>
          </w:tcPr>
          <w:p w:rsidR="00000000" w:rsidRDefault="00000000">
            <w:pPr>
              <w:pStyle w:val="BodyText"/>
              <w:jc w:val="center"/>
            </w:pPr>
            <w:r>
              <w:t>63.54</w:t>
            </w:r>
          </w:p>
        </w:tc>
        <w:tc>
          <w:tcPr>
            <w:tcW w:w="1915" w:type="dxa"/>
            <w:tcBorders>
              <w:top w:val="nil"/>
              <w:bottom w:val="nil"/>
            </w:tcBorders>
            <w:vAlign w:val="bottom"/>
          </w:tcPr>
          <w:p w:rsidR="00000000" w:rsidRDefault="00000000">
            <w:pPr>
              <w:pStyle w:val="BodyText"/>
              <w:jc w:val="center"/>
            </w:pPr>
            <w:r>
              <w:t>69.10</w:t>
            </w:r>
          </w:p>
        </w:tc>
      </w:tr>
      <w:tr w:rsidR="00000000">
        <w:tblPrEx>
          <w:tblCellMar>
            <w:top w:w="0" w:type="dxa"/>
            <w:bottom w:w="0" w:type="dxa"/>
          </w:tblCellMar>
        </w:tblPrEx>
        <w:trPr>
          <w:cantSplit/>
          <w:jc w:val="center"/>
        </w:trPr>
        <w:tc>
          <w:tcPr>
            <w:tcW w:w="2428" w:type="dxa"/>
            <w:tcBorders>
              <w:top w:val="nil"/>
              <w:bottom w:val="nil"/>
            </w:tcBorders>
            <w:vAlign w:val="bottom"/>
          </w:tcPr>
          <w:p w:rsidR="00000000" w:rsidRDefault="00000000">
            <w:pPr>
              <w:pStyle w:val="BodyText"/>
              <w:jc w:val="center"/>
            </w:pPr>
            <w:r>
              <w:t>1995</w:t>
            </w:r>
            <w:r>
              <w:noBreakHyphen/>
              <w:t>2000</w:t>
            </w:r>
          </w:p>
        </w:tc>
        <w:tc>
          <w:tcPr>
            <w:tcW w:w="1929" w:type="dxa"/>
            <w:tcBorders>
              <w:top w:val="nil"/>
              <w:bottom w:val="nil"/>
            </w:tcBorders>
            <w:vAlign w:val="bottom"/>
          </w:tcPr>
          <w:p w:rsidR="00000000" w:rsidRDefault="00000000">
            <w:pPr>
              <w:pStyle w:val="BodyText"/>
              <w:jc w:val="center"/>
            </w:pPr>
            <w:r>
              <w:t>64.70</w:t>
            </w:r>
          </w:p>
        </w:tc>
        <w:tc>
          <w:tcPr>
            <w:tcW w:w="1915" w:type="dxa"/>
            <w:tcBorders>
              <w:top w:val="nil"/>
              <w:bottom w:val="nil"/>
            </w:tcBorders>
            <w:vAlign w:val="bottom"/>
          </w:tcPr>
          <w:p w:rsidR="00000000" w:rsidRDefault="00000000">
            <w:pPr>
              <w:pStyle w:val="BodyText"/>
              <w:jc w:val="center"/>
            </w:pPr>
            <w:r>
              <w:t>70.40</w:t>
            </w:r>
          </w:p>
        </w:tc>
      </w:tr>
      <w:tr w:rsidR="00000000">
        <w:tblPrEx>
          <w:tblCellMar>
            <w:top w:w="0" w:type="dxa"/>
            <w:bottom w:w="0" w:type="dxa"/>
          </w:tblCellMar>
        </w:tblPrEx>
        <w:trPr>
          <w:cantSplit/>
          <w:jc w:val="center"/>
        </w:trPr>
        <w:tc>
          <w:tcPr>
            <w:tcW w:w="2428" w:type="dxa"/>
            <w:tcBorders>
              <w:top w:val="nil"/>
              <w:bottom w:val="nil"/>
            </w:tcBorders>
            <w:vAlign w:val="bottom"/>
          </w:tcPr>
          <w:p w:rsidR="00000000" w:rsidRDefault="00000000">
            <w:pPr>
              <w:pStyle w:val="BodyText"/>
              <w:jc w:val="center"/>
            </w:pPr>
            <w:r>
              <w:t>2000</w:t>
            </w:r>
            <w:r>
              <w:noBreakHyphen/>
              <w:t>2005</w:t>
            </w:r>
          </w:p>
        </w:tc>
        <w:tc>
          <w:tcPr>
            <w:tcW w:w="1929" w:type="dxa"/>
            <w:tcBorders>
              <w:top w:val="nil"/>
              <w:bottom w:val="nil"/>
            </w:tcBorders>
            <w:vAlign w:val="bottom"/>
          </w:tcPr>
          <w:p w:rsidR="00000000" w:rsidRDefault="00000000">
            <w:pPr>
              <w:pStyle w:val="BodyText"/>
              <w:jc w:val="center"/>
            </w:pPr>
            <w:r>
              <w:t>65.74</w:t>
            </w:r>
          </w:p>
        </w:tc>
        <w:tc>
          <w:tcPr>
            <w:tcW w:w="1915" w:type="dxa"/>
            <w:tcBorders>
              <w:top w:val="nil"/>
              <w:bottom w:val="nil"/>
            </w:tcBorders>
            <w:vAlign w:val="bottom"/>
          </w:tcPr>
          <w:p w:rsidR="00000000" w:rsidRDefault="00000000">
            <w:pPr>
              <w:pStyle w:val="BodyText"/>
              <w:jc w:val="center"/>
            </w:pPr>
            <w:r>
              <w:t>73.60</w:t>
            </w:r>
          </w:p>
        </w:tc>
      </w:tr>
      <w:tr w:rsidR="00000000">
        <w:tblPrEx>
          <w:tblCellMar>
            <w:top w:w="0" w:type="dxa"/>
            <w:bottom w:w="0" w:type="dxa"/>
          </w:tblCellMar>
        </w:tblPrEx>
        <w:trPr>
          <w:cantSplit/>
          <w:jc w:val="center"/>
        </w:trPr>
        <w:tc>
          <w:tcPr>
            <w:tcW w:w="2428" w:type="dxa"/>
            <w:tcBorders>
              <w:top w:val="nil"/>
              <w:bottom w:val="nil"/>
            </w:tcBorders>
            <w:vAlign w:val="bottom"/>
          </w:tcPr>
          <w:p w:rsidR="00000000" w:rsidRDefault="00000000">
            <w:pPr>
              <w:pStyle w:val="BodyText"/>
              <w:jc w:val="center"/>
            </w:pPr>
            <w:r>
              <w:t>2005</w:t>
            </w:r>
            <w:r>
              <w:noBreakHyphen/>
              <w:t>2010</w:t>
            </w:r>
          </w:p>
        </w:tc>
        <w:tc>
          <w:tcPr>
            <w:tcW w:w="1929" w:type="dxa"/>
            <w:tcBorders>
              <w:top w:val="nil"/>
              <w:bottom w:val="nil"/>
            </w:tcBorders>
            <w:vAlign w:val="bottom"/>
          </w:tcPr>
          <w:p w:rsidR="00000000" w:rsidRDefault="00000000">
            <w:pPr>
              <w:pStyle w:val="BodyText"/>
              <w:jc w:val="center"/>
            </w:pPr>
            <w:r>
              <w:t>66.47</w:t>
            </w:r>
          </w:p>
        </w:tc>
        <w:tc>
          <w:tcPr>
            <w:tcW w:w="1915" w:type="dxa"/>
            <w:tcBorders>
              <w:top w:val="nil"/>
              <w:bottom w:val="nil"/>
            </w:tcBorders>
            <w:vAlign w:val="bottom"/>
          </w:tcPr>
          <w:p w:rsidR="00000000" w:rsidRDefault="00000000">
            <w:pPr>
              <w:pStyle w:val="BodyText"/>
              <w:jc w:val="center"/>
            </w:pPr>
            <w:r>
              <w:t>72.60</w:t>
            </w:r>
          </w:p>
        </w:tc>
      </w:tr>
      <w:tr w:rsidR="00000000">
        <w:tblPrEx>
          <w:tblCellMar>
            <w:top w:w="0" w:type="dxa"/>
            <w:bottom w:w="0" w:type="dxa"/>
          </w:tblCellMar>
        </w:tblPrEx>
        <w:trPr>
          <w:cantSplit/>
          <w:jc w:val="center"/>
        </w:trPr>
        <w:tc>
          <w:tcPr>
            <w:tcW w:w="2428" w:type="dxa"/>
            <w:tcBorders>
              <w:top w:val="nil"/>
            </w:tcBorders>
            <w:vAlign w:val="bottom"/>
          </w:tcPr>
          <w:p w:rsidR="00000000" w:rsidRDefault="00000000">
            <w:pPr>
              <w:pStyle w:val="BodyText"/>
              <w:jc w:val="center"/>
            </w:pPr>
            <w:r>
              <w:t>2010</w:t>
            </w:r>
            <w:r>
              <w:noBreakHyphen/>
              <w:t>2015</w:t>
            </w:r>
          </w:p>
        </w:tc>
        <w:tc>
          <w:tcPr>
            <w:tcW w:w="1929" w:type="dxa"/>
            <w:tcBorders>
              <w:top w:val="nil"/>
            </w:tcBorders>
            <w:vAlign w:val="bottom"/>
          </w:tcPr>
          <w:p w:rsidR="00000000" w:rsidRDefault="00000000">
            <w:pPr>
              <w:pStyle w:val="BodyText"/>
              <w:jc w:val="center"/>
            </w:pPr>
            <w:r>
              <w:t>66.84</w:t>
            </w:r>
          </w:p>
        </w:tc>
        <w:tc>
          <w:tcPr>
            <w:tcW w:w="1915" w:type="dxa"/>
            <w:tcBorders>
              <w:top w:val="nil"/>
            </w:tcBorders>
            <w:vAlign w:val="bottom"/>
          </w:tcPr>
          <w:p w:rsidR="00000000" w:rsidRDefault="00000000">
            <w:pPr>
              <w:pStyle w:val="BodyText"/>
              <w:jc w:val="center"/>
            </w:pPr>
            <w:r>
              <w:t>73.40</w:t>
            </w:r>
          </w:p>
        </w:tc>
      </w:tr>
    </w:tbl>
    <w:p w:rsidR="00000000" w:rsidRDefault="00000000">
      <w:pPr>
        <w:rPr>
          <w:rStyle w:val="Emphasis"/>
          <w:i w:val="0"/>
          <w:u w:val="single"/>
        </w:rPr>
      </w:pPr>
    </w:p>
    <w:p w:rsidR="00000000" w:rsidRDefault="00000000">
      <w:pPr>
        <w:rPr>
          <w:rStyle w:val="Emphasis"/>
          <w:i w:val="0"/>
          <w:u w:val="single"/>
        </w:rPr>
      </w:pPr>
      <w:r>
        <w:rPr>
          <w:rStyle w:val="Emphasis"/>
          <w:i w:val="0"/>
        </w:rPr>
        <w:tab/>
      </w:r>
      <w:r>
        <w:rPr>
          <w:rStyle w:val="Emphasis"/>
          <w:i w:val="0"/>
        </w:rPr>
        <w:tab/>
      </w:r>
      <w:r>
        <w:rPr>
          <w:rStyle w:val="Emphasis"/>
          <w:i w:val="0"/>
        </w:rPr>
        <w:tab/>
      </w:r>
      <w:r>
        <w:rPr>
          <w:rStyle w:val="Emphasis"/>
          <w:i w:val="0"/>
          <w:u w:val="single"/>
        </w:rPr>
        <w:t>Source</w:t>
      </w:r>
      <w:r>
        <w:rPr>
          <w:rStyle w:val="Emphasis"/>
          <w:i w:val="0"/>
        </w:rPr>
        <w:t xml:space="preserve">:  CELADE/IBGE, Brazil.  </w:t>
      </w:r>
      <w:r>
        <w:rPr>
          <w:rStyle w:val="Emphasis"/>
          <w:i w:val="0"/>
          <w:u w:val="single"/>
        </w:rPr>
        <w:t>Estimaciones y Proyecciones</w:t>
      </w:r>
    </w:p>
    <w:p w:rsidR="00000000" w:rsidRDefault="00000000">
      <w:pPr>
        <w:rPr>
          <w:rStyle w:val="Emphasis"/>
          <w:i w:val="0"/>
        </w:rPr>
      </w:pPr>
      <w:r>
        <w:rPr>
          <w:rStyle w:val="Emphasis"/>
          <w:i w:val="0"/>
        </w:rPr>
        <w:tab/>
      </w:r>
      <w:r>
        <w:rPr>
          <w:rStyle w:val="Emphasis"/>
          <w:i w:val="0"/>
        </w:rPr>
        <w:tab/>
        <w:t xml:space="preserve"> </w:t>
      </w:r>
      <w:r>
        <w:rPr>
          <w:rStyle w:val="Emphasis"/>
          <w:i w:val="0"/>
          <w:u w:val="single"/>
        </w:rPr>
        <w:t>de Población, 1950</w:t>
      </w:r>
      <w:r>
        <w:rPr>
          <w:rStyle w:val="Emphasis"/>
          <w:i w:val="0"/>
          <w:u w:val="single"/>
        </w:rPr>
        <w:noBreakHyphen/>
        <w:t>2025, Fascículo F/BRA</w:t>
      </w:r>
      <w:r>
        <w:rPr>
          <w:rStyle w:val="Emphasis"/>
          <w:i w:val="0"/>
        </w:rPr>
        <w:t>, 1 July 1994, pp. 65</w:t>
      </w:r>
      <w:r>
        <w:rPr>
          <w:rStyle w:val="Emphasis"/>
          <w:i w:val="0"/>
        </w:rPr>
        <w:noBreakHyphen/>
        <w:t>76.</w:t>
      </w:r>
    </w:p>
    <w:p w:rsidR="00000000" w:rsidRDefault="00000000">
      <w:pPr>
        <w:rPr>
          <w:kern w:val="20"/>
        </w:rPr>
      </w:pPr>
    </w:p>
    <w:p w:rsidR="00000000" w:rsidRDefault="00000000">
      <w:pPr>
        <w:pStyle w:val="ParaNo"/>
        <w:tabs>
          <w:tab w:val="clear" w:pos="360"/>
          <w:tab w:val="clear" w:pos="737"/>
        </w:tabs>
        <w:rPr>
          <w:kern w:val="20"/>
          <w:lang w:val="en-GB"/>
        </w:rPr>
      </w:pPr>
      <w:r>
        <w:rPr>
          <w:lang w:val="en-GB"/>
        </w:rPr>
        <w:t xml:space="preserve">The first financial and </w:t>
      </w:r>
      <w:r>
        <w:rPr>
          <w:kern w:val="20"/>
          <w:lang w:val="en-GB"/>
        </w:rPr>
        <w:t>administrative</w:t>
      </w:r>
      <w:r>
        <w:rPr>
          <w:lang w:val="en-GB"/>
        </w:rPr>
        <w:t xml:space="preserve"> crisis in the Brazilian social security system occurred in 1930 when the system underwent restructuring and included practically all categories of urban worker.  </w:t>
      </w:r>
      <w:r>
        <w:rPr>
          <w:kern w:val="20"/>
          <w:lang w:val="en-GB"/>
        </w:rPr>
        <w:t>In the following years, six major national institutes were created to replace the pension funds.  The institutes were no longer organized by company but by professional category or groups of related professions.  Since the 1930s the law maintained the contributory nature and the 50</w:t>
      </w:r>
      <w:r>
        <w:rPr>
          <w:kern w:val="20"/>
          <w:lang w:val="en-GB"/>
        </w:rPr>
        <w:noBreakHyphen/>
        <w:t>year age limit (increased in 1960 to 55 years).</w:t>
      </w:r>
    </w:p>
    <w:p w:rsidR="00000000" w:rsidRDefault="00000000"/>
    <w:p w:rsidR="00000000" w:rsidRDefault="00000000">
      <w:pPr>
        <w:pStyle w:val="ParaNo"/>
        <w:tabs>
          <w:tab w:val="clear" w:pos="360"/>
          <w:tab w:val="clear" w:pos="737"/>
        </w:tabs>
        <w:rPr>
          <w:kern w:val="20"/>
          <w:lang w:val="en-GB"/>
        </w:rPr>
      </w:pPr>
      <w:r>
        <w:rPr>
          <w:kern w:val="20"/>
          <w:lang w:val="en-GB"/>
        </w:rPr>
        <w:t>The reform in the 1930s regulated the retirement of civil servants, providing only for retirement for reasons of age or invalidity, with benefits in proportion to time in employment.  This was an innovation since until then there had been systems of partial protection for some public service categories and the military.  In 1941, the Military Law, instituted by Decree</w:t>
      </w:r>
      <w:r>
        <w:rPr>
          <w:kern w:val="20"/>
          <w:lang w:val="en-GB"/>
        </w:rPr>
        <w:noBreakHyphen/>
        <w:t>Law No. 3094, consolidated the pension system for the military.</w:t>
      </w:r>
    </w:p>
    <w:p w:rsidR="00000000" w:rsidRDefault="00000000">
      <w:pPr>
        <w:pStyle w:val="BodyText"/>
        <w:rPr>
          <w:kern w:val="20"/>
        </w:rPr>
      </w:pPr>
    </w:p>
    <w:p w:rsidR="00000000" w:rsidRDefault="00000000">
      <w:pPr>
        <w:pStyle w:val="ParaNo"/>
        <w:tabs>
          <w:tab w:val="clear" w:pos="360"/>
          <w:tab w:val="clear" w:pos="737"/>
        </w:tabs>
        <w:rPr>
          <w:kern w:val="20"/>
          <w:lang w:val="en-GB"/>
        </w:rPr>
      </w:pPr>
      <w:r>
        <w:rPr>
          <w:kern w:val="20"/>
          <w:lang w:val="en-GB"/>
        </w:rPr>
        <w:t>The social security system for workers in the private sector was later to undergo progressive legal and institutional unification.  The corporate pension “funds” and institutes underwent a process of homogenization of their costing and benefit plans pursuant to the Basic Law on Social Security (LOPS), culminating in the implementation of the current General Social Security System (RGPS) run by the National Social Security Institute (INSS).</w:t>
      </w:r>
    </w:p>
    <w:p w:rsidR="00000000" w:rsidRDefault="00000000">
      <w:pPr>
        <w:rPr>
          <w:kern w:val="20"/>
        </w:rPr>
      </w:pPr>
    </w:p>
    <w:p w:rsidR="00000000" w:rsidRDefault="00000000">
      <w:pPr>
        <w:pStyle w:val="ParaNo"/>
        <w:tabs>
          <w:tab w:val="clear" w:pos="360"/>
          <w:tab w:val="clear" w:pos="737"/>
        </w:tabs>
        <w:rPr>
          <w:kern w:val="20"/>
          <w:lang w:val="en-GB"/>
        </w:rPr>
      </w:pPr>
      <w:r>
        <w:rPr>
          <w:kern w:val="20"/>
          <w:lang w:val="en-GB"/>
        </w:rPr>
        <w:t>When the new system began, positive cash balances were found owing to the fact that the number of contributing workers was much higher than the number of non</w:t>
      </w:r>
      <w:r>
        <w:rPr>
          <w:kern w:val="20"/>
          <w:lang w:val="en-GB"/>
        </w:rPr>
        <w:noBreakHyphen/>
        <w:t>active recipients.  From 1986 to 1988, more transfers were made from the social security to the health sector as a result of the implementation of the Single Decentralized Health System (SUDS).  From 1988 to mid</w:t>
      </w:r>
      <w:r>
        <w:rPr>
          <w:kern w:val="20"/>
          <w:lang w:val="en-GB"/>
        </w:rPr>
        <w:noBreakHyphen/>
        <w:t>1993, transfers to the Single Health System (SUS) accounted for 15 per cent of the whole payroll tax collection.</w:t>
      </w:r>
    </w:p>
    <w:p w:rsidR="00000000" w:rsidRDefault="00000000">
      <w:pPr>
        <w:pStyle w:val="ParaNo"/>
        <w:tabs>
          <w:tab w:val="clear" w:pos="360"/>
          <w:tab w:val="clear" w:pos="737"/>
        </w:tabs>
        <w:rPr>
          <w:kern w:val="20"/>
          <w:lang w:val="en-GB"/>
        </w:rPr>
      </w:pPr>
      <w:r>
        <w:rPr>
          <w:kern w:val="20"/>
          <w:lang w:val="en-GB"/>
        </w:rPr>
        <w:t>Universalization of the social security system, that is, social protection for everyone, whether economically active or otherwise, is a more recent practice.  In its first 40 years of existence, Brazilian social security legislation was concerned specifically with urban workers.  It was only in 1963 when the Statute of the Rural Worker was created, with benefits that basically followed the same structure that is in force today:  retirement for invalidity and old age, pension for the beneficiaries in case of death, medical and complementary care, funeral grant and sickness benefit.  The rural worker did not have retirement for length of service and only after 65 years of age; the benefit corresponded to 50 per cent of the value of the highest minimum wage then existing in the country.  Legislation also introduced coverage for employment</w:t>
      </w:r>
      <w:r>
        <w:rPr>
          <w:kern w:val="20"/>
          <w:lang w:val="en-GB"/>
        </w:rPr>
        <w:noBreakHyphen/>
        <w:t>related injuries, with a new form of sickness benefit and social welfare, that also included the category of rural employers.  Between 1971 and 1975, a new system was developed by a set of legal acts comprising complementary and statutory laws and regulatory decrees.</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The measures adopted in the rural area until then may be considered very limited in relation to the benefits available to the urban dweller.  Right from the start, universalized social security in Brazil has been marred by serious distortions.  The principal one is that the individual contributory character of the universal principle of the social security system was not respected.  The agricultural sector did not have the organizational and financial conditions to bear the expense of the social security services, which continued by transferring resources from the urban sectors.</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Numerous distortions occurred as a result of the “reciprocal counting” mechanism for time of service, which enabled an exponential increase in the concession of benefits on the basis of time spent in non</w:t>
      </w:r>
      <w:r>
        <w:rPr>
          <w:kern w:val="20"/>
          <w:lang w:val="en-GB"/>
        </w:rPr>
        <w:noBreakHyphen/>
        <w:t>contributory employment.  An example as an illustration is a person who started working at 14, but who did not contribute to social security until the age of 40</w:t>
      </w:r>
      <w:r>
        <w:rPr>
          <w:kern w:val="20"/>
          <w:lang w:val="en-GB"/>
        </w:rPr>
        <w:noBreakHyphen/>
        <w:t>41, when the minimum contribution was paid.  Later, this same person gets a job in an urban area and pays the maximum contribution for 36 months.  Using reciprocal counting, the person can retire even before reaching 50.</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Temporary workers in firms were included in the social security system in 1974.  Those over 70 years old and invalids who had no social security coverage now were entitled, regardless of contributions, to a lifelong monthly income, as a type of allowance.  The maternity grant and domestic employee support were created while employment injury benefits were extended to rural employees.  The social security system now also included the self</w:t>
      </w:r>
      <w:r>
        <w:rPr>
          <w:kern w:val="20"/>
          <w:lang w:val="en-GB"/>
        </w:rPr>
        <w:noBreakHyphen/>
        <w:t>employed and entrepreneurs, based on compulsory adherence through a regular individual contribution.</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rStyle w:val="Emphasis"/>
          <w:i w:val="0"/>
          <w:lang w:val="en-GB"/>
        </w:rPr>
        <w:t xml:space="preserve">A good part of this further </w:t>
      </w:r>
      <w:r>
        <w:rPr>
          <w:kern w:val="20"/>
          <w:lang w:val="en-GB"/>
        </w:rPr>
        <w:t>coverage</w:t>
      </w:r>
      <w:r>
        <w:rPr>
          <w:rStyle w:val="Emphasis"/>
          <w:i w:val="0"/>
          <w:lang w:val="en-GB"/>
        </w:rPr>
        <w:t>, for the sake of the principle of universalization, was made without any major concern for the economic</w:t>
      </w:r>
      <w:r>
        <w:rPr>
          <w:rStyle w:val="Emphasis"/>
          <w:i w:val="0"/>
          <w:lang w:val="en-GB"/>
        </w:rPr>
        <w:noBreakHyphen/>
        <w:t>financial balance of the system.  Many benefits were granted without the corresponding portion paid in contributions.  Nor was there an equal</w:t>
      </w:r>
      <w:r>
        <w:rPr>
          <w:kern w:val="20"/>
          <w:lang w:val="en-GB"/>
        </w:rPr>
        <w:t xml:space="preserve"> ratio between premium and risk, bearing in mind that most new benefits consisted of immediate expense, without a minimum grace period.  Some were immediately paid after approval of the relevant law, that is, with no grace period at all.</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The increase in benefits was only possible due to the existence of substantial financial reserves in the system.  This was a great strategic mistake of the social security system in Brazil.</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Recently, the social security account in the rural sector has tripled its expenditure.  Around 4.5 million rural pensioners and beneficiaries immediately received the equivalent of one full minimum wage instead of half a wage, without a corresponding source of financing.  Extending benefits to rural workers and fixing the benefit base at one minimum wage, albeit important social achievements, is still without a sound basis for those benefits to be financially feasible and no studies have been done to propose alternatives.</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The financing scheme for rural benefits, based on a contribution of 2.5 per cent of gross earnings from retailed agricultural production and the payroll contribution of rural workers, is obviously inadequate.  In fact, contributions from the rural area may be considered negligible.  In 1996, for example, contributions represented around 8.2 per cent of the total outlay for rural benefits.</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The retirement age in the rural sector has dropped from 65 to 60 years old for a man, and from 60 to 55 for a woman.  Collection of contributions from the rural insured has been temporarily waived and special forms of proof of being a rural worker have been adopted.  To qualify for inclusion in the rural sector, it used to be sufficient to be a child of a rural producer; this caused early retirements in the urban areas and the public service, often at a very high cost to the system and without contributions having been paid by the beneficiaries.</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The minimum wage was adopted as the basis for continuing to provide benefits.  A lifelong monthly income was guaranteed for the elderly and a monthly income for disabled persons, provided that there is evidence of a low income.  All benefits were recalculated based on the number of minimum wages to which they corresponded at the date when they were granted.</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Another important aspect that must be included in the analysis of the development of social security and the issues currently under discussion is the creation of the Single Legal System</w:t>
      </w:r>
      <w:r>
        <w:rPr>
          <w:rStyle w:val="FootnoteReference"/>
          <w:spacing w:val="20"/>
          <w:kern w:val="20"/>
          <w:lang w:val="en-GB"/>
        </w:rPr>
        <w:t xml:space="preserve"> </w:t>
      </w:r>
      <w:r>
        <w:rPr>
          <w:kern w:val="20"/>
          <w:lang w:val="en-GB"/>
        </w:rPr>
        <w:t>(RJU), which was later extended to employees contracted under the Consolidation of Labour Laws (CLT) who worked in independent and foundation administrations; they were also to be entitled to full pension, stability and other benefits formerly restricted to statutory civil servants.</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In Brazilian society there is a wide variety of social security systems for public servants:  at federal, state and local levels; private, open and closed complementary systems; and special systems for members of congress, the judiciary and the Department of Justice.  They all operate parallel to the General Social Security System run by the National Social Security Institute (INSS).  The multiple systems and standards for access to benefits increase the operating costs of the social security system and do not facilitate the fight against fraud, and somehow open themselves up to privileges and discrimination.</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The social security system currently operates on a simple sharing basis, that is, the economically active must pay for those inactive today.  In this way, the entire social security revenue obtained during the year is used to pay benefits.  There is no accumulation of “reserves” to be used in the future.  The sharing system implies that the benefits to be paid to the current contributors when they become inactive in the future will be ensured by contributions from future generations of workers.</w:t>
      </w:r>
    </w:p>
    <w:p w:rsidR="00000000" w:rsidRDefault="00000000">
      <w:pPr>
        <w:pStyle w:val="ParaNo"/>
        <w:tabs>
          <w:tab w:val="clear" w:pos="360"/>
          <w:tab w:val="clear" w:pos="737"/>
        </w:tabs>
        <w:ind w:left="0" w:firstLine="0"/>
        <w:rPr>
          <w:kern w:val="20"/>
          <w:lang w:val="en-GB"/>
        </w:rPr>
      </w:pPr>
      <w:r>
        <w:rPr>
          <w:kern w:val="20"/>
          <w:lang w:val="en-GB"/>
        </w:rPr>
        <w:t>In the 1950s, eight contributors would finance one pensioner.  In 1970 this ratio was 4.2 to 1.  In the 1990s, 2.3 persons are working for one pensioner.  By the year 2020, continuing at the current standards, the proportion will be 1 to 1.  This tendency is worsened by the demographic changes occurring in Brazil, with an upward trend in the average age of the population.  With the drop in the birth rate and increased life expectancy, the percentage of senior citizens (over 65 years old) in relation to the total population may reach 7.7 per cent by 2020.  This is even more impressive when considering that this percentage was 3.1 per cent in 1970.</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The current profile of the Brazilian social security system contributes to a perverse redistribution of income, one of the main reasons why the Government insists on changing it.  An example worth mentioning is retirement on the basis of time in employment.  Statistical data show that people who retired on this basis had stable jobs, or changed jobs very rarely.  Retirement on the basis of time in employment tends to become a resource for early retirement for the higher</w:t>
      </w:r>
      <w:r>
        <w:rPr>
          <w:kern w:val="20"/>
          <w:lang w:val="en-GB"/>
        </w:rPr>
        <w:noBreakHyphen/>
        <w:t>income segment of the population.  For low</w:t>
      </w:r>
      <w:r>
        <w:rPr>
          <w:kern w:val="20"/>
          <w:lang w:val="en-GB"/>
        </w:rPr>
        <w:noBreakHyphen/>
        <w:t>income segments, who find access to the labour market harder, securing this benefit is very difficult since most of them swing back and forth between the formal and the informal markets.  Many are not even able to provide evidence of the contribution period.  Therefore, despite the original intentions, the employment</w:t>
      </w:r>
      <w:r>
        <w:rPr>
          <w:kern w:val="20"/>
          <w:lang w:val="en-GB"/>
        </w:rPr>
        <w:noBreakHyphen/>
        <w:t>time mechanism has encouraged early retirement (78.3 per cent of men and 83.9 per cent of women are under 55 years old when their benefit begins).  It has become an income supplement since only Brazil, unlike the other six countries that have adopted this standard, does not require that the beneficiary retire from the labour market.</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The fact that the average age for receiving benefit is low raises the expected duration of the social security benefit in Brazil for men and women; it is longer than in the countries of the Organization for Economic Cooperation and Development (OECD), whose members are the world’s wealthiest countries.  In 1993, the Latin American Demography Centre (CELADE) stated that, on average, while a man in the OECD countries would receive a benefit for 15.2 years, a Brazilian pensioner would continue to receive his benefit for 17.5 years.  Similarly, while a woman in the OECD countries receives her pension for 18.6 years, a retired Brazilian woman would have her pension for 20 years.</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The matter of the social security deficit is undeniably relevant.  In 1992, the collection of social security contributions from the payroll was enough to cover the outlay for benefits, personnel and costs of the social security system, as well as to permit the transfer of some 15 per cent of this revenue to the health sector.  Today, social security collection is not nearly enough to cover even the payment of benefits.  This insufficiency, plus the expenses for personnel and costs, has been systematically covered by transfers from the Treasury (from contributions on income and the COFINS tax on social security financing), returns from financial investments and cash balance.  In 1996, according to data at deflated December 1996 prices based on the General Price Index (IGP</w:t>
      </w:r>
      <w:r>
        <w:rPr>
          <w:kern w:val="20"/>
          <w:lang w:val="en-GB"/>
        </w:rPr>
        <w:noBreakHyphen/>
        <w:t xml:space="preserve">DI), net social security revenue (total collection </w:t>
      </w:r>
      <w:r>
        <w:rPr>
          <w:kern w:val="20"/>
          <w:lang w:val="en-GB"/>
        </w:rPr>
        <w:noBreakHyphen/>
        <w:t xml:space="preserve"> transfers to third parties) was Cr$ 41.5 billion against around Cr$ 50 billion in total expenses.  The payment of benefits alone was Cr$ 42.6 billion.  Transfers from other social security sources were Cr$ 3.1 billion, Cr$ 2 billion of which came from COFINS and Cr$ 900.5 million from the Fiscal Stabilization Fund.</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The high levels of exposure of social security revenue reflect, especially, the increase in the number of ongoing benefits and the average sum of benefits recorded in recent years.  In 1991, the number of ongoing social security benefits was 12,473,738; in 1996, this figure rose to 16,586,267, corresponding to a 33 per cent increase over a four</w:t>
      </w:r>
      <w:r>
        <w:rPr>
          <w:kern w:val="20"/>
          <w:lang w:val="en-GB"/>
        </w:rPr>
        <w:noBreakHyphen/>
        <w:t>year period.  The increase in the number of rural benefits is even greater:  in 1991, there were 4,103,089 ongoing rural benefits; in 1996 this figure was already 6,390,401, that is, an increase of 55.8 per cent in only four years.</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The average value of social security benefits also increased significantly.  In 1988, the average sum of urban social security benefits was 1.37 minimum wages.  In 1995, it already corresponded to around two minimum wages while in 1996 it reached Cr$ 246.80, or 2.2 minimum wages.  In the rural areas, the average value of social security benefits doubled between 1988 and 1995, from 0.52 minimum wage to 1.01 minimum wages.  In 1996, it reached Cr$ 114.00, or 1.02 minimum wages.</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When the Government decided to grant a 42.8 per cent adjustment in May 1995 to the social security benefits and 15 per cent in May 1996, the value of the benefit base continued its upward trend, with a 22.5 per cent rise in real terms between June 1994 and December 1996.</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Similarly, from July 1994 to December 1996, the average real value of the benefits rose 19.3 per cent from Cr$ 166 at the start of the Real Plan to Cr$ 198.</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A deficit of 4.2 per cent in the GDP today is equal to more than Cr$ 30 billion, or around seven times the collection expected from the tax on financial transactions (CPMF).  This is the figure estimated for the deficit in the social security accounts by 2030.  If the system continues unaltered, the expected course towards the deficit will be inevitable, even assuming optimistic hypotheses for the behaviour of the economy.</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The reform of the Brazilian social security system is, therefore, necessary.  It always includes concerns of a social nature, equality and justice and an improved role of the State in fundamental areas for social development and the promotion and protection of human rights.</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The Brazilian Government views the reform of the social security system according to the lines mentioned in the preceding paragraph.  The main purpose of the proposal for a constitutional amendment, already submitted by the Government to the National Congress, is to further social justice, by eliminating privileges and distortions currently existing in the Brazilian social security system.  With the proposed measures, the Government endeavours to guarantee the rights of pensioners and those who are on the verge of retirement.  The measures will permit the social security system to leave behind a shaky situation for one of sustained balance.</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 xml:space="preserve">Yet the measures will only be significantly effective in the middle and long run, since the Government has chosen to adopt an alternative that preserves acquired rights.  This is not a drastic departure from the current public system based on simple sharing and defined benefits.  The Government intends to replace the current system with a compulsory private model, founded on capitalization of contributions deposited in individual savings accounts, in accordance with </w:t>
      </w:r>
    </w:p>
    <w:p w:rsidR="00000000" w:rsidRDefault="00000000">
      <w:pPr>
        <w:rPr>
          <w:kern w:val="20"/>
        </w:rPr>
      </w:pPr>
      <w:r>
        <w:rPr>
          <w:kern w:val="20"/>
        </w:rPr>
        <w:br w:type="page"/>
        <w:t>the experience of other countries.  The Government’s chosen strategy is for the current model to be gradually and constantly adjusted, with stronger emphasis on the universal principles ruling the social security systems of the more advanced countries.</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The reform will continue with the public and compulsory General Social Security System (RGPS) for all workers in the private sector.  At the same time, the Government will encourage the creation of corporate</w:t>
      </w:r>
      <w:r>
        <w:rPr>
          <w:kern w:val="20"/>
          <w:lang w:val="en-GB"/>
        </w:rPr>
        <w:noBreakHyphen/>
        <w:t xml:space="preserve">sponsored complementary pension schemes </w:t>
      </w:r>
      <w:r>
        <w:rPr>
          <w:kern w:val="20"/>
          <w:lang w:val="en-GB"/>
        </w:rPr>
        <w:noBreakHyphen/>
        <w:t xml:space="preserve"> which may entail contributions from both employee and employer.  There will also be incentives for workers who wish to set up savings programmes to supplement their income on retirement.  The reform proposes to adopt similar standards for contribution and payment of benefits, reducing the differences between the various systems existing today.  The systems will continue separately, from the operational viewpoint, but shall adopt similar financial and social standards to those of the RGPS.</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Public servants will continue to have a special system and will not be included in the RGPS.  The Government proposes to create a specific pension fund for public servants, maintained by contributions from the civil servants themselves and the central Government.  Both military and civil servants will have a specific pension fund and, owing to the special features of their profession, will have a minimum age and differentiated pension values.  The rights acquired by pensioners and beneficiaries from the two systems will be respected.  State and local social security rules will continue to exist but will be governed by federal legislation.</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The RGPS will continue to adopt the simple sharing system.  With the proposed standards, the Government considers that long</w:t>
      </w:r>
      <w:r>
        <w:rPr>
          <w:kern w:val="20"/>
          <w:lang w:val="en-GB"/>
        </w:rPr>
        <w:noBreakHyphen/>
        <w:t xml:space="preserve">term social security will not only succeed in overcoming the current financial hardships, but may also accumulate reserves for any unfavourable economic circumstances.  In technical terms, the desirable minimum corresponds to enough reserves to pay for six months of benefits. </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The reform sets a minimum age for receiving a pension, following the example of the rest of the world.  Actuarial and demographic studies show that this minimum age is around 60 years old, and is expected to rise to 65 years.</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Similarly, demographic studies confirm that the life expectancy of urban and rural workers who are 50</w:t>
      </w:r>
      <w:r>
        <w:rPr>
          <w:kern w:val="20"/>
          <w:lang w:val="en-GB"/>
        </w:rPr>
        <w:noBreakHyphen/>
        <w:t>60 years old is practically the same and, therefore, does not justify the differentiation that exists today.  In 1995, 280,540 benefits were paid to people over 90 years old, of whom 69,152 were urban and 211,388 rural dwellers.</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Retirement on the basis of time in employment will cease to exist.  The proposed reform of the social security system substitutes the qualifying period of employment for the contribution period.  The Government will propose to the National Congress, based on studies on the financial and actuarial feasibility of the system, more contributions for retirement purposes.  Proportional pensions will also be eliminated, and there will only be a pension for the contributory period.</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br w:type="page"/>
        <w:t>Special pensions are changing, with the publication of 1995 Law No. 9,032 and 1996 Provisional Measure No. 1,523.  The idea is that special pensions are only granted to workers exposed to health hazards.  Until recently, special pensions were paid to whole professional categories.  In such cases, an office worker would be entitled to the same special pension as a colleague who was exposed to health hazards.</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Teachers, except for primary teachers, would no longer be entitled to a special pension (25 years of service for women and 30 years for men) and must already have paid a minimum number of contributions to apply for a pension.</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Although the continuation of the special pension for primary teachers is being justified as a way to compensate for the low salaries and poor working conditions of that category, it is important to stress that this is a vicious circle.  Poor salaries justify early retirement which, in turn, overloads the payroll of local governments and prevents an increase in primary teachers’ salaries.  This trend has resulted in growing commitment of local budgetary resources to the economically inactive and the deterioration in primary education.</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Lastly, the proposed reform provides for the minimum wage to continue as the lowest value (base) for social security benefits.  Also within the scope of the reform proposed by the Brazilian Government are the closed private pension funds operating under the capitalization system that have insufficient capitalization, which should proceed to adapt their pension schemes actuarially to the equity they already have and the actual contribution capacity not only of the sponsoring companies, but also of their beneficiaries, and offer benefits more in line with reality.  The Government does not intend to stop public companies from sponsoring closed private pension funds, but rather to eliminate privileges and excess, which imposes on society a burden which it obviously does not wish or have the financial capacity to support.</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Another important aspect in reforming the social security system is anti</w:t>
      </w:r>
      <w:r>
        <w:rPr>
          <w:kern w:val="20"/>
          <w:lang w:val="en-GB"/>
        </w:rPr>
        <w:noBreakHyphen/>
        <w:t>fraud and anti</w:t>
      </w:r>
      <w:r>
        <w:rPr>
          <w:kern w:val="20"/>
          <w:lang w:val="en-GB"/>
        </w:rPr>
        <w:noBreakHyphen/>
        <w:t>tax</w:t>
      </w:r>
      <w:r>
        <w:rPr>
          <w:kern w:val="20"/>
          <w:lang w:val="en-GB"/>
        </w:rPr>
        <w:noBreakHyphen/>
        <w:t>evasion measures and changing management methods to streamline administration.  Between 1992 and 1996, around 1 million irregular benefits were cancelled, 400 defrauders or tax evaders were sentenced to prison terms, and more than 4,000 investigations were started by the Federal Police and Department of Justice.  The federal courts and the Department of Justice received 57,945 cases of undue tax foreclosure.</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Meanwhile, the administrative collection process has been improved by following up the major debtors and with the concern to reduce the legal procedural time.  In 1996, after efforts to simplify and modernize the inspection and administrative and legal collection system, the revenue from the active debt doubled compared with the previous year, to a total of Cr$ 600 million.</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When dealing with fiscal management, the Ministry for Social Security and Welfare is now automatically identifying likely tax evaders by crossing data from the national social database (CNIS) with data from corporate social security contribution rolls.  The Government has been installing a system to assess the monthly performance of the sector responsible for levying, inspecting and collecting social security contributions.  In 1996, this effort helped increase, in real terms, the social security revenue by 11 per cent compared with 1995.</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Also in progress is a programme for restructuring and computerizing the Regional Collection and Inspection Offices (GRAF), in the first stage involving the training of civil servants in new management techniques.</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The national social database (CNIS) is being gradually implemented to be able to recover, classify and consolidate information referring to all Brazilians who are economically active, registered in the various federal government rolls.  CNIS will consequently enable online queries to be made with respect to more than 250 million Brazilian workers, the results of which will be used by the INSS to grant benefits, detect fraud and for inspection purposes.  It is estimated that in five years’ time the CNIS will permit workers ready to retire to apply for their pension by presenting their identity card, instead of having them submit the numerous probative documents that are required today as evidence of their social security contributions and qualifying employment period.</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The Brazilian Government has endeavoured, through the Ministry of Social Security and Welfare, to improve in an even more militant manner the quality and efficiency of services provided to the beneficiaries.  In 1996, 122 conventions were signed with service providers to benefit 645,000 beneficiaries and help clear the overcrowded social security offices.  At the same time, services to the beneficiaries increased through the call centres, which in 1996 recorded 3.2 million calls and 20,000 appointments for information.  Last year, the online concession was installed in more than 100 social security posts and the computerization of 952 posts was concluded, bringing the total to 1,105.</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One of the most successful experiences involving the use of performance indicators has been achieved in the social security area.  One of the indicators, the average time taken to grant benefits (tmc), has been diminishing steadily since it began to be measured.  The tmc of the regional social security offices throughout Brazil dropped from 66 days in 1994 to 29 days in December 1996.  In December 1994, it took more than 45 days to grant 41 per cent of the benefits.  In December 1996, this figure dropped to only 17 per cent.  By December 1994, 69 per cent of the pension offices were computerized, while today 90 per cent are computerized.</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Concerning employment injury, the Brazilian system grants benefits, divided into three categories, as follows:</w:t>
      </w:r>
    </w:p>
    <w:p w:rsidR="00000000" w:rsidRDefault="00000000">
      <w:pPr>
        <w:rPr>
          <w:kern w:val="20"/>
        </w:rPr>
      </w:pPr>
    </w:p>
    <w:p w:rsidR="00000000" w:rsidRDefault="00000000">
      <w:pPr>
        <w:rPr>
          <w:kern w:val="20"/>
        </w:rPr>
      </w:pPr>
      <w:r>
        <w:rPr>
          <w:kern w:val="20"/>
        </w:rPr>
        <w:tab/>
        <w:t>(a)</w:t>
      </w:r>
      <w:r>
        <w:rPr>
          <w:kern w:val="20"/>
        </w:rPr>
        <w:tab/>
        <w:t>Employment injury sickness leave.  A rural or urban beneficiary who is economically active (except domestic employees), and special beneficiaries who are off work as a result of an employment injury are entitled to this benefit.  The benefit is granted, regardless of the number of contributions, starting on the sixteenth day and extending to the date when the beneficiary is discharged by the accredited medical doctor.  In the case of the random or special worker,</w:t>
      </w:r>
      <w:r>
        <w:rPr>
          <w:rStyle w:val="EndnoteReference"/>
          <w:kern w:val="20"/>
        </w:rPr>
        <w:endnoteReference w:id="13"/>
      </w:r>
      <w:r>
        <w:rPr>
          <w:kern w:val="20"/>
        </w:rPr>
        <w:t xml:space="preserve"> the benefit starts on the day after the injury (should the worker be immediately off work) or when medical care begins.  Other employees are paid by the company for the first 15 days off work as a result of an employment injury.  The monthly payment is 91 per cent of the benefit wage, or 91 per cent of the contributory salary, should the beneficiary be a voluntary contributor, or of one minimum wage in the case of a special beneficiary;</w:t>
      </w:r>
    </w:p>
    <w:p w:rsidR="00000000" w:rsidRDefault="00000000">
      <w:pPr>
        <w:rPr>
          <w:kern w:val="20"/>
        </w:rPr>
      </w:pPr>
    </w:p>
    <w:p w:rsidR="00000000" w:rsidRDefault="00000000">
      <w:pPr>
        <w:rPr>
          <w:kern w:val="20"/>
        </w:rPr>
      </w:pPr>
      <w:r>
        <w:rPr>
          <w:kern w:val="20"/>
        </w:rPr>
        <w:br w:type="page"/>
      </w:r>
      <w:r>
        <w:rPr>
          <w:kern w:val="20"/>
        </w:rPr>
        <w:tab/>
        <w:t>(b)</w:t>
      </w:r>
      <w:r>
        <w:rPr>
          <w:kern w:val="20"/>
        </w:rPr>
        <w:tab/>
        <w:t>Invalidity pension as a result of employment injury.  This is granted to the rural or urban beneficiary (except domestic employees) who is economically active, and the special beneficiary who is considered unable to work and unfit for professional rehabilitation.  It begins the day after the end of the employment injury leave or immediately, should total and definitive incapacity to work be confirmed immediately after the injury.  The benefit lasts as long as the injury continues.  Should the beneficiary be considered able to return to work, a new assessment will be made by the National Social Security Institute (INSS) and, on his return to work, his pension will be automatically cancelled.  The sum received corresponds to 100 per cent of the benefit wage or 100 per cent of the contributory salary, in the case of an optional beneficiary, or one minimum wage in the case of a special beneficiary.  Should the accredited medical doctor confirm that the injured party requires permanent care by another person, the value of the pension for invalidity will be increased by 25 per cent;</w:t>
      </w:r>
    </w:p>
    <w:p w:rsidR="00000000" w:rsidRDefault="00000000">
      <w:pPr>
        <w:rPr>
          <w:kern w:val="20"/>
        </w:rPr>
      </w:pPr>
    </w:p>
    <w:p w:rsidR="00000000" w:rsidRDefault="00000000">
      <w:pPr>
        <w:rPr>
          <w:kern w:val="20"/>
        </w:rPr>
      </w:pPr>
      <w:r>
        <w:rPr>
          <w:kern w:val="20"/>
        </w:rPr>
        <w:tab/>
        <w:t>(c)</w:t>
      </w:r>
      <w:r>
        <w:rPr>
          <w:kern w:val="20"/>
        </w:rPr>
        <w:tab/>
        <w:t>Disability compensation from an employment injury.  This benefit is paid to the rural and urban employee (except domestic employees) and special social security beneficiaries who, after an employment injury has healed, suffers from sequela that reduce his working capacity.  The compensation is granted regardless of any remuneration earned by the injured party, even when this refers to another benefit.  This disability benefit is of a compensatory nature and its value corresponds to 50 per cent of the benefit wage.</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In addition to the above three categories, there is the social security injury benefit, applicable to the beneficiary who has reduced capacity as a result of an injury other than an employment injury.  Its value is equal to that of the benefit mentioned in (b) above.</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Table 34 below shows the quantity and value of social security disability benefits paid by the social security.</w:t>
      </w:r>
    </w:p>
    <w:p w:rsidR="00000000" w:rsidRDefault="00000000">
      <w:pPr>
        <w:rPr>
          <w:kern w:val="20"/>
        </w:rPr>
      </w:pPr>
    </w:p>
    <w:p w:rsidR="00000000" w:rsidRDefault="00000000">
      <w:pPr>
        <w:pStyle w:val="Heading1"/>
      </w:pPr>
      <w:r>
        <w:rPr>
          <w:kern w:val="20"/>
        </w:rPr>
        <w:t>Ta</w:t>
      </w:r>
      <w:r>
        <w:t>ble 34</w:t>
      </w:r>
    </w:p>
    <w:p w:rsidR="00000000" w:rsidRDefault="00000000"/>
    <w:p w:rsidR="00000000" w:rsidRDefault="00000000">
      <w:pPr>
        <w:pStyle w:val="Heading1"/>
        <w:rPr>
          <w:kern w:val="20"/>
        </w:rPr>
      </w:pPr>
      <w:r>
        <w:rPr>
          <w:kern w:val="20"/>
        </w:rPr>
        <w:t>Social security injury benefit, 1995</w:t>
      </w:r>
      <w:r>
        <w:rPr>
          <w:kern w:val="20"/>
        </w:rPr>
        <w:noBreakHyphen/>
        <w:t>1999</w:t>
      </w:r>
    </w:p>
    <w:p w:rsidR="00000000" w:rsidRDefault="00000000"/>
    <w:tbl>
      <w:tblPr>
        <w:tblW w:w="0" w:type="auto"/>
        <w:tblInd w:w="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2694"/>
        <w:gridCol w:w="3402"/>
      </w:tblGrid>
      <w:tr w:rsidR="00000000">
        <w:tblPrEx>
          <w:tblCellMar>
            <w:top w:w="0" w:type="dxa"/>
            <w:bottom w:w="0" w:type="dxa"/>
          </w:tblCellMar>
        </w:tblPrEx>
        <w:tc>
          <w:tcPr>
            <w:tcW w:w="1276" w:type="dxa"/>
            <w:tcBorders>
              <w:bottom w:val="single" w:sz="4" w:space="0" w:color="auto"/>
            </w:tcBorders>
          </w:tcPr>
          <w:p w:rsidR="00000000" w:rsidRDefault="00000000">
            <w:pPr>
              <w:spacing w:before="6" w:after="6"/>
              <w:jc w:val="center"/>
              <w:rPr>
                <w:kern w:val="20"/>
              </w:rPr>
            </w:pPr>
            <w:r>
              <w:rPr>
                <w:kern w:val="20"/>
              </w:rPr>
              <w:t>Year</w:t>
            </w:r>
          </w:p>
        </w:tc>
        <w:tc>
          <w:tcPr>
            <w:tcW w:w="2694" w:type="dxa"/>
            <w:tcBorders>
              <w:bottom w:val="single" w:sz="4" w:space="0" w:color="auto"/>
            </w:tcBorders>
          </w:tcPr>
          <w:p w:rsidR="00000000" w:rsidRDefault="00000000">
            <w:pPr>
              <w:spacing w:before="6" w:after="6"/>
              <w:jc w:val="center"/>
              <w:rPr>
                <w:kern w:val="20"/>
              </w:rPr>
            </w:pPr>
            <w:r>
              <w:rPr>
                <w:kern w:val="20"/>
              </w:rPr>
              <w:t>Quantity status in December</w:t>
            </w:r>
          </w:p>
        </w:tc>
        <w:tc>
          <w:tcPr>
            <w:tcW w:w="3402" w:type="dxa"/>
            <w:tcBorders>
              <w:bottom w:val="single" w:sz="4" w:space="0" w:color="auto"/>
            </w:tcBorders>
            <w:vAlign w:val="center"/>
          </w:tcPr>
          <w:p w:rsidR="00000000" w:rsidRDefault="00000000">
            <w:pPr>
              <w:spacing w:before="6" w:after="6"/>
              <w:jc w:val="center"/>
              <w:rPr>
                <w:kern w:val="20"/>
              </w:rPr>
            </w:pPr>
            <w:r>
              <w:rPr>
                <w:kern w:val="20"/>
              </w:rPr>
              <w:t xml:space="preserve">Value (Cr$ million </w:t>
            </w:r>
            <w:r>
              <w:rPr>
                <w:kern w:val="20"/>
              </w:rPr>
              <w:noBreakHyphen/>
              <w:t xml:space="preserve"> June 1999)</w:t>
            </w:r>
          </w:p>
          <w:p w:rsidR="00000000" w:rsidRDefault="00000000">
            <w:pPr>
              <w:spacing w:before="6" w:after="6"/>
              <w:jc w:val="center"/>
              <w:rPr>
                <w:kern w:val="20"/>
              </w:rPr>
            </w:pPr>
            <w:r>
              <w:rPr>
                <w:kern w:val="20"/>
              </w:rPr>
              <w:t>Accumulated in the year</w:t>
            </w:r>
          </w:p>
        </w:tc>
      </w:tr>
      <w:tr w:rsidR="00000000">
        <w:tblPrEx>
          <w:tblCellMar>
            <w:top w:w="0" w:type="dxa"/>
            <w:bottom w:w="0" w:type="dxa"/>
          </w:tblCellMar>
        </w:tblPrEx>
        <w:tc>
          <w:tcPr>
            <w:tcW w:w="1276" w:type="dxa"/>
            <w:tcBorders>
              <w:bottom w:val="nil"/>
            </w:tcBorders>
            <w:vAlign w:val="center"/>
          </w:tcPr>
          <w:p w:rsidR="00000000" w:rsidRDefault="00000000">
            <w:pPr>
              <w:spacing w:before="6" w:after="6"/>
              <w:jc w:val="center"/>
              <w:rPr>
                <w:kern w:val="20"/>
              </w:rPr>
            </w:pPr>
            <w:r>
              <w:rPr>
                <w:kern w:val="20"/>
              </w:rPr>
              <w:t>1995</w:t>
            </w:r>
          </w:p>
        </w:tc>
        <w:tc>
          <w:tcPr>
            <w:tcW w:w="2694" w:type="dxa"/>
            <w:tcBorders>
              <w:bottom w:val="nil"/>
            </w:tcBorders>
            <w:vAlign w:val="center"/>
          </w:tcPr>
          <w:p w:rsidR="00000000" w:rsidRDefault="00000000">
            <w:pPr>
              <w:spacing w:before="6" w:after="6"/>
              <w:jc w:val="center"/>
              <w:rPr>
                <w:kern w:val="20"/>
              </w:rPr>
            </w:pPr>
            <w:r>
              <w:rPr>
                <w:kern w:val="20"/>
              </w:rPr>
              <w:t>520 018</w:t>
            </w:r>
          </w:p>
        </w:tc>
        <w:tc>
          <w:tcPr>
            <w:tcW w:w="3402" w:type="dxa"/>
            <w:tcBorders>
              <w:bottom w:val="nil"/>
            </w:tcBorders>
            <w:vAlign w:val="center"/>
          </w:tcPr>
          <w:p w:rsidR="00000000" w:rsidRDefault="00000000">
            <w:pPr>
              <w:spacing w:before="6" w:after="6"/>
              <w:jc w:val="center"/>
              <w:rPr>
                <w:kern w:val="20"/>
              </w:rPr>
            </w:pPr>
            <w:r>
              <w:rPr>
                <w:kern w:val="20"/>
              </w:rPr>
              <w:t>1 285.26</w:t>
            </w:r>
          </w:p>
        </w:tc>
      </w:tr>
      <w:tr w:rsidR="00000000">
        <w:tblPrEx>
          <w:tblCellMar>
            <w:top w:w="0" w:type="dxa"/>
            <w:bottom w:w="0" w:type="dxa"/>
          </w:tblCellMar>
        </w:tblPrEx>
        <w:tc>
          <w:tcPr>
            <w:tcW w:w="1276" w:type="dxa"/>
            <w:tcBorders>
              <w:top w:val="nil"/>
              <w:bottom w:val="nil"/>
            </w:tcBorders>
            <w:vAlign w:val="center"/>
          </w:tcPr>
          <w:p w:rsidR="00000000" w:rsidRDefault="00000000">
            <w:pPr>
              <w:spacing w:before="6" w:after="6"/>
              <w:jc w:val="center"/>
              <w:rPr>
                <w:kern w:val="20"/>
              </w:rPr>
            </w:pPr>
            <w:r>
              <w:rPr>
                <w:kern w:val="20"/>
              </w:rPr>
              <w:t>1996</w:t>
            </w:r>
          </w:p>
        </w:tc>
        <w:tc>
          <w:tcPr>
            <w:tcW w:w="2694" w:type="dxa"/>
            <w:tcBorders>
              <w:top w:val="nil"/>
              <w:bottom w:val="nil"/>
            </w:tcBorders>
            <w:vAlign w:val="center"/>
          </w:tcPr>
          <w:p w:rsidR="00000000" w:rsidRDefault="00000000">
            <w:pPr>
              <w:spacing w:before="6" w:after="6"/>
              <w:jc w:val="center"/>
              <w:rPr>
                <w:kern w:val="20"/>
              </w:rPr>
            </w:pPr>
            <w:r>
              <w:rPr>
                <w:kern w:val="20"/>
              </w:rPr>
              <w:t>532 516</w:t>
            </w:r>
          </w:p>
        </w:tc>
        <w:tc>
          <w:tcPr>
            <w:tcW w:w="3402" w:type="dxa"/>
            <w:tcBorders>
              <w:top w:val="nil"/>
              <w:bottom w:val="nil"/>
            </w:tcBorders>
            <w:vAlign w:val="center"/>
          </w:tcPr>
          <w:p w:rsidR="00000000" w:rsidRDefault="00000000">
            <w:pPr>
              <w:spacing w:before="6" w:after="6"/>
              <w:jc w:val="center"/>
              <w:rPr>
                <w:kern w:val="20"/>
              </w:rPr>
            </w:pPr>
            <w:r>
              <w:rPr>
                <w:kern w:val="20"/>
              </w:rPr>
              <w:t>1 444.81</w:t>
            </w:r>
          </w:p>
        </w:tc>
      </w:tr>
      <w:tr w:rsidR="00000000">
        <w:tblPrEx>
          <w:tblCellMar>
            <w:top w:w="0" w:type="dxa"/>
            <w:bottom w:w="0" w:type="dxa"/>
          </w:tblCellMar>
        </w:tblPrEx>
        <w:tc>
          <w:tcPr>
            <w:tcW w:w="1276" w:type="dxa"/>
            <w:tcBorders>
              <w:top w:val="nil"/>
              <w:bottom w:val="nil"/>
            </w:tcBorders>
            <w:vAlign w:val="center"/>
          </w:tcPr>
          <w:p w:rsidR="00000000" w:rsidRDefault="00000000">
            <w:pPr>
              <w:spacing w:before="6" w:after="6"/>
              <w:jc w:val="center"/>
              <w:rPr>
                <w:kern w:val="20"/>
              </w:rPr>
            </w:pPr>
            <w:r>
              <w:rPr>
                <w:kern w:val="20"/>
              </w:rPr>
              <w:t>1997</w:t>
            </w:r>
          </w:p>
        </w:tc>
        <w:tc>
          <w:tcPr>
            <w:tcW w:w="2694" w:type="dxa"/>
            <w:tcBorders>
              <w:top w:val="nil"/>
              <w:bottom w:val="nil"/>
            </w:tcBorders>
            <w:vAlign w:val="center"/>
          </w:tcPr>
          <w:p w:rsidR="00000000" w:rsidRDefault="00000000">
            <w:pPr>
              <w:spacing w:before="6" w:after="6"/>
              <w:jc w:val="center"/>
              <w:rPr>
                <w:kern w:val="20"/>
              </w:rPr>
            </w:pPr>
            <w:r>
              <w:rPr>
                <w:kern w:val="20"/>
              </w:rPr>
              <w:t>516 092</w:t>
            </w:r>
          </w:p>
        </w:tc>
        <w:tc>
          <w:tcPr>
            <w:tcW w:w="3402" w:type="dxa"/>
            <w:tcBorders>
              <w:top w:val="nil"/>
              <w:bottom w:val="nil"/>
            </w:tcBorders>
            <w:vAlign w:val="center"/>
          </w:tcPr>
          <w:p w:rsidR="00000000" w:rsidRDefault="00000000">
            <w:pPr>
              <w:spacing w:before="6" w:after="6"/>
              <w:jc w:val="center"/>
              <w:rPr>
                <w:kern w:val="20"/>
              </w:rPr>
            </w:pPr>
            <w:r>
              <w:rPr>
                <w:kern w:val="20"/>
              </w:rPr>
              <w:t>1 581.44</w:t>
            </w:r>
          </w:p>
        </w:tc>
      </w:tr>
      <w:tr w:rsidR="00000000">
        <w:tblPrEx>
          <w:tblCellMar>
            <w:top w:w="0" w:type="dxa"/>
            <w:bottom w:w="0" w:type="dxa"/>
          </w:tblCellMar>
        </w:tblPrEx>
        <w:tc>
          <w:tcPr>
            <w:tcW w:w="1276" w:type="dxa"/>
            <w:tcBorders>
              <w:top w:val="nil"/>
              <w:bottom w:val="nil"/>
            </w:tcBorders>
            <w:vAlign w:val="center"/>
          </w:tcPr>
          <w:p w:rsidR="00000000" w:rsidRDefault="00000000">
            <w:pPr>
              <w:spacing w:before="6" w:after="6"/>
              <w:jc w:val="center"/>
              <w:rPr>
                <w:kern w:val="20"/>
              </w:rPr>
            </w:pPr>
            <w:r>
              <w:rPr>
                <w:kern w:val="20"/>
              </w:rPr>
              <w:t>1998</w:t>
            </w:r>
          </w:p>
        </w:tc>
        <w:tc>
          <w:tcPr>
            <w:tcW w:w="2694" w:type="dxa"/>
            <w:tcBorders>
              <w:top w:val="nil"/>
              <w:bottom w:val="nil"/>
            </w:tcBorders>
            <w:vAlign w:val="center"/>
          </w:tcPr>
          <w:p w:rsidR="00000000" w:rsidRDefault="00000000">
            <w:pPr>
              <w:spacing w:before="6" w:after="6"/>
              <w:jc w:val="center"/>
              <w:rPr>
                <w:kern w:val="20"/>
              </w:rPr>
            </w:pPr>
            <w:r>
              <w:rPr>
                <w:kern w:val="20"/>
              </w:rPr>
              <w:t>506 254</w:t>
            </w:r>
          </w:p>
        </w:tc>
        <w:tc>
          <w:tcPr>
            <w:tcW w:w="3402" w:type="dxa"/>
            <w:tcBorders>
              <w:top w:val="nil"/>
              <w:bottom w:val="nil"/>
            </w:tcBorders>
            <w:vAlign w:val="center"/>
          </w:tcPr>
          <w:p w:rsidR="00000000" w:rsidRDefault="00000000">
            <w:pPr>
              <w:spacing w:before="6" w:after="6"/>
              <w:jc w:val="center"/>
              <w:rPr>
                <w:kern w:val="20"/>
              </w:rPr>
            </w:pPr>
            <w:r>
              <w:rPr>
                <w:kern w:val="20"/>
              </w:rPr>
              <w:t>1 704.15</w:t>
            </w:r>
          </w:p>
        </w:tc>
      </w:tr>
      <w:tr w:rsidR="00000000">
        <w:tblPrEx>
          <w:tblCellMar>
            <w:top w:w="0" w:type="dxa"/>
            <w:bottom w:w="0" w:type="dxa"/>
          </w:tblCellMar>
        </w:tblPrEx>
        <w:tc>
          <w:tcPr>
            <w:tcW w:w="1276" w:type="dxa"/>
            <w:tcBorders>
              <w:top w:val="nil"/>
            </w:tcBorders>
            <w:vAlign w:val="center"/>
          </w:tcPr>
          <w:p w:rsidR="00000000" w:rsidRDefault="00000000">
            <w:pPr>
              <w:spacing w:before="6" w:after="6"/>
              <w:jc w:val="center"/>
              <w:rPr>
                <w:kern w:val="20"/>
              </w:rPr>
            </w:pPr>
            <w:r>
              <w:rPr>
                <w:kern w:val="20"/>
              </w:rPr>
              <w:t>1999</w:t>
            </w:r>
          </w:p>
        </w:tc>
        <w:tc>
          <w:tcPr>
            <w:tcW w:w="2694" w:type="dxa"/>
            <w:tcBorders>
              <w:top w:val="nil"/>
            </w:tcBorders>
            <w:vAlign w:val="center"/>
          </w:tcPr>
          <w:p w:rsidR="00000000" w:rsidRDefault="00000000">
            <w:pPr>
              <w:spacing w:before="6" w:after="6"/>
              <w:jc w:val="center"/>
              <w:rPr>
                <w:kern w:val="20"/>
              </w:rPr>
            </w:pPr>
            <w:r>
              <w:rPr>
                <w:kern w:val="20"/>
              </w:rPr>
              <w:t>460 388</w:t>
            </w:r>
          </w:p>
        </w:tc>
        <w:tc>
          <w:tcPr>
            <w:tcW w:w="3402" w:type="dxa"/>
            <w:tcBorders>
              <w:top w:val="nil"/>
            </w:tcBorders>
            <w:vAlign w:val="center"/>
          </w:tcPr>
          <w:p w:rsidR="00000000" w:rsidRDefault="00000000">
            <w:pPr>
              <w:spacing w:before="6" w:after="6"/>
              <w:jc w:val="center"/>
              <w:rPr>
                <w:kern w:val="20"/>
              </w:rPr>
            </w:pPr>
            <w:r>
              <w:rPr>
                <w:kern w:val="20"/>
              </w:rPr>
              <w:t>1 760.88</w:t>
            </w:r>
          </w:p>
        </w:tc>
      </w:tr>
    </w:tbl>
    <w:p w:rsidR="00000000" w:rsidRDefault="00000000">
      <w:pPr>
        <w:rPr>
          <w:b/>
        </w:rPr>
      </w:pPr>
    </w:p>
    <w:p w:rsidR="00000000" w:rsidRDefault="00000000">
      <w:pPr>
        <w:rPr>
          <w:bCs/>
          <w:u w:val="single"/>
        </w:rPr>
      </w:pPr>
      <w:r>
        <w:rPr>
          <w:b/>
        </w:rPr>
        <w:tab/>
      </w:r>
      <w:r>
        <w:rPr>
          <w:b/>
        </w:rPr>
        <w:tab/>
      </w:r>
      <w:r>
        <w:rPr>
          <w:bCs/>
          <w:u w:val="single"/>
        </w:rPr>
        <w:t>Source</w:t>
      </w:r>
      <w:r>
        <w:rPr>
          <w:bCs/>
        </w:rPr>
        <w:t xml:space="preserve">:  </w:t>
      </w:r>
      <w:r>
        <w:rPr>
          <w:bCs/>
          <w:u w:val="single"/>
        </w:rPr>
        <w:t xml:space="preserve">Anuário Estatístico da Previdência Social and Boletim </w:t>
      </w:r>
    </w:p>
    <w:p w:rsidR="00000000" w:rsidRDefault="00000000">
      <w:pPr>
        <w:rPr>
          <w:bCs/>
        </w:rPr>
      </w:pPr>
      <w:r>
        <w:rPr>
          <w:bCs/>
        </w:rPr>
        <w:tab/>
      </w:r>
      <w:r>
        <w:rPr>
          <w:bCs/>
          <w:u w:val="single"/>
        </w:rPr>
        <w:t>Estatístico da Previdência Social</w:t>
      </w:r>
      <w:r>
        <w:rPr>
          <w:bCs/>
        </w:rPr>
        <w:t>.</w:t>
      </w:r>
    </w:p>
    <w:p w:rsidR="00000000" w:rsidRDefault="00000000">
      <w:pPr>
        <w:rPr>
          <w:b/>
        </w:rPr>
      </w:pPr>
    </w:p>
    <w:p w:rsidR="00000000" w:rsidRDefault="00000000">
      <w:pPr>
        <w:pStyle w:val="ParaNo"/>
        <w:tabs>
          <w:tab w:val="clear" w:pos="360"/>
          <w:tab w:val="clear" w:pos="737"/>
        </w:tabs>
        <w:ind w:left="0" w:firstLine="0"/>
        <w:rPr>
          <w:kern w:val="20"/>
          <w:lang w:val="en-GB"/>
        </w:rPr>
      </w:pPr>
      <w:r>
        <w:rPr>
          <w:kern w:val="20"/>
          <w:lang w:val="en-GB"/>
        </w:rPr>
        <w:t>With regard to the structure of social security benefits, Brazil also has the old age pension, aid for poor senior citizen and the maternity grant.  The maternity grant will be discussed in detail in the comments on article 20 of the Covenant.  Concerning the other two benefits, it is worth mentioning that they are financial aids given to senior citizens, a segment of the population which deserves special attention because of its greater vulnerability.</w:t>
      </w:r>
    </w:p>
    <w:p w:rsidR="00000000" w:rsidRDefault="00000000">
      <w:pPr>
        <w:pStyle w:val="ParaNo"/>
        <w:tabs>
          <w:tab w:val="clear" w:pos="360"/>
          <w:tab w:val="clear" w:pos="737"/>
        </w:tabs>
        <w:ind w:left="0" w:firstLine="0"/>
        <w:rPr>
          <w:kern w:val="20"/>
          <w:lang w:val="en-GB"/>
        </w:rPr>
      </w:pPr>
      <w:r>
        <w:rPr>
          <w:kern w:val="20"/>
          <w:lang w:val="en-GB"/>
        </w:rPr>
        <w:t>In order to receive an old age pension, the social security beneficiary must be 65 years old or more for men and 60 for women.  These limits are five years less for rural workers.  The grace period for an old age pension today is 9½ years and is to be increased gradually to 15 in 2011.</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A person 67 years old or over, with proof that he or she cannot be self</w:t>
      </w:r>
      <w:r>
        <w:rPr>
          <w:kern w:val="20"/>
          <w:lang w:val="en-GB"/>
        </w:rPr>
        <w:noBreakHyphen/>
        <w:t>sufficient, either by his or her own means or through family help, is entitled to receive a monthly minimum wage as social welfare.  This benefit applies in cases where the family income is less than a quarter of the per capita minimum wage; it is supported by funds from the National Treasury rather than from social security contributions.  A similar benefit of a lifelong monthly income, paid from funds raised by social security contributions, was eliminated on 1 January 1996.  Existing beneficiaries continue to receive benefits.</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Funds for aid to senior citizens are available in the social welfare sphere from the National Social Welfare Fund (FNAS); benefits are granted through the social security system which already has a network structured to provide benefits for a larger number of people and has a larger volume of resources.</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Table 35 shows the quantity of benefits paid to senior citizens and the accumulated annual outlay for these benefits.</w:t>
      </w:r>
    </w:p>
    <w:p w:rsidR="00000000" w:rsidRDefault="00000000">
      <w:pPr>
        <w:rPr>
          <w:kern w:val="20"/>
        </w:rPr>
      </w:pPr>
    </w:p>
    <w:p w:rsidR="00000000" w:rsidRDefault="00000000">
      <w:pPr>
        <w:pStyle w:val="Heading1"/>
        <w:rPr>
          <w:kern w:val="20"/>
        </w:rPr>
      </w:pPr>
      <w:r>
        <w:rPr>
          <w:kern w:val="20"/>
        </w:rPr>
        <w:t>Table 35</w:t>
      </w:r>
    </w:p>
    <w:p w:rsidR="00000000" w:rsidRDefault="00000000"/>
    <w:p w:rsidR="00000000" w:rsidRDefault="00000000">
      <w:pPr>
        <w:pStyle w:val="Heading1"/>
        <w:rPr>
          <w:kern w:val="20"/>
        </w:rPr>
      </w:pPr>
      <w:r>
        <w:rPr>
          <w:kern w:val="20"/>
        </w:rPr>
        <w:t>Senior citizen benefits, 1995</w:t>
      </w:r>
      <w:r>
        <w:rPr>
          <w:kern w:val="20"/>
        </w:rPr>
        <w:noBreakHyphen/>
        <w:t>1999</w:t>
      </w:r>
    </w:p>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1276"/>
        <w:gridCol w:w="1559"/>
        <w:gridCol w:w="1276"/>
        <w:gridCol w:w="1559"/>
        <w:gridCol w:w="1418"/>
        <w:gridCol w:w="1559"/>
      </w:tblGrid>
      <w:tr w:rsidR="00000000">
        <w:tblPrEx>
          <w:tblCellMar>
            <w:top w:w="0" w:type="dxa"/>
            <w:bottom w:w="0" w:type="dxa"/>
          </w:tblCellMar>
        </w:tblPrEx>
        <w:trPr>
          <w:cantSplit/>
        </w:trPr>
        <w:tc>
          <w:tcPr>
            <w:tcW w:w="709" w:type="dxa"/>
            <w:vMerge w:val="restart"/>
            <w:vAlign w:val="center"/>
          </w:tcPr>
          <w:p w:rsidR="00000000" w:rsidRDefault="00000000">
            <w:pPr>
              <w:jc w:val="center"/>
              <w:rPr>
                <w:kern w:val="2"/>
                <w:sz w:val="20"/>
              </w:rPr>
            </w:pPr>
            <w:r>
              <w:rPr>
                <w:kern w:val="2"/>
                <w:sz w:val="20"/>
              </w:rPr>
              <w:t>Year</w:t>
            </w:r>
          </w:p>
        </w:tc>
        <w:tc>
          <w:tcPr>
            <w:tcW w:w="2835" w:type="dxa"/>
            <w:gridSpan w:val="2"/>
          </w:tcPr>
          <w:p w:rsidR="00000000" w:rsidRDefault="00000000">
            <w:pPr>
              <w:spacing w:before="6" w:after="6"/>
              <w:jc w:val="center"/>
              <w:rPr>
                <w:kern w:val="2"/>
                <w:sz w:val="20"/>
              </w:rPr>
            </w:pPr>
            <w:r>
              <w:rPr>
                <w:kern w:val="2"/>
                <w:sz w:val="20"/>
              </w:rPr>
              <w:t>Old age retirement pension</w:t>
            </w:r>
          </w:p>
        </w:tc>
        <w:tc>
          <w:tcPr>
            <w:tcW w:w="2835" w:type="dxa"/>
            <w:gridSpan w:val="2"/>
          </w:tcPr>
          <w:p w:rsidR="00000000" w:rsidRDefault="00000000">
            <w:pPr>
              <w:spacing w:before="6" w:after="6"/>
              <w:jc w:val="center"/>
              <w:rPr>
                <w:kern w:val="2"/>
                <w:sz w:val="20"/>
              </w:rPr>
            </w:pPr>
            <w:r>
              <w:rPr>
                <w:kern w:val="2"/>
                <w:sz w:val="20"/>
              </w:rPr>
              <w:t>Senior citizen social welfare</w:t>
            </w:r>
          </w:p>
        </w:tc>
        <w:tc>
          <w:tcPr>
            <w:tcW w:w="2977" w:type="dxa"/>
            <w:gridSpan w:val="2"/>
          </w:tcPr>
          <w:p w:rsidR="00000000" w:rsidRDefault="00000000">
            <w:pPr>
              <w:spacing w:before="6" w:after="6"/>
              <w:jc w:val="center"/>
              <w:rPr>
                <w:kern w:val="2"/>
                <w:sz w:val="20"/>
              </w:rPr>
            </w:pPr>
            <w:r>
              <w:rPr>
                <w:kern w:val="2"/>
                <w:sz w:val="20"/>
              </w:rPr>
              <w:t>Lifelong monthly old age pension</w:t>
            </w:r>
          </w:p>
        </w:tc>
      </w:tr>
      <w:tr w:rsidR="00000000">
        <w:tblPrEx>
          <w:tblCellMar>
            <w:top w:w="0" w:type="dxa"/>
            <w:bottom w:w="0" w:type="dxa"/>
          </w:tblCellMar>
        </w:tblPrEx>
        <w:trPr>
          <w:cantSplit/>
          <w:trHeight w:val="707"/>
        </w:trPr>
        <w:tc>
          <w:tcPr>
            <w:tcW w:w="709" w:type="dxa"/>
            <w:vMerge/>
            <w:tcBorders>
              <w:bottom w:val="single" w:sz="4" w:space="0" w:color="auto"/>
            </w:tcBorders>
          </w:tcPr>
          <w:p w:rsidR="00000000" w:rsidRDefault="00000000">
            <w:pPr>
              <w:jc w:val="center"/>
              <w:rPr>
                <w:kern w:val="2"/>
                <w:sz w:val="20"/>
              </w:rPr>
            </w:pPr>
          </w:p>
        </w:tc>
        <w:tc>
          <w:tcPr>
            <w:tcW w:w="1276" w:type="dxa"/>
            <w:tcBorders>
              <w:bottom w:val="single" w:sz="4" w:space="0" w:color="auto"/>
            </w:tcBorders>
          </w:tcPr>
          <w:p w:rsidR="00000000" w:rsidRDefault="00000000">
            <w:pPr>
              <w:spacing w:before="6" w:after="6"/>
              <w:rPr>
                <w:kern w:val="2"/>
                <w:sz w:val="20"/>
              </w:rPr>
            </w:pPr>
            <w:r>
              <w:rPr>
                <w:kern w:val="2"/>
                <w:sz w:val="20"/>
              </w:rPr>
              <w:t>Quantity</w:t>
            </w:r>
          </w:p>
          <w:p w:rsidR="00000000" w:rsidRDefault="00000000">
            <w:pPr>
              <w:spacing w:before="6" w:after="6"/>
              <w:rPr>
                <w:kern w:val="2"/>
                <w:sz w:val="20"/>
              </w:rPr>
            </w:pPr>
            <w:r>
              <w:rPr>
                <w:kern w:val="2"/>
                <w:sz w:val="20"/>
              </w:rPr>
              <w:t>December</w:t>
            </w:r>
          </w:p>
          <w:p w:rsidR="00000000" w:rsidRDefault="00000000">
            <w:pPr>
              <w:spacing w:before="6" w:after="6"/>
              <w:rPr>
                <w:kern w:val="2"/>
                <w:sz w:val="20"/>
              </w:rPr>
            </w:pPr>
            <w:r>
              <w:rPr>
                <w:kern w:val="2"/>
                <w:sz w:val="20"/>
              </w:rPr>
              <w:t>status</w:t>
            </w:r>
          </w:p>
        </w:tc>
        <w:tc>
          <w:tcPr>
            <w:tcW w:w="1559" w:type="dxa"/>
            <w:tcBorders>
              <w:bottom w:val="single" w:sz="4" w:space="0" w:color="auto"/>
            </w:tcBorders>
          </w:tcPr>
          <w:p w:rsidR="00000000" w:rsidRDefault="00000000">
            <w:pPr>
              <w:spacing w:before="6" w:after="6"/>
              <w:rPr>
                <w:kern w:val="2"/>
                <w:sz w:val="20"/>
              </w:rPr>
            </w:pPr>
            <w:r>
              <w:rPr>
                <w:kern w:val="2"/>
                <w:sz w:val="20"/>
              </w:rPr>
              <w:t>Value</w:t>
            </w:r>
          </w:p>
          <w:p w:rsidR="00000000" w:rsidRDefault="00000000">
            <w:pPr>
              <w:spacing w:before="6" w:after="6"/>
              <w:rPr>
                <w:kern w:val="2"/>
                <w:sz w:val="20"/>
              </w:rPr>
            </w:pPr>
            <w:r>
              <w:rPr>
                <w:kern w:val="2"/>
                <w:sz w:val="20"/>
              </w:rPr>
              <w:t xml:space="preserve">(Cr$ million </w:t>
            </w:r>
            <w:r>
              <w:rPr>
                <w:kern w:val="2"/>
                <w:sz w:val="20"/>
              </w:rPr>
              <w:noBreakHyphen/>
            </w:r>
          </w:p>
          <w:p w:rsidR="00000000" w:rsidRDefault="00000000">
            <w:pPr>
              <w:spacing w:before="6" w:after="6"/>
              <w:rPr>
                <w:kern w:val="2"/>
                <w:sz w:val="20"/>
              </w:rPr>
            </w:pPr>
            <w:r>
              <w:rPr>
                <w:kern w:val="2"/>
                <w:sz w:val="20"/>
              </w:rPr>
              <w:t>June 1999)</w:t>
            </w:r>
          </w:p>
          <w:p w:rsidR="00000000" w:rsidRDefault="00000000">
            <w:pPr>
              <w:spacing w:before="6" w:after="6"/>
              <w:rPr>
                <w:kern w:val="2"/>
                <w:sz w:val="20"/>
              </w:rPr>
            </w:pPr>
            <w:r>
              <w:rPr>
                <w:kern w:val="2"/>
                <w:sz w:val="20"/>
              </w:rPr>
              <w:t>Accumulated</w:t>
            </w:r>
          </w:p>
          <w:p w:rsidR="00000000" w:rsidRDefault="00000000">
            <w:pPr>
              <w:spacing w:before="6" w:after="6"/>
              <w:rPr>
                <w:kern w:val="2"/>
                <w:sz w:val="20"/>
              </w:rPr>
            </w:pPr>
            <w:r>
              <w:rPr>
                <w:kern w:val="2"/>
                <w:sz w:val="20"/>
              </w:rPr>
              <w:t>in the year</w:t>
            </w:r>
          </w:p>
        </w:tc>
        <w:tc>
          <w:tcPr>
            <w:tcW w:w="1276" w:type="dxa"/>
            <w:tcBorders>
              <w:bottom w:val="single" w:sz="4" w:space="0" w:color="auto"/>
            </w:tcBorders>
          </w:tcPr>
          <w:p w:rsidR="00000000" w:rsidRDefault="00000000">
            <w:pPr>
              <w:spacing w:before="6" w:after="6"/>
              <w:rPr>
                <w:kern w:val="2"/>
                <w:sz w:val="20"/>
              </w:rPr>
            </w:pPr>
            <w:r>
              <w:rPr>
                <w:kern w:val="2"/>
                <w:sz w:val="20"/>
              </w:rPr>
              <w:t>Quantity</w:t>
            </w:r>
          </w:p>
          <w:p w:rsidR="00000000" w:rsidRDefault="00000000">
            <w:pPr>
              <w:spacing w:before="6" w:after="6"/>
              <w:rPr>
                <w:kern w:val="2"/>
                <w:sz w:val="20"/>
              </w:rPr>
            </w:pPr>
            <w:r>
              <w:rPr>
                <w:kern w:val="2"/>
                <w:sz w:val="20"/>
              </w:rPr>
              <w:t>December</w:t>
            </w:r>
          </w:p>
          <w:p w:rsidR="00000000" w:rsidRDefault="00000000">
            <w:pPr>
              <w:spacing w:before="6" w:after="6"/>
              <w:rPr>
                <w:kern w:val="2"/>
                <w:sz w:val="20"/>
              </w:rPr>
            </w:pPr>
            <w:r>
              <w:rPr>
                <w:kern w:val="2"/>
                <w:sz w:val="20"/>
              </w:rPr>
              <w:t>status</w:t>
            </w:r>
          </w:p>
        </w:tc>
        <w:tc>
          <w:tcPr>
            <w:tcW w:w="1559" w:type="dxa"/>
            <w:tcBorders>
              <w:bottom w:val="single" w:sz="4" w:space="0" w:color="auto"/>
            </w:tcBorders>
          </w:tcPr>
          <w:p w:rsidR="00000000" w:rsidRDefault="00000000">
            <w:pPr>
              <w:spacing w:before="6" w:after="6"/>
              <w:rPr>
                <w:kern w:val="2"/>
                <w:sz w:val="20"/>
              </w:rPr>
            </w:pPr>
            <w:r>
              <w:rPr>
                <w:kern w:val="2"/>
                <w:sz w:val="20"/>
              </w:rPr>
              <w:t>Value</w:t>
            </w:r>
          </w:p>
          <w:p w:rsidR="00000000" w:rsidRDefault="00000000">
            <w:pPr>
              <w:spacing w:before="6" w:after="6"/>
              <w:rPr>
                <w:kern w:val="2"/>
                <w:sz w:val="20"/>
              </w:rPr>
            </w:pPr>
            <w:r>
              <w:rPr>
                <w:kern w:val="2"/>
                <w:sz w:val="20"/>
              </w:rPr>
              <w:t xml:space="preserve">(Cr$ million </w:t>
            </w:r>
            <w:r>
              <w:rPr>
                <w:kern w:val="2"/>
                <w:sz w:val="20"/>
              </w:rPr>
              <w:noBreakHyphen/>
            </w:r>
          </w:p>
          <w:p w:rsidR="00000000" w:rsidRDefault="00000000">
            <w:pPr>
              <w:spacing w:before="6" w:after="6"/>
              <w:rPr>
                <w:kern w:val="2"/>
                <w:sz w:val="20"/>
              </w:rPr>
            </w:pPr>
            <w:r>
              <w:rPr>
                <w:kern w:val="2"/>
                <w:sz w:val="20"/>
              </w:rPr>
              <w:t>June 1999)</w:t>
            </w:r>
          </w:p>
          <w:p w:rsidR="00000000" w:rsidRDefault="00000000">
            <w:pPr>
              <w:spacing w:before="6" w:after="6"/>
              <w:rPr>
                <w:kern w:val="2"/>
                <w:sz w:val="20"/>
              </w:rPr>
            </w:pPr>
            <w:r>
              <w:rPr>
                <w:kern w:val="2"/>
                <w:sz w:val="20"/>
              </w:rPr>
              <w:t>Accumulated</w:t>
            </w:r>
          </w:p>
          <w:p w:rsidR="00000000" w:rsidRDefault="00000000">
            <w:pPr>
              <w:spacing w:before="6" w:after="6"/>
              <w:rPr>
                <w:kern w:val="2"/>
                <w:sz w:val="20"/>
              </w:rPr>
            </w:pPr>
            <w:r>
              <w:rPr>
                <w:kern w:val="2"/>
                <w:sz w:val="20"/>
              </w:rPr>
              <w:t>in the year</w:t>
            </w:r>
          </w:p>
        </w:tc>
        <w:tc>
          <w:tcPr>
            <w:tcW w:w="1418" w:type="dxa"/>
            <w:tcBorders>
              <w:bottom w:val="single" w:sz="4" w:space="0" w:color="auto"/>
            </w:tcBorders>
          </w:tcPr>
          <w:p w:rsidR="00000000" w:rsidRDefault="00000000">
            <w:pPr>
              <w:spacing w:before="6" w:after="6"/>
              <w:rPr>
                <w:kern w:val="2"/>
                <w:sz w:val="20"/>
              </w:rPr>
            </w:pPr>
            <w:r>
              <w:rPr>
                <w:kern w:val="2"/>
                <w:sz w:val="20"/>
              </w:rPr>
              <w:t>Quantity</w:t>
            </w:r>
          </w:p>
          <w:p w:rsidR="00000000" w:rsidRDefault="00000000">
            <w:pPr>
              <w:spacing w:before="6" w:after="6"/>
              <w:rPr>
                <w:kern w:val="2"/>
                <w:sz w:val="20"/>
              </w:rPr>
            </w:pPr>
            <w:r>
              <w:rPr>
                <w:kern w:val="2"/>
                <w:sz w:val="20"/>
              </w:rPr>
              <w:t>December</w:t>
            </w:r>
          </w:p>
          <w:p w:rsidR="00000000" w:rsidRDefault="00000000">
            <w:pPr>
              <w:spacing w:before="6" w:after="6"/>
              <w:rPr>
                <w:kern w:val="2"/>
                <w:sz w:val="20"/>
              </w:rPr>
            </w:pPr>
            <w:r>
              <w:rPr>
                <w:kern w:val="2"/>
                <w:sz w:val="20"/>
              </w:rPr>
              <w:t>status</w:t>
            </w:r>
          </w:p>
        </w:tc>
        <w:tc>
          <w:tcPr>
            <w:tcW w:w="1559" w:type="dxa"/>
            <w:tcBorders>
              <w:bottom w:val="single" w:sz="4" w:space="0" w:color="auto"/>
            </w:tcBorders>
          </w:tcPr>
          <w:p w:rsidR="00000000" w:rsidRDefault="00000000">
            <w:pPr>
              <w:spacing w:before="6" w:after="6"/>
              <w:rPr>
                <w:kern w:val="2"/>
                <w:sz w:val="20"/>
              </w:rPr>
            </w:pPr>
            <w:r>
              <w:rPr>
                <w:kern w:val="2"/>
                <w:sz w:val="20"/>
              </w:rPr>
              <w:t>Value</w:t>
            </w:r>
          </w:p>
          <w:p w:rsidR="00000000" w:rsidRDefault="00000000">
            <w:pPr>
              <w:spacing w:before="6" w:after="6"/>
              <w:rPr>
                <w:kern w:val="2"/>
                <w:sz w:val="20"/>
              </w:rPr>
            </w:pPr>
            <w:r>
              <w:rPr>
                <w:kern w:val="2"/>
                <w:sz w:val="20"/>
              </w:rPr>
              <w:t xml:space="preserve">(Cr$ million </w:t>
            </w:r>
            <w:r>
              <w:rPr>
                <w:kern w:val="2"/>
                <w:sz w:val="20"/>
              </w:rPr>
              <w:noBreakHyphen/>
            </w:r>
          </w:p>
          <w:p w:rsidR="00000000" w:rsidRDefault="00000000">
            <w:pPr>
              <w:spacing w:before="6" w:after="6"/>
              <w:rPr>
                <w:kern w:val="2"/>
                <w:sz w:val="20"/>
              </w:rPr>
            </w:pPr>
            <w:r>
              <w:rPr>
                <w:kern w:val="2"/>
                <w:sz w:val="20"/>
              </w:rPr>
              <w:t>June 1999)</w:t>
            </w:r>
          </w:p>
          <w:p w:rsidR="00000000" w:rsidRDefault="00000000">
            <w:pPr>
              <w:spacing w:before="6" w:after="6"/>
              <w:rPr>
                <w:kern w:val="2"/>
                <w:sz w:val="20"/>
              </w:rPr>
            </w:pPr>
            <w:r>
              <w:rPr>
                <w:kern w:val="2"/>
                <w:sz w:val="20"/>
              </w:rPr>
              <w:t>Accumulated</w:t>
            </w:r>
          </w:p>
          <w:p w:rsidR="00000000" w:rsidRDefault="00000000">
            <w:pPr>
              <w:spacing w:before="6" w:after="6"/>
              <w:rPr>
                <w:kern w:val="2"/>
                <w:sz w:val="20"/>
              </w:rPr>
            </w:pPr>
            <w:r>
              <w:rPr>
                <w:kern w:val="2"/>
                <w:sz w:val="20"/>
              </w:rPr>
              <w:t>in the year</w:t>
            </w:r>
          </w:p>
        </w:tc>
      </w:tr>
      <w:tr w:rsidR="00000000">
        <w:tblPrEx>
          <w:tblCellMar>
            <w:top w:w="0" w:type="dxa"/>
            <w:bottom w:w="0" w:type="dxa"/>
          </w:tblCellMar>
        </w:tblPrEx>
        <w:tc>
          <w:tcPr>
            <w:tcW w:w="709" w:type="dxa"/>
            <w:tcBorders>
              <w:bottom w:val="nil"/>
            </w:tcBorders>
          </w:tcPr>
          <w:p w:rsidR="00000000" w:rsidRDefault="00000000">
            <w:pPr>
              <w:spacing w:before="6" w:after="6"/>
              <w:jc w:val="center"/>
              <w:rPr>
                <w:kern w:val="2"/>
                <w:sz w:val="20"/>
              </w:rPr>
            </w:pPr>
            <w:r>
              <w:rPr>
                <w:kern w:val="2"/>
                <w:sz w:val="20"/>
              </w:rPr>
              <w:t>1995</w:t>
            </w:r>
          </w:p>
        </w:tc>
        <w:tc>
          <w:tcPr>
            <w:tcW w:w="1276" w:type="dxa"/>
            <w:tcBorders>
              <w:bottom w:val="nil"/>
            </w:tcBorders>
          </w:tcPr>
          <w:p w:rsidR="00000000" w:rsidRDefault="00000000">
            <w:pPr>
              <w:spacing w:before="6" w:after="6"/>
              <w:jc w:val="center"/>
              <w:rPr>
                <w:kern w:val="2"/>
                <w:sz w:val="20"/>
              </w:rPr>
            </w:pPr>
            <w:r>
              <w:rPr>
                <w:kern w:val="2"/>
                <w:sz w:val="20"/>
              </w:rPr>
              <w:t>4 786 846</w:t>
            </w:r>
          </w:p>
        </w:tc>
        <w:tc>
          <w:tcPr>
            <w:tcW w:w="1559" w:type="dxa"/>
            <w:tcBorders>
              <w:bottom w:val="nil"/>
            </w:tcBorders>
          </w:tcPr>
          <w:p w:rsidR="00000000" w:rsidRDefault="00000000">
            <w:pPr>
              <w:spacing w:before="6" w:after="6"/>
              <w:ind w:right="340"/>
              <w:jc w:val="right"/>
              <w:rPr>
                <w:kern w:val="2"/>
                <w:sz w:val="20"/>
              </w:rPr>
            </w:pPr>
            <w:r>
              <w:rPr>
                <w:kern w:val="2"/>
                <w:sz w:val="20"/>
              </w:rPr>
              <w:t>9 511.90</w:t>
            </w:r>
          </w:p>
        </w:tc>
        <w:tc>
          <w:tcPr>
            <w:tcW w:w="1276" w:type="dxa"/>
            <w:tcBorders>
              <w:bottom w:val="nil"/>
            </w:tcBorders>
          </w:tcPr>
          <w:p w:rsidR="00000000" w:rsidRDefault="00000000">
            <w:pPr>
              <w:spacing w:before="6" w:after="6"/>
              <w:jc w:val="center"/>
              <w:rPr>
                <w:kern w:val="2"/>
                <w:sz w:val="20"/>
              </w:rPr>
            </w:pPr>
            <w:r>
              <w:rPr>
                <w:snapToGrid w:val="0"/>
                <w:color w:val="000000"/>
                <w:kern w:val="2"/>
                <w:sz w:val="20"/>
                <w:lang w:eastAsia="pt-BR"/>
              </w:rPr>
              <w:noBreakHyphen/>
            </w:r>
          </w:p>
        </w:tc>
        <w:tc>
          <w:tcPr>
            <w:tcW w:w="1559" w:type="dxa"/>
            <w:tcBorders>
              <w:bottom w:val="nil"/>
            </w:tcBorders>
          </w:tcPr>
          <w:p w:rsidR="00000000" w:rsidRDefault="00000000">
            <w:pPr>
              <w:spacing w:before="6" w:after="6"/>
              <w:jc w:val="center"/>
              <w:rPr>
                <w:kern w:val="2"/>
                <w:sz w:val="20"/>
              </w:rPr>
            </w:pPr>
            <w:r>
              <w:rPr>
                <w:snapToGrid w:val="0"/>
                <w:color w:val="000000"/>
                <w:kern w:val="2"/>
                <w:sz w:val="20"/>
                <w:lang w:eastAsia="pt-BR"/>
              </w:rPr>
              <w:noBreakHyphen/>
            </w:r>
          </w:p>
        </w:tc>
        <w:tc>
          <w:tcPr>
            <w:tcW w:w="1418" w:type="dxa"/>
            <w:tcBorders>
              <w:bottom w:val="nil"/>
            </w:tcBorders>
          </w:tcPr>
          <w:p w:rsidR="00000000" w:rsidRDefault="00000000">
            <w:pPr>
              <w:spacing w:before="6" w:after="6"/>
              <w:jc w:val="center"/>
              <w:rPr>
                <w:kern w:val="2"/>
                <w:sz w:val="20"/>
              </w:rPr>
            </w:pPr>
            <w:r>
              <w:rPr>
                <w:snapToGrid w:val="0"/>
                <w:color w:val="000000"/>
                <w:kern w:val="2"/>
                <w:sz w:val="20"/>
                <w:lang w:eastAsia="pt-BR"/>
              </w:rPr>
              <w:t>501 944</w:t>
            </w:r>
          </w:p>
        </w:tc>
        <w:tc>
          <w:tcPr>
            <w:tcW w:w="1559" w:type="dxa"/>
            <w:tcBorders>
              <w:bottom w:val="nil"/>
            </w:tcBorders>
          </w:tcPr>
          <w:p w:rsidR="00000000" w:rsidRDefault="00000000">
            <w:pPr>
              <w:spacing w:before="6" w:after="6"/>
              <w:jc w:val="center"/>
              <w:rPr>
                <w:kern w:val="2"/>
                <w:sz w:val="20"/>
              </w:rPr>
            </w:pPr>
            <w:r>
              <w:rPr>
                <w:snapToGrid w:val="0"/>
                <w:color w:val="000000"/>
                <w:kern w:val="2"/>
                <w:sz w:val="20"/>
                <w:lang w:eastAsia="pt-BR"/>
              </w:rPr>
              <w:t>979.58</w:t>
            </w:r>
          </w:p>
        </w:tc>
      </w:tr>
      <w:tr w:rsidR="00000000">
        <w:tblPrEx>
          <w:tblCellMar>
            <w:top w:w="0" w:type="dxa"/>
            <w:bottom w:w="0" w:type="dxa"/>
          </w:tblCellMar>
        </w:tblPrEx>
        <w:tc>
          <w:tcPr>
            <w:tcW w:w="709" w:type="dxa"/>
            <w:tcBorders>
              <w:top w:val="nil"/>
              <w:bottom w:val="nil"/>
            </w:tcBorders>
          </w:tcPr>
          <w:p w:rsidR="00000000" w:rsidRDefault="00000000">
            <w:pPr>
              <w:spacing w:before="6" w:after="6"/>
              <w:jc w:val="center"/>
              <w:rPr>
                <w:kern w:val="2"/>
                <w:sz w:val="20"/>
              </w:rPr>
            </w:pPr>
            <w:r>
              <w:rPr>
                <w:kern w:val="2"/>
                <w:sz w:val="20"/>
              </w:rPr>
              <w:t>1996</w:t>
            </w:r>
          </w:p>
        </w:tc>
        <w:tc>
          <w:tcPr>
            <w:tcW w:w="1276" w:type="dxa"/>
            <w:tcBorders>
              <w:top w:val="nil"/>
              <w:bottom w:val="nil"/>
            </w:tcBorders>
          </w:tcPr>
          <w:p w:rsidR="00000000" w:rsidRDefault="00000000">
            <w:pPr>
              <w:spacing w:before="6" w:after="6"/>
              <w:jc w:val="center"/>
              <w:rPr>
                <w:kern w:val="2"/>
                <w:sz w:val="20"/>
              </w:rPr>
            </w:pPr>
            <w:r>
              <w:rPr>
                <w:kern w:val="2"/>
                <w:sz w:val="20"/>
              </w:rPr>
              <w:t>4 843 234</w:t>
            </w:r>
          </w:p>
        </w:tc>
        <w:tc>
          <w:tcPr>
            <w:tcW w:w="1559" w:type="dxa"/>
            <w:tcBorders>
              <w:top w:val="nil"/>
              <w:bottom w:val="nil"/>
            </w:tcBorders>
          </w:tcPr>
          <w:p w:rsidR="00000000" w:rsidRDefault="00000000">
            <w:pPr>
              <w:spacing w:before="6" w:after="6"/>
              <w:ind w:right="340"/>
              <w:jc w:val="right"/>
              <w:rPr>
                <w:kern w:val="2"/>
                <w:sz w:val="20"/>
              </w:rPr>
            </w:pPr>
            <w:r>
              <w:rPr>
                <w:kern w:val="2"/>
                <w:sz w:val="20"/>
              </w:rPr>
              <w:t>9 629.76</w:t>
            </w:r>
          </w:p>
        </w:tc>
        <w:tc>
          <w:tcPr>
            <w:tcW w:w="1276" w:type="dxa"/>
            <w:tcBorders>
              <w:top w:val="nil"/>
              <w:bottom w:val="nil"/>
            </w:tcBorders>
          </w:tcPr>
          <w:p w:rsidR="00000000" w:rsidRDefault="00000000">
            <w:pPr>
              <w:spacing w:before="6" w:after="6"/>
              <w:ind w:right="284"/>
              <w:jc w:val="right"/>
              <w:rPr>
                <w:kern w:val="2"/>
                <w:sz w:val="20"/>
              </w:rPr>
            </w:pPr>
            <w:r>
              <w:rPr>
                <w:snapToGrid w:val="0"/>
                <w:color w:val="000000"/>
                <w:kern w:val="2"/>
                <w:sz w:val="20"/>
                <w:lang w:eastAsia="pt-BR"/>
              </w:rPr>
              <w:t>41 992</w:t>
            </w:r>
          </w:p>
        </w:tc>
        <w:tc>
          <w:tcPr>
            <w:tcW w:w="1559" w:type="dxa"/>
            <w:tcBorders>
              <w:top w:val="nil"/>
              <w:bottom w:val="nil"/>
            </w:tcBorders>
          </w:tcPr>
          <w:p w:rsidR="00000000" w:rsidRDefault="00000000">
            <w:pPr>
              <w:spacing w:before="6" w:after="6"/>
              <w:ind w:right="454"/>
              <w:jc w:val="right"/>
              <w:rPr>
                <w:kern w:val="2"/>
                <w:sz w:val="20"/>
              </w:rPr>
            </w:pPr>
            <w:r>
              <w:rPr>
                <w:snapToGrid w:val="0"/>
                <w:color w:val="000000"/>
                <w:kern w:val="2"/>
                <w:sz w:val="20"/>
                <w:lang w:eastAsia="pt-BR"/>
              </w:rPr>
              <w:t>27.03</w:t>
            </w:r>
          </w:p>
        </w:tc>
        <w:tc>
          <w:tcPr>
            <w:tcW w:w="1418" w:type="dxa"/>
            <w:tcBorders>
              <w:top w:val="nil"/>
              <w:bottom w:val="nil"/>
            </w:tcBorders>
          </w:tcPr>
          <w:p w:rsidR="00000000" w:rsidRDefault="00000000">
            <w:pPr>
              <w:spacing w:before="6" w:after="6"/>
              <w:jc w:val="center"/>
              <w:rPr>
                <w:kern w:val="2"/>
                <w:sz w:val="20"/>
              </w:rPr>
            </w:pPr>
            <w:r>
              <w:rPr>
                <w:snapToGrid w:val="0"/>
                <w:color w:val="000000"/>
                <w:kern w:val="2"/>
                <w:sz w:val="20"/>
                <w:lang w:eastAsia="pt-BR"/>
              </w:rPr>
              <w:t>459 446</w:t>
            </w:r>
          </w:p>
        </w:tc>
        <w:tc>
          <w:tcPr>
            <w:tcW w:w="1559" w:type="dxa"/>
            <w:tcBorders>
              <w:top w:val="nil"/>
              <w:bottom w:val="nil"/>
            </w:tcBorders>
          </w:tcPr>
          <w:p w:rsidR="00000000" w:rsidRDefault="00000000">
            <w:pPr>
              <w:spacing w:before="6" w:after="6"/>
              <w:jc w:val="center"/>
              <w:rPr>
                <w:kern w:val="2"/>
                <w:sz w:val="20"/>
              </w:rPr>
            </w:pPr>
            <w:r>
              <w:rPr>
                <w:snapToGrid w:val="0"/>
                <w:color w:val="000000"/>
                <w:kern w:val="2"/>
                <w:sz w:val="20"/>
                <w:lang w:eastAsia="pt-BR"/>
              </w:rPr>
              <w:t>837.92</w:t>
            </w:r>
          </w:p>
        </w:tc>
      </w:tr>
      <w:tr w:rsidR="00000000">
        <w:tblPrEx>
          <w:tblCellMar>
            <w:top w:w="0" w:type="dxa"/>
            <w:bottom w:w="0" w:type="dxa"/>
          </w:tblCellMar>
        </w:tblPrEx>
        <w:tc>
          <w:tcPr>
            <w:tcW w:w="709" w:type="dxa"/>
            <w:tcBorders>
              <w:top w:val="nil"/>
              <w:bottom w:val="nil"/>
            </w:tcBorders>
          </w:tcPr>
          <w:p w:rsidR="00000000" w:rsidRDefault="00000000">
            <w:pPr>
              <w:spacing w:before="6" w:after="6"/>
              <w:jc w:val="center"/>
              <w:rPr>
                <w:kern w:val="2"/>
                <w:sz w:val="20"/>
              </w:rPr>
            </w:pPr>
            <w:r>
              <w:rPr>
                <w:kern w:val="2"/>
                <w:sz w:val="20"/>
              </w:rPr>
              <w:t>1997</w:t>
            </w:r>
          </w:p>
        </w:tc>
        <w:tc>
          <w:tcPr>
            <w:tcW w:w="1276" w:type="dxa"/>
            <w:tcBorders>
              <w:top w:val="nil"/>
              <w:bottom w:val="nil"/>
            </w:tcBorders>
          </w:tcPr>
          <w:p w:rsidR="00000000" w:rsidRDefault="00000000">
            <w:pPr>
              <w:spacing w:before="6" w:after="6"/>
              <w:jc w:val="center"/>
              <w:rPr>
                <w:kern w:val="2"/>
                <w:sz w:val="20"/>
              </w:rPr>
            </w:pPr>
            <w:r>
              <w:rPr>
                <w:kern w:val="2"/>
                <w:sz w:val="20"/>
              </w:rPr>
              <w:t>4 952 758</w:t>
            </w:r>
          </w:p>
        </w:tc>
        <w:tc>
          <w:tcPr>
            <w:tcW w:w="1559" w:type="dxa"/>
            <w:tcBorders>
              <w:top w:val="nil"/>
              <w:bottom w:val="nil"/>
            </w:tcBorders>
          </w:tcPr>
          <w:p w:rsidR="00000000" w:rsidRDefault="00000000">
            <w:pPr>
              <w:spacing w:before="6" w:after="6"/>
              <w:ind w:right="340"/>
              <w:jc w:val="right"/>
              <w:rPr>
                <w:kern w:val="2"/>
                <w:sz w:val="20"/>
              </w:rPr>
            </w:pPr>
            <w:r>
              <w:rPr>
                <w:kern w:val="2"/>
                <w:sz w:val="20"/>
              </w:rPr>
              <w:t>9 680.80</w:t>
            </w:r>
          </w:p>
        </w:tc>
        <w:tc>
          <w:tcPr>
            <w:tcW w:w="1276" w:type="dxa"/>
            <w:tcBorders>
              <w:top w:val="nil"/>
              <w:bottom w:val="nil"/>
            </w:tcBorders>
          </w:tcPr>
          <w:p w:rsidR="00000000" w:rsidRDefault="00000000">
            <w:pPr>
              <w:spacing w:before="6" w:after="6"/>
              <w:ind w:right="284"/>
              <w:jc w:val="right"/>
              <w:rPr>
                <w:kern w:val="2"/>
                <w:sz w:val="20"/>
              </w:rPr>
            </w:pPr>
            <w:r>
              <w:rPr>
                <w:snapToGrid w:val="0"/>
                <w:color w:val="000000"/>
                <w:kern w:val="2"/>
                <w:sz w:val="20"/>
                <w:lang w:eastAsia="pt-BR"/>
              </w:rPr>
              <w:t>88 806</w:t>
            </w:r>
          </w:p>
        </w:tc>
        <w:tc>
          <w:tcPr>
            <w:tcW w:w="1559" w:type="dxa"/>
            <w:tcBorders>
              <w:top w:val="nil"/>
              <w:bottom w:val="nil"/>
            </w:tcBorders>
          </w:tcPr>
          <w:p w:rsidR="00000000" w:rsidRDefault="00000000">
            <w:pPr>
              <w:spacing w:before="6" w:after="6"/>
              <w:ind w:right="454"/>
              <w:jc w:val="right"/>
              <w:rPr>
                <w:kern w:val="2"/>
                <w:sz w:val="20"/>
              </w:rPr>
            </w:pPr>
            <w:r>
              <w:rPr>
                <w:snapToGrid w:val="0"/>
                <w:color w:val="000000"/>
                <w:kern w:val="2"/>
                <w:sz w:val="20"/>
                <w:lang w:eastAsia="pt-BR"/>
              </w:rPr>
              <w:t>102.17</w:t>
            </w:r>
          </w:p>
        </w:tc>
        <w:tc>
          <w:tcPr>
            <w:tcW w:w="1418" w:type="dxa"/>
            <w:tcBorders>
              <w:top w:val="nil"/>
              <w:bottom w:val="nil"/>
            </w:tcBorders>
          </w:tcPr>
          <w:p w:rsidR="00000000" w:rsidRDefault="00000000">
            <w:pPr>
              <w:spacing w:before="6" w:after="6"/>
              <w:jc w:val="center"/>
              <w:rPr>
                <w:kern w:val="2"/>
                <w:sz w:val="20"/>
              </w:rPr>
            </w:pPr>
            <w:r>
              <w:rPr>
                <w:snapToGrid w:val="0"/>
                <w:color w:val="000000"/>
                <w:kern w:val="2"/>
                <w:sz w:val="20"/>
                <w:lang w:eastAsia="pt-BR"/>
              </w:rPr>
              <w:t>416 120</w:t>
            </w:r>
          </w:p>
        </w:tc>
        <w:tc>
          <w:tcPr>
            <w:tcW w:w="1559" w:type="dxa"/>
            <w:tcBorders>
              <w:top w:val="nil"/>
              <w:bottom w:val="nil"/>
            </w:tcBorders>
          </w:tcPr>
          <w:p w:rsidR="00000000" w:rsidRDefault="00000000">
            <w:pPr>
              <w:spacing w:before="6" w:after="6"/>
              <w:jc w:val="center"/>
              <w:rPr>
                <w:kern w:val="2"/>
                <w:sz w:val="20"/>
              </w:rPr>
            </w:pPr>
            <w:r>
              <w:rPr>
                <w:snapToGrid w:val="0"/>
                <w:color w:val="000000"/>
                <w:kern w:val="2"/>
                <w:sz w:val="20"/>
                <w:lang w:eastAsia="pt-BR"/>
              </w:rPr>
              <w:t>666.42</w:t>
            </w:r>
          </w:p>
        </w:tc>
      </w:tr>
      <w:tr w:rsidR="00000000">
        <w:tblPrEx>
          <w:tblCellMar>
            <w:top w:w="0" w:type="dxa"/>
            <w:bottom w:w="0" w:type="dxa"/>
          </w:tblCellMar>
        </w:tblPrEx>
        <w:tc>
          <w:tcPr>
            <w:tcW w:w="709" w:type="dxa"/>
            <w:tcBorders>
              <w:top w:val="nil"/>
              <w:bottom w:val="nil"/>
            </w:tcBorders>
          </w:tcPr>
          <w:p w:rsidR="00000000" w:rsidRDefault="00000000">
            <w:pPr>
              <w:spacing w:before="6" w:after="6"/>
              <w:jc w:val="center"/>
              <w:rPr>
                <w:kern w:val="2"/>
                <w:sz w:val="20"/>
              </w:rPr>
            </w:pPr>
            <w:r>
              <w:rPr>
                <w:kern w:val="2"/>
                <w:sz w:val="20"/>
              </w:rPr>
              <w:t>1998</w:t>
            </w:r>
          </w:p>
        </w:tc>
        <w:tc>
          <w:tcPr>
            <w:tcW w:w="1276" w:type="dxa"/>
            <w:tcBorders>
              <w:top w:val="nil"/>
              <w:bottom w:val="nil"/>
            </w:tcBorders>
          </w:tcPr>
          <w:p w:rsidR="00000000" w:rsidRDefault="00000000">
            <w:pPr>
              <w:spacing w:before="6" w:after="6"/>
              <w:jc w:val="center"/>
              <w:rPr>
                <w:kern w:val="2"/>
                <w:sz w:val="20"/>
              </w:rPr>
            </w:pPr>
            <w:r>
              <w:rPr>
                <w:kern w:val="2"/>
                <w:sz w:val="20"/>
              </w:rPr>
              <w:t>5 147 524</w:t>
            </w:r>
          </w:p>
        </w:tc>
        <w:tc>
          <w:tcPr>
            <w:tcW w:w="1559" w:type="dxa"/>
            <w:tcBorders>
              <w:top w:val="nil"/>
              <w:bottom w:val="nil"/>
            </w:tcBorders>
          </w:tcPr>
          <w:p w:rsidR="00000000" w:rsidRDefault="00000000">
            <w:pPr>
              <w:spacing w:before="6" w:after="6"/>
              <w:ind w:right="340"/>
              <w:jc w:val="right"/>
              <w:rPr>
                <w:kern w:val="2"/>
                <w:sz w:val="20"/>
              </w:rPr>
            </w:pPr>
            <w:r>
              <w:rPr>
                <w:kern w:val="2"/>
                <w:sz w:val="20"/>
              </w:rPr>
              <w:t>10 369.15</w:t>
            </w:r>
          </w:p>
        </w:tc>
        <w:tc>
          <w:tcPr>
            <w:tcW w:w="1276" w:type="dxa"/>
            <w:tcBorders>
              <w:top w:val="nil"/>
              <w:bottom w:val="nil"/>
            </w:tcBorders>
          </w:tcPr>
          <w:p w:rsidR="00000000" w:rsidRDefault="00000000">
            <w:pPr>
              <w:spacing w:before="6" w:after="6"/>
              <w:ind w:right="284"/>
              <w:jc w:val="right"/>
              <w:rPr>
                <w:kern w:val="2"/>
                <w:sz w:val="20"/>
              </w:rPr>
            </w:pPr>
            <w:r>
              <w:rPr>
                <w:snapToGrid w:val="0"/>
                <w:color w:val="000000"/>
                <w:kern w:val="2"/>
                <w:sz w:val="20"/>
                <w:lang w:eastAsia="pt-BR"/>
              </w:rPr>
              <w:t>207 031</w:t>
            </w:r>
          </w:p>
        </w:tc>
        <w:tc>
          <w:tcPr>
            <w:tcW w:w="1559" w:type="dxa"/>
            <w:tcBorders>
              <w:top w:val="nil"/>
              <w:bottom w:val="nil"/>
            </w:tcBorders>
          </w:tcPr>
          <w:p w:rsidR="00000000" w:rsidRDefault="00000000">
            <w:pPr>
              <w:spacing w:before="6" w:after="6"/>
              <w:ind w:right="454"/>
              <w:jc w:val="right"/>
              <w:rPr>
                <w:kern w:val="2"/>
                <w:sz w:val="20"/>
              </w:rPr>
            </w:pPr>
            <w:r>
              <w:rPr>
                <w:snapToGrid w:val="0"/>
                <w:color w:val="000000"/>
                <w:kern w:val="2"/>
                <w:sz w:val="20"/>
                <w:lang w:eastAsia="pt-BR"/>
              </w:rPr>
              <w:t>230.33</w:t>
            </w:r>
          </w:p>
        </w:tc>
        <w:tc>
          <w:tcPr>
            <w:tcW w:w="1418" w:type="dxa"/>
            <w:tcBorders>
              <w:top w:val="nil"/>
              <w:bottom w:val="nil"/>
            </w:tcBorders>
          </w:tcPr>
          <w:p w:rsidR="00000000" w:rsidRDefault="00000000">
            <w:pPr>
              <w:spacing w:before="6" w:after="6"/>
              <w:jc w:val="center"/>
              <w:rPr>
                <w:kern w:val="2"/>
                <w:sz w:val="20"/>
              </w:rPr>
            </w:pPr>
            <w:r>
              <w:rPr>
                <w:snapToGrid w:val="0"/>
                <w:color w:val="000000"/>
                <w:kern w:val="2"/>
                <w:sz w:val="20"/>
                <w:lang w:eastAsia="pt-BR"/>
              </w:rPr>
              <w:t>374 301</w:t>
            </w:r>
          </w:p>
        </w:tc>
        <w:tc>
          <w:tcPr>
            <w:tcW w:w="1559" w:type="dxa"/>
            <w:tcBorders>
              <w:top w:val="nil"/>
              <w:bottom w:val="nil"/>
            </w:tcBorders>
          </w:tcPr>
          <w:p w:rsidR="00000000" w:rsidRDefault="00000000">
            <w:pPr>
              <w:spacing w:before="6" w:after="6"/>
              <w:jc w:val="center"/>
              <w:rPr>
                <w:kern w:val="2"/>
                <w:sz w:val="20"/>
              </w:rPr>
            </w:pPr>
            <w:r>
              <w:rPr>
                <w:snapToGrid w:val="0"/>
                <w:color w:val="000000"/>
                <w:kern w:val="2"/>
                <w:sz w:val="20"/>
                <w:lang w:eastAsia="pt-BR"/>
              </w:rPr>
              <w:t>624.32</w:t>
            </w:r>
          </w:p>
        </w:tc>
      </w:tr>
      <w:tr w:rsidR="00000000">
        <w:tblPrEx>
          <w:tblCellMar>
            <w:top w:w="0" w:type="dxa"/>
            <w:bottom w:w="0" w:type="dxa"/>
          </w:tblCellMar>
        </w:tblPrEx>
        <w:tc>
          <w:tcPr>
            <w:tcW w:w="709" w:type="dxa"/>
            <w:tcBorders>
              <w:top w:val="nil"/>
            </w:tcBorders>
          </w:tcPr>
          <w:p w:rsidR="00000000" w:rsidRDefault="00000000">
            <w:pPr>
              <w:spacing w:before="6" w:after="6"/>
              <w:jc w:val="center"/>
              <w:rPr>
                <w:kern w:val="2"/>
                <w:sz w:val="20"/>
              </w:rPr>
            </w:pPr>
            <w:r>
              <w:rPr>
                <w:kern w:val="2"/>
                <w:sz w:val="20"/>
              </w:rPr>
              <w:t>1999</w:t>
            </w:r>
          </w:p>
        </w:tc>
        <w:tc>
          <w:tcPr>
            <w:tcW w:w="1276" w:type="dxa"/>
            <w:tcBorders>
              <w:top w:val="nil"/>
            </w:tcBorders>
          </w:tcPr>
          <w:p w:rsidR="00000000" w:rsidRDefault="00000000">
            <w:pPr>
              <w:spacing w:before="6" w:after="6"/>
              <w:jc w:val="center"/>
              <w:rPr>
                <w:kern w:val="2"/>
                <w:sz w:val="20"/>
              </w:rPr>
            </w:pPr>
            <w:r>
              <w:rPr>
                <w:kern w:val="2"/>
                <w:sz w:val="20"/>
              </w:rPr>
              <w:t>5 373 000</w:t>
            </w:r>
          </w:p>
        </w:tc>
        <w:tc>
          <w:tcPr>
            <w:tcW w:w="1559" w:type="dxa"/>
            <w:tcBorders>
              <w:top w:val="nil"/>
            </w:tcBorders>
          </w:tcPr>
          <w:p w:rsidR="00000000" w:rsidRDefault="00000000">
            <w:pPr>
              <w:spacing w:before="6" w:after="6"/>
              <w:ind w:right="340"/>
              <w:jc w:val="right"/>
              <w:rPr>
                <w:kern w:val="2"/>
                <w:sz w:val="20"/>
              </w:rPr>
            </w:pPr>
            <w:r>
              <w:rPr>
                <w:kern w:val="2"/>
                <w:sz w:val="20"/>
              </w:rPr>
              <w:t>10 874.45</w:t>
            </w:r>
          </w:p>
        </w:tc>
        <w:tc>
          <w:tcPr>
            <w:tcW w:w="1276" w:type="dxa"/>
            <w:tcBorders>
              <w:top w:val="nil"/>
            </w:tcBorders>
          </w:tcPr>
          <w:p w:rsidR="00000000" w:rsidRDefault="00000000">
            <w:pPr>
              <w:spacing w:before="6" w:after="6"/>
              <w:ind w:right="284"/>
              <w:jc w:val="right"/>
              <w:rPr>
                <w:kern w:val="2"/>
                <w:sz w:val="20"/>
              </w:rPr>
            </w:pPr>
            <w:r>
              <w:rPr>
                <w:snapToGrid w:val="0"/>
                <w:color w:val="000000"/>
                <w:kern w:val="2"/>
                <w:sz w:val="20"/>
                <w:lang w:eastAsia="pt-BR"/>
              </w:rPr>
              <w:t>312 299</w:t>
            </w:r>
          </w:p>
        </w:tc>
        <w:tc>
          <w:tcPr>
            <w:tcW w:w="1559" w:type="dxa"/>
            <w:tcBorders>
              <w:top w:val="nil"/>
            </w:tcBorders>
          </w:tcPr>
          <w:p w:rsidR="00000000" w:rsidRDefault="00000000">
            <w:pPr>
              <w:spacing w:before="6" w:after="6"/>
              <w:ind w:right="454"/>
              <w:jc w:val="right"/>
              <w:rPr>
                <w:kern w:val="2"/>
                <w:sz w:val="20"/>
              </w:rPr>
            </w:pPr>
            <w:r>
              <w:rPr>
                <w:snapToGrid w:val="0"/>
                <w:color w:val="000000"/>
                <w:kern w:val="2"/>
                <w:sz w:val="20"/>
                <w:lang w:eastAsia="pt-BR"/>
              </w:rPr>
              <w:t>421.79</w:t>
            </w:r>
          </w:p>
        </w:tc>
        <w:tc>
          <w:tcPr>
            <w:tcW w:w="1418" w:type="dxa"/>
            <w:tcBorders>
              <w:top w:val="nil"/>
            </w:tcBorders>
          </w:tcPr>
          <w:p w:rsidR="00000000" w:rsidRDefault="00000000">
            <w:pPr>
              <w:spacing w:before="6" w:after="6"/>
              <w:jc w:val="center"/>
              <w:rPr>
                <w:kern w:val="2"/>
                <w:sz w:val="20"/>
              </w:rPr>
            </w:pPr>
            <w:r>
              <w:rPr>
                <w:snapToGrid w:val="0"/>
                <w:color w:val="000000"/>
                <w:kern w:val="2"/>
                <w:sz w:val="20"/>
                <w:lang w:eastAsia="pt-BR"/>
              </w:rPr>
              <w:t>338 031</w:t>
            </w:r>
          </w:p>
        </w:tc>
        <w:tc>
          <w:tcPr>
            <w:tcW w:w="1559" w:type="dxa"/>
            <w:tcBorders>
              <w:top w:val="nil"/>
            </w:tcBorders>
          </w:tcPr>
          <w:p w:rsidR="00000000" w:rsidRDefault="00000000">
            <w:pPr>
              <w:spacing w:before="6" w:after="6"/>
              <w:jc w:val="center"/>
              <w:rPr>
                <w:kern w:val="2"/>
                <w:sz w:val="20"/>
              </w:rPr>
            </w:pPr>
            <w:r>
              <w:rPr>
                <w:snapToGrid w:val="0"/>
                <w:color w:val="000000"/>
                <w:kern w:val="2"/>
                <w:sz w:val="20"/>
                <w:lang w:eastAsia="pt-BR"/>
              </w:rPr>
              <w:t>567.17</w:t>
            </w:r>
          </w:p>
        </w:tc>
      </w:tr>
    </w:tbl>
    <w:p w:rsidR="00000000" w:rsidRDefault="00000000">
      <w:pPr>
        <w:rPr>
          <w:bCs/>
          <w:kern w:val="16"/>
        </w:rPr>
      </w:pPr>
    </w:p>
    <w:p w:rsidR="00000000" w:rsidRDefault="00000000">
      <w:pPr>
        <w:rPr>
          <w:bCs/>
          <w:kern w:val="16"/>
        </w:rPr>
      </w:pPr>
      <w:r>
        <w:rPr>
          <w:bCs/>
          <w:kern w:val="16"/>
        </w:rPr>
        <w:tab/>
      </w:r>
      <w:r>
        <w:rPr>
          <w:bCs/>
          <w:kern w:val="16"/>
          <w:u w:val="single"/>
        </w:rPr>
        <w:t>Source</w:t>
      </w:r>
      <w:r>
        <w:rPr>
          <w:bCs/>
          <w:kern w:val="16"/>
        </w:rPr>
        <w:t xml:space="preserve">:  </w:t>
      </w:r>
      <w:r>
        <w:rPr>
          <w:bCs/>
          <w:kern w:val="16"/>
          <w:u w:val="single"/>
        </w:rPr>
        <w:t>Anuário Estatístico da Previdência Social and Boletim Estatístico da Previdência Social</w:t>
      </w:r>
      <w:r>
        <w:rPr>
          <w:bCs/>
          <w:kern w:val="16"/>
        </w:rPr>
        <w:t>.</w:t>
      </w:r>
    </w:p>
    <w:p w:rsidR="00000000" w:rsidRDefault="00000000">
      <w:pPr>
        <w:rPr>
          <w:b/>
          <w:kern w:val="16"/>
        </w:rPr>
      </w:pPr>
    </w:p>
    <w:p w:rsidR="00000000" w:rsidRDefault="00000000">
      <w:pPr>
        <w:rPr>
          <w:bCs/>
          <w:kern w:val="16"/>
        </w:rPr>
      </w:pPr>
      <w:r>
        <w:rPr>
          <w:bCs/>
          <w:kern w:val="16"/>
        </w:rPr>
        <w:tab/>
      </w:r>
      <w:r>
        <w:rPr>
          <w:bCs/>
          <w:kern w:val="16"/>
          <w:u w:val="single"/>
        </w:rPr>
        <w:t>Notes</w:t>
      </w:r>
      <w:r>
        <w:rPr>
          <w:bCs/>
          <w:kern w:val="16"/>
        </w:rPr>
        <w:t>:</w:t>
      </w:r>
    </w:p>
    <w:p w:rsidR="00000000" w:rsidRDefault="00000000">
      <w:pPr>
        <w:rPr>
          <w:bCs/>
          <w:kern w:val="16"/>
        </w:rPr>
      </w:pPr>
    </w:p>
    <w:p w:rsidR="00000000" w:rsidRDefault="00000000">
      <w:pPr>
        <w:rPr>
          <w:bCs/>
          <w:kern w:val="16"/>
        </w:rPr>
      </w:pPr>
      <w:r>
        <w:rPr>
          <w:bCs/>
          <w:kern w:val="16"/>
        </w:rPr>
        <w:tab/>
      </w:r>
      <w:r>
        <w:rPr>
          <w:b/>
          <w:kern w:val="16"/>
          <w:vertAlign w:val="superscript"/>
        </w:rPr>
        <w:t xml:space="preserve">1  </w:t>
      </w:r>
      <w:r>
        <w:rPr>
          <w:bCs/>
          <w:kern w:val="16"/>
        </w:rPr>
        <w:t>Lifelong monthly old age pension was eliminated in January 1996.  Since 1996, data refer to the stock of existing benefits.</w:t>
      </w:r>
    </w:p>
    <w:p w:rsidR="00000000" w:rsidRDefault="00000000">
      <w:pPr>
        <w:rPr>
          <w:bCs/>
          <w:kern w:val="16"/>
        </w:rPr>
      </w:pPr>
    </w:p>
    <w:p w:rsidR="00000000" w:rsidRDefault="00000000">
      <w:pPr>
        <w:rPr>
          <w:bCs/>
          <w:kern w:val="16"/>
        </w:rPr>
      </w:pPr>
      <w:r>
        <w:rPr>
          <w:bCs/>
          <w:kern w:val="16"/>
        </w:rPr>
        <w:tab/>
      </w:r>
      <w:r>
        <w:rPr>
          <w:b/>
          <w:kern w:val="16"/>
          <w:vertAlign w:val="superscript"/>
        </w:rPr>
        <w:t xml:space="preserve">2  </w:t>
      </w:r>
      <w:r>
        <w:rPr>
          <w:bCs/>
          <w:kern w:val="16"/>
        </w:rPr>
        <w:t xml:space="preserve">Legal standard:  Law No. 8,213/91, LOAS </w:t>
      </w:r>
      <w:r>
        <w:rPr>
          <w:bCs/>
          <w:kern w:val="16"/>
        </w:rPr>
        <w:noBreakHyphen/>
        <w:t xml:space="preserve"> Basic Social Welfare Law [</w:t>
      </w:r>
      <w:r>
        <w:rPr>
          <w:bCs/>
          <w:iCs/>
          <w:kern w:val="16"/>
          <w:u w:val="single"/>
        </w:rPr>
        <w:t>Lei Orgânica da Assistência Social</w:t>
      </w:r>
      <w:r>
        <w:rPr>
          <w:bCs/>
          <w:kern w:val="16"/>
        </w:rPr>
        <w:t>], article 2, Law No. 8,742, dated 7 December 1993 and Decree No. 1744, dated 18 December 19</w:t>
      </w:r>
      <w:r>
        <w:rPr>
          <w:bCs/>
        </w:rPr>
        <w:t>95</w:t>
      </w:r>
      <w:r>
        <w:rPr>
          <w:bCs/>
          <w:kern w:val="16"/>
        </w:rPr>
        <w:t>.</w:t>
      </w:r>
    </w:p>
    <w:p w:rsidR="00000000" w:rsidRDefault="00000000">
      <w:pPr>
        <w:pStyle w:val="ParaNo"/>
        <w:tabs>
          <w:tab w:val="clear" w:pos="360"/>
          <w:tab w:val="clear" w:pos="737"/>
        </w:tabs>
        <w:ind w:left="0" w:firstLine="0"/>
        <w:rPr>
          <w:kern w:val="20"/>
          <w:lang w:val="en-GB"/>
        </w:rPr>
      </w:pPr>
      <w:r>
        <w:rPr>
          <w:kern w:val="20"/>
          <w:lang w:val="en-GB"/>
        </w:rPr>
        <w:br w:type="page"/>
        <w:t>People who fall into a situation of permanent invalidity for work are the subject of special attention in the Brazilian system.  Those who have been contributing to the social security system receive an invalid pension; in the case of non</w:t>
      </w:r>
      <w:r>
        <w:rPr>
          <w:kern w:val="20"/>
          <w:lang w:val="en-GB"/>
        </w:rPr>
        <w:noBreakHyphen/>
        <w:t>contributors, the social welfare benefit is granted to disabled persons (one minimum wage), provided that they confirm that they have insufficient income.  To receive an invalid pension, a 12</w:t>
      </w:r>
      <w:r>
        <w:rPr>
          <w:kern w:val="20"/>
          <w:lang w:val="en-GB"/>
        </w:rPr>
        <w:noBreakHyphen/>
        <w:t>month grace period is required, unless the invalidity is the result of any kind of injury or of an employment ailment.  The standard for insufficient income, as in the case of the senior citizen allowance, is based on a family per capita income of less than one quarter of the minimum wage.</w:t>
      </w:r>
    </w:p>
    <w:p w:rsidR="00000000" w:rsidRDefault="00000000">
      <w:pPr>
        <w:rPr>
          <w:kern w:val="20"/>
        </w:rPr>
      </w:pPr>
    </w:p>
    <w:p w:rsidR="00000000" w:rsidRDefault="00000000">
      <w:pPr>
        <w:jc w:val="center"/>
        <w:rPr>
          <w:b/>
          <w:kern w:val="20"/>
        </w:rPr>
      </w:pPr>
      <w:r>
        <w:rPr>
          <w:b/>
          <w:kern w:val="20"/>
        </w:rPr>
        <w:t>Table 36</w:t>
      </w:r>
    </w:p>
    <w:p w:rsidR="00000000" w:rsidRDefault="00000000">
      <w:pPr>
        <w:jc w:val="center"/>
        <w:rPr>
          <w:b/>
          <w:kern w:val="20"/>
        </w:rPr>
      </w:pPr>
    </w:p>
    <w:p w:rsidR="00000000" w:rsidRDefault="00000000">
      <w:pPr>
        <w:jc w:val="center"/>
        <w:rPr>
          <w:b/>
          <w:kern w:val="20"/>
        </w:rPr>
      </w:pPr>
      <w:r>
        <w:rPr>
          <w:b/>
          <w:kern w:val="20"/>
        </w:rPr>
        <w:t>Disability benefits, 1995</w:t>
      </w:r>
      <w:r>
        <w:rPr>
          <w:b/>
          <w:kern w:val="20"/>
        </w:rPr>
        <w:noBreakHyphen/>
        <w:t>1999</w:t>
      </w:r>
    </w:p>
    <w:p w:rsidR="00000000" w:rsidRDefault="00000000">
      <w:pPr>
        <w:jc w:val="center"/>
        <w:rPr>
          <w:b/>
          <w:kern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1276"/>
        <w:gridCol w:w="1559"/>
        <w:gridCol w:w="1276"/>
        <w:gridCol w:w="1559"/>
        <w:gridCol w:w="1418"/>
        <w:gridCol w:w="1559"/>
      </w:tblGrid>
      <w:tr w:rsidR="00000000">
        <w:tblPrEx>
          <w:tblCellMar>
            <w:top w:w="0" w:type="dxa"/>
            <w:bottom w:w="0" w:type="dxa"/>
          </w:tblCellMar>
        </w:tblPrEx>
        <w:trPr>
          <w:cantSplit/>
        </w:trPr>
        <w:tc>
          <w:tcPr>
            <w:tcW w:w="709" w:type="dxa"/>
            <w:vMerge w:val="restart"/>
            <w:vAlign w:val="center"/>
          </w:tcPr>
          <w:p w:rsidR="00000000" w:rsidRDefault="00000000">
            <w:pPr>
              <w:jc w:val="center"/>
              <w:rPr>
                <w:kern w:val="2"/>
                <w:sz w:val="20"/>
              </w:rPr>
            </w:pPr>
            <w:r>
              <w:rPr>
                <w:kern w:val="2"/>
                <w:sz w:val="20"/>
              </w:rPr>
              <w:t>Year</w:t>
            </w:r>
          </w:p>
        </w:tc>
        <w:tc>
          <w:tcPr>
            <w:tcW w:w="2835" w:type="dxa"/>
            <w:gridSpan w:val="2"/>
          </w:tcPr>
          <w:p w:rsidR="00000000" w:rsidRDefault="00000000">
            <w:pPr>
              <w:spacing w:before="6" w:after="6"/>
              <w:jc w:val="center"/>
              <w:rPr>
                <w:kern w:val="2"/>
                <w:sz w:val="20"/>
              </w:rPr>
            </w:pPr>
            <w:r>
              <w:rPr>
                <w:kern w:val="2"/>
                <w:sz w:val="20"/>
              </w:rPr>
              <w:t>Invalid pension</w:t>
            </w:r>
          </w:p>
        </w:tc>
        <w:tc>
          <w:tcPr>
            <w:tcW w:w="2835" w:type="dxa"/>
            <w:gridSpan w:val="2"/>
          </w:tcPr>
          <w:p w:rsidR="00000000" w:rsidRDefault="00000000">
            <w:pPr>
              <w:spacing w:before="6" w:after="6"/>
              <w:jc w:val="center"/>
              <w:rPr>
                <w:kern w:val="2"/>
                <w:sz w:val="20"/>
              </w:rPr>
            </w:pPr>
            <w:r>
              <w:rPr>
                <w:kern w:val="2"/>
                <w:sz w:val="20"/>
              </w:rPr>
              <w:t>Disability allowance</w:t>
            </w:r>
          </w:p>
        </w:tc>
        <w:tc>
          <w:tcPr>
            <w:tcW w:w="2977" w:type="dxa"/>
            <w:gridSpan w:val="2"/>
          </w:tcPr>
          <w:p w:rsidR="00000000" w:rsidRDefault="00000000">
            <w:pPr>
              <w:spacing w:before="6" w:after="6"/>
              <w:jc w:val="center"/>
              <w:rPr>
                <w:kern w:val="2"/>
                <w:sz w:val="20"/>
              </w:rPr>
            </w:pPr>
            <w:r>
              <w:rPr>
                <w:kern w:val="2"/>
                <w:sz w:val="20"/>
              </w:rPr>
              <w:t>Lifelong monthly invalid pension</w:t>
            </w:r>
          </w:p>
        </w:tc>
      </w:tr>
      <w:tr w:rsidR="00000000">
        <w:tblPrEx>
          <w:tblCellMar>
            <w:top w:w="0" w:type="dxa"/>
            <w:bottom w:w="0" w:type="dxa"/>
          </w:tblCellMar>
        </w:tblPrEx>
        <w:trPr>
          <w:cantSplit/>
          <w:trHeight w:val="707"/>
        </w:trPr>
        <w:tc>
          <w:tcPr>
            <w:tcW w:w="709" w:type="dxa"/>
            <w:vMerge/>
            <w:tcBorders>
              <w:bottom w:val="single" w:sz="4" w:space="0" w:color="auto"/>
            </w:tcBorders>
          </w:tcPr>
          <w:p w:rsidR="00000000" w:rsidRDefault="00000000">
            <w:pPr>
              <w:jc w:val="center"/>
              <w:rPr>
                <w:kern w:val="2"/>
                <w:sz w:val="20"/>
              </w:rPr>
            </w:pPr>
          </w:p>
        </w:tc>
        <w:tc>
          <w:tcPr>
            <w:tcW w:w="1276" w:type="dxa"/>
            <w:tcBorders>
              <w:bottom w:val="single" w:sz="4" w:space="0" w:color="auto"/>
            </w:tcBorders>
          </w:tcPr>
          <w:p w:rsidR="00000000" w:rsidRDefault="00000000">
            <w:pPr>
              <w:spacing w:before="6" w:after="6"/>
              <w:rPr>
                <w:kern w:val="2"/>
                <w:sz w:val="20"/>
              </w:rPr>
            </w:pPr>
            <w:r>
              <w:rPr>
                <w:kern w:val="2"/>
                <w:sz w:val="20"/>
              </w:rPr>
              <w:t>Quantity</w:t>
            </w:r>
          </w:p>
          <w:p w:rsidR="00000000" w:rsidRDefault="00000000">
            <w:pPr>
              <w:spacing w:before="6" w:after="6"/>
              <w:rPr>
                <w:kern w:val="2"/>
                <w:sz w:val="20"/>
              </w:rPr>
            </w:pPr>
            <w:r>
              <w:rPr>
                <w:kern w:val="2"/>
                <w:sz w:val="20"/>
              </w:rPr>
              <w:t>December</w:t>
            </w:r>
          </w:p>
          <w:p w:rsidR="00000000" w:rsidRDefault="00000000">
            <w:pPr>
              <w:spacing w:before="6" w:after="6"/>
              <w:rPr>
                <w:kern w:val="2"/>
                <w:sz w:val="20"/>
              </w:rPr>
            </w:pPr>
            <w:r>
              <w:rPr>
                <w:kern w:val="2"/>
                <w:sz w:val="20"/>
              </w:rPr>
              <w:t>status</w:t>
            </w:r>
          </w:p>
        </w:tc>
        <w:tc>
          <w:tcPr>
            <w:tcW w:w="1559" w:type="dxa"/>
            <w:tcBorders>
              <w:bottom w:val="single" w:sz="4" w:space="0" w:color="auto"/>
            </w:tcBorders>
          </w:tcPr>
          <w:p w:rsidR="00000000" w:rsidRDefault="00000000">
            <w:pPr>
              <w:spacing w:before="6" w:after="6"/>
              <w:rPr>
                <w:kern w:val="2"/>
                <w:sz w:val="20"/>
              </w:rPr>
            </w:pPr>
            <w:r>
              <w:rPr>
                <w:kern w:val="2"/>
                <w:sz w:val="20"/>
              </w:rPr>
              <w:t>Value</w:t>
            </w:r>
          </w:p>
          <w:p w:rsidR="00000000" w:rsidRDefault="00000000">
            <w:pPr>
              <w:spacing w:before="6" w:after="6"/>
              <w:rPr>
                <w:kern w:val="2"/>
                <w:sz w:val="20"/>
              </w:rPr>
            </w:pPr>
            <w:r>
              <w:rPr>
                <w:kern w:val="2"/>
                <w:sz w:val="20"/>
              </w:rPr>
              <w:t xml:space="preserve">(Cr$ million </w:t>
            </w:r>
            <w:r>
              <w:rPr>
                <w:kern w:val="2"/>
                <w:sz w:val="20"/>
              </w:rPr>
              <w:noBreakHyphen/>
            </w:r>
          </w:p>
          <w:p w:rsidR="00000000" w:rsidRDefault="00000000">
            <w:pPr>
              <w:spacing w:before="6" w:after="6"/>
              <w:rPr>
                <w:kern w:val="2"/>
                <w:sz w:val="20"/>
              </w:rPr>
            </w:pPr>
            <w:r>
              <w:rPr>
                <w:kern w:val="2"/>
                <w:sz w:val="20"/>
              </w:rPr>
              <w:t>June 1999)</w:t>
            </w:r>
          </w:p>
          <w:p w:rsidR="00000000" w:rsidRDefault="00000000">
            <w:pPr>
              <w:spacing w:before="6" w:after="6"/>
              <w:rPr>
                <w:kern w:val="2"/>
                <w:sz w:val="20"/>
              </w:rPr>
            </w:pPr>
            <w:r>
              <w:rPr>
                <w:kern w:val="2"/>
                <w:sz w:val="20"/>
              </w:rPr>
              <w:t>Accumulated</w:t>
            </w:r>
          </w:p>
          <w:p w:rsidR="00000000" w:rsidRDefault="00000000">
            <w:pPr>
              <w:spacing w:before="6" w:after="6"/>
              <w:rPr>
                <w:kern w:val="2"/>
                <w:sz w:val="20"/>
              </w:rPr>
            </w:pPr>
            <w:r>
              <w:rPr>
                <w:kern w:val="2"/>
                <w:sz w:val="20"/>
              </w:rPr>
              <w:t>in the year</w:t>
            </w:r>
          </w:p>
        </w:tc>
        <w:tc>
          <w:tcPr>
            <w:tcW w:w="1276" w:type="dxa"/>
            <w:tcBorders>
              <w:bottom w:val="single" w:sz="4" w:space="0" w:color="auto"/>
            </w:tcBorders>
          </w:tcPr>
          <w:p w:rsidR="00000000" w:rsidRDefault="00000000">
            <w:pPr>
              <w:spacing w:before="6" w:after="6"/>
              <w:rPr>
                <w:kern w:val="2"/>
                <w:sz w:val="20"/>
              </w:rPr>
            </w:pPr>
            <w:r>
              <w:rPr>
                <w:kern w:val="2"/>
                <w:sz w:val="20"/>
              </w:rPr>
              <w:t>Quantity</w:t>
            </w:r>
          </w:p>
          <w:p w:rsidR="00000000" w:rsidRDefault="00000000">
            <w:pPr>
              <w:spacing w:before="6" w:after="6"/>
              <w:rPr>
                <w:kern w:val="2"/>
                <w:sz w:val="20"/>
              </w:rPr>
            </w:pPr>
            <w:r>
              <w:rPr>
                <w:kern w:val="2"/>
                <w:sz w:val="20"/>
              </w:rPr>
              <w:t>December</w:t>
            </w:r>
          </w:p>
          <w:p w:rsidR="00000000" w:rsidRDefault="00000000">
            <w:pPr>
              <w:spacing w:before="6" w:after="6"/>
              <w:rPr>
                <w:kern w:val="2"/>
                <w:sz w:val="20"/>
              </w:rPr>
            </w:pPr>
            <w:r>
              <w:rPr>
                <w:kern w:val="2"/>
                <w:sz w:val="20"/>
              </w:rPr>
              <w:t>status</w:t>
            </w:r>
          </w:p>
        </w:tc>
        <w:tc>
          <w:tcPr>
            <w:tcW w:w="1559" w:type="dxa"/>
            <w:tcBorders>
              <w:bottom w:val="single" w:sz="4" w:space="0" w:color="auto"/>
            </w:tcBorders>
          </w:tcPr>
          <w:p w:rsidR="00000000" w:rsidRDefault="00000000">
            <w:pPr>
              <w:spacing w:before="6" w:after="6"/>
              <w:rPr>
                <w:kern w:val="2"/>
                <w:sz w:val="20"/>
              </w:rPr>
            </w:pPr>
            <w:r>
              <w:rPr>
                <w:kern w:val="2"/>
                <w:sz w:val="20"/>
              </w:rPr>
              <w:t>Value</w:t>
            </w:r>
          </w:p>
          <w:p w:rsidR="00000000" w:rsidRDefault="00000000">
            <w:pPr>
              <w:spacing w:before="6" w:after="6"/>
              <w:rPr>
                <w:kern w:val="2"/>
                <w:sz w:val="20"/>
              </w:rPr>
            </w:pPr>
            <w:r>
              <w:rPr>
                <w:kern w:val="2"/>
                <w:sz w:val="20"/>
              </w:rPr>
              <w:t xml:space="preserve">(Cr$ million </w:t>
            </w:r>
            <w:r>
              <w:rPr>
                <w:kern w:val="2"/>
                <w:sz w:val="20"/>
              </w:rPr>
              <w:noBreakHyphen/>
            </w:r>
          </w:p>
          <w:p w:rsidR="00000000" w:rsidRDefault="00000000">
            <w:pPr>
              <w:spacing w:before="6" w:after="6"/>
              <w:rPr>
                <w:kern w:val="2"/>
                <w:sz w:val="20"/>
              </w:rPr>
            </w:pPr>
            <w:r>
              <w:rPr>
                <w:kern w:val="2"/>
                <w:sz w:val="20"/>
              </w:rPr>
              <w:t>June 1999)</w:t>
            </w:r>
          </w:p>
          <w:p w:rsidR="00000000" w:rsidRDefault="00000000">
            <w:pPr>
              <w:spacing w:before="6" w:after="6"/>
              <w:rPr>
                <w:kern w:val="2"/>
                <w:sz w:val="20"/>
              </w:rPr>
            </w:pPr>
            <w:r>
              <w:rPr>
                <w:kern w:val="2"/>
                <w:sz w:val="20"/>
              </w:rPr>
              <w:t>Accumulated</w:t>
            </w:r>
          </w:p>
          <w:p w:rsidR="00000000" w:rsidRDefault="00000000">
            <w:pPr>
              <w:spacing w:before="6" w:after="6"/>
              <w:rPr>
                <w:kern w:val="2"/>
                <w:sz w:val="20"/>
              </w:rPr>
            </w:pPr>
            <w:r>
              <w:rPr>
                <w:kern w:val="2"/>
                <w:sz w:val="20"/>
              </w:rPr>
              <w:t>in the year</w:t>
            </w:r>
          </w:p>
        </w:tc>
        <w:tc>
          <w:tcPr>
            <w:tcW w:w="1418" w:type="dxa"/>
            <w:tcBorders>
              <w:bottom w:val="single" w:sz="4" w:space="0" w:color="auto"/>
            </w:tcBorders>
          </w:tcPr>
          <w:p w:rsidR="00000000" w:rsidRDefault="00000000">
            <w:pPr>
              <w:spacing w:before="6" w:after="6"/>
              <w:rPr>
                <w:kern w:val="2"/>
                <w:sz w:val="20"/>
              </w:rPr>
            </w:pPr>
            <w:r>
              <w:rPr>
                <w:kern w:val="2"/>
                <w:sz w:val="20"/>
              </w:rPr>
              <w:t>Quantity</w:t>
            </w:r>
          </w:p>
          <w:p w:rsidR="00000000" w:rsidRDefault="00000000">
            <w:pPr>
              <w:spacing w:before="6" w:after="6"/>
              <w:rPr>
                <w:kern w:val="2"/>
                <w:sz w:val="20"/>
              </w:rPr>
            </w:pPr>
            <w:r>
              <w:rPr>
                <w:kern w:val="2"/>
                <w:sz w:val="20"/>
              </w:rPr>
              <w:t>December</w:t>
            </w:r>
          </w:p>
          <w:p w:rsidR="00000000" w:rsidRDefault="00000000">
            <w:pPr>
              <w:spacing w:before="6" w:after="6"/>
              <w:rPr>
                <w:kern w:val="2"/>
                <w:sz w:val="20"/>
              </w:rPr>
            </w:pPr>
            <w:r>
              <w:rPr>
                <w:kern w:val="2"/>
                <w:sz w:val="20"/>
              </w:rPr>
              <w:t>status</w:t>
            </w:r>
          </w:p>
        </w:tc>
        <w:tc>
          <w:tcPr>
            <w:tcW w:w="1559" w:type="dxa"/>
            <w:tcBorders>
              <w:bottom w:val="single" w:sz="4" w:space="0" w:color="auto"/>
            </w:tcBorders>
          </w:tcPr>
          <w:p w:rsidR="00000000" w:rsidRDefault="00000000">
            <w:pPr>
              <w:spacing w:before="6" w:after="6"/>
              <w:rPr>
                <w:kern w:val="2"/>
                <w:sz w:val="20"/>
              </w:rPr>
            </w:pPr>
            <w:r>
              <w:rPr>
                <w:kern w:val="2"/>
                <w:sz w:val="20"/>
              </w:rPr>
              <w:t>Value</w:t>
            </w:r>
          </w:p>
          <w:p w:rsidR="00000000" w:rsidRDefault="00000000">
            <w:pPr>
              <w:spacing w:before="6" w:after="6"/>
              <w:rPr>
                <w:kern w:val="2"/>
                <w:sz w:val="20"/>
              </w:rPr>
            </w:pPr>
            <w:r>
              <w:rPr>
                <w:kern w:val="2"/>
                <w:sz w:val="20"/>
              </w:rPr>
              <w:t xml:space="preserve">(Cr$ million </w:t>
            </w:r>
            <w:r>
              <w:rPr>
                <w:kern w:val="2"/>
                <w:sz w:val="20"/>
              </w:rPr>
              <w:noBreakHyphen/>
            </w:r>
          </w:p>
          <w:p w:rsidR="00000000" w:rsidRDefault="00000000">
            <w:pPr>
              <w:spacing w:before="6" w:after="6"/>
              <w:rPr>
                <w:kern w:val="2"/>
                <w:sz w:val="20"/>
              </w:rPr>
            </w:pPr>
            <w:r>
              <w:rPr>
                <w:kern w:val="2"/>
                <w:sz w:val="20"/>
              </w:rPr>
              <w:t>June 1999)</w:t>
            </w:r>
          </w:p>
          <w:p w:rsidR="00000000" w:rsidRDefault="00000000">
            <w:pPr>
              <w:spacing w:before="6" w:after="6"/>
              <w:rPr>
                <w:kern w:val="2"/>
                <w:sz w:val="20"/>
              </w:rPr>
            </w:pPr>
            <w:r>
              <w:rPr>
                <w:kern w:val="2"/>
                <w:sz w:val="20"/>
              </w:rPr>
              <w:t>Accumulated</w:t>
            </w:r>
          </w:p>
          <w:p w:rsidR="00000000" w:rsidRDefault="00000000">
            <w:pPr>
              <w:spacing w:before="6" w:after="6"/>
              <w:rPr>
                <w:kern w:val="2"/>
                <w:sz w:val="20"/>
              </w:rPr>
            </w:pPr>
            <w:r>
              <w:rPr>
                <w:kern w:val="2"/>
                <w:sz w:val="20"/>
              </w:rPr>
              <w:t>in the year</w:t>
            </w:r>
          </w:p>
        </w:tc>
      </w:tr>
      <w:tr w:rsidR="00000000">
        <w:tblPrEx>
          <w:tblCellMar>
            <w:top w:w="0" w:type="dxa"/>
            <w:bottom w:w="0" w:type="dxa"/>
          </w:tblCellMar>
        </w:tblPrEx>
        <w:tc>
          <w:tcPr>
            <w:tcW w:w="709" w:type="dxa"/>
            <w:tcBorders>
              <w:bottom w:val="nil"/>
            </w:tcBorders>
          </w:tcPr>
          <w:p w:rsidR="00000000" w:rsidRDefault="00000000">
            <w:pPr>
              <w:spacing w:before="6" w:after="6"/>
              <w:jc w:val="center"/>
              <w:rPr>
                <w:kern w:val="2"/>
                <w:sz w:val="20"/>
              </w:rPr>
            </w:pPr>
            <w:r>
              <w:rPr>
                <w:kern w:val="2"/>
                <w:sz w:val="20"/>
              </w:rPr>
              <w:t>1995</w:t>
            </w:r>
          </w:p>
        </w:tc>
        <w:tc>
          <w:tcPr>
            <w:tcW w:w="1276" w:type="dxa"/>
            <w:tcBorders>
              <w:bottom w:val="nil"/>
            </w:tcBorders>
          </w:tcPr>
          <w:p w:rsidR="00000000" w:rsidRDefault="00000000">
            <w:pPr>
              <w:spacing w:before="6" w:after="6"/>
              <w:jc w:val="center"/>
              <w:rPr>
                <w:kern w:val="2"/>
                <w:sz w:val="20"/>
              </w:rPr>
            </w:pPr>
            <w:r>
              <w:rPr>
                <w:kern w:val="2"/>
                <w:sz w:val="20"/>
              </w:rPr>
              <w:t>2 029 989</w:t>
            </w:r>
          </w:p>
        </w:tc>
        <w:tc>
          <w:tcPr>
            <w:tcW w:w="1559" w:type="dxa"/>
            <w:tcBorders>
              <w:bottom w:val="nil"/>
            </w:tcBorders>
          </w:tcPr>
          <w:p w:rsidR="00000000" w:rsidRDefault="00000000">
            <w:pPr>
              <w:spacing w:before="6" w:after="6"/>
              <w:ind w:right="340"/>
              <w:jc w:val="right"/>
              <w:rPr>
                <w:kern w:val="2"/>
                <w:sz w:val="20"/>
              </w:rPr>
            </w:pPr>
            <w:r>
              <w:rPr>
                <w:kern w:val="2"/>
                <w:sz w:val="20"/>
              </w:rPr>
              <w:t>4 198.18</w:t>
            </w:r>
          </w:p>
        </w:tc>
        <w:tc>
          <w:tcPr>
            <w:tcW w:w="1276" w:type="dxa"/>
            <w:tcBorders>
              <w:bottom w:val="nil"/>
            </w:tcBorders>
          </w:tcPr>
          <w:p w:rsidR="00000000" w:rsidRDefault="00000000">
            <w:pPr>
              <w:spacing w:before="6" w:after="6"/>
              <w:jc w:val="center"/>
              <w:rPr>
                <w:kern w:val="2"/>
                <w:sz w:val="20"/>
              </w:rPr>
            </w:pPr>
            <w:r>
              <w:rPr>
                <w:kern w:val="2"/>
                <w:sz w:val="20"/>
              </w:rPr>
              <w:noBreakHyphen/>
            </w:r>
          </w:p>
        </w:tc>
        <w:tc>
          <w:tcPr>
            <w:tcW w:w="1559" w:type="dxa"/>
            <w:tcBorders>
              <w:bottom w:val="nil"/>
            </w:tcBorders>
          </w:tcPr>
          <w:p w:rsidR="00000000" w:rsidRDefault="00000000">
            <w:pPr>
              <w:spacing w:before="6" w:after="6"/>
              <w:jc w:val="center"/>
              <w:rPr>
                <w:kern w:val="2"/>
                <w:sz w:val="20"/>
              </w:rPr>
            </w:pPr>
            <w:r>
              <w:rPr>
                <w:kern w:val="2"/>
                <w:sz w:val="20"/>
              </w:rPr>
              <w:noBreakHyphen/>
            </w:r>
          </w:p>
        </w:tc>
        <w:tc>
          <w:tcPr>
            <w:tcW w:w="1418" w:type="dxa"/>
            <w:tcBorders>
              <w:bottom w:val="nil"/>
            </w:tcBorders>
          </w:tcPr>
          <w:p w:rsidR="00000000" w:rsidRDefault="00000000">
            <w:pPr>
              <w:spacing w:before="6" w:after="6"/>
              <w:jc w:val="center"/>
              <w:rPr>
                <w:kern w:val="2"/>
                <w:sz w:val="20"/>
              </w:rPr>
            </w:pPr>
            <w:r>
              <w:rPr>
                <w:kern w:val="2"/>
                <w:sz w:val="20"/>
              </w:rPr>
              <w:t>701 341</w:t>
            </w:r>
          </w:p>
        </w:tc>
        <w:tc>
          <w:tcPr>
            <w:tcW w:w="1559" w:type="dxa"/>
            <w:tcBorders>
              <w:bottom w:val="nil"/>
            </w:tcBorders>
          </w:tcPr>
          <w:p w:rsidR="00000000" w:rsidRDefault="00000000">
            <w:pPr>
              <w:spacing w:before="6" w:after="6"/>
              <w:ind w:right="454"/>
              <w:jc w:val="right"/>
              <w:rPr>
                <w:kern w:val="2"/>
                <w:sz w:val="20"/>
              </w:rPr>
            </w:pPr>
            <w:r>
              <w:rPr>
                <w:kern w:val="2"/>
                <w:sz w:val="20"/>
              </w:rPr>
              <w:t>1 358.19</w:t>
            </w:r>
          </w:p>
        </w:tc>
      </w:tr>
      <w:tr w:rsidR="00000000">
        <w:tblPrEx>
          <w:tblCellMar>
            <w:top w:w="0" w:type="dxa"/>
            <w:bottom w:w="0" w:type="dxa"/>
          </w:tblCellMar>
        </w:tblPrEx>
        <w:tc>
          <w:tcPr>
            <w:tcW w:w="709" w:type="dxa"/>
            <w:tcBorders>
              <w:top w:val="nil"/>
              <w:bottom w:val="nil"/>
            </w:tcBorders>
          </w:tcPr>
          <w:p w:rsidR="00000000" w:rsidRDefault="00000000">
            <w:pPr>
              <w:spacing w:before="6" w:after="6"/>
              <w:jc w:val="center"/>
              <w:rPr>
                <w:kern w:val="2"/>
                <w:sz w:val="20"/>
              </w:rPr>
            </w:pPr>
            <w:r>
              <w:rPr>
                <w:kern w:val="2"/>
                <w:sz w:val="20"/>
              </w:rPr>
              <w:t>1996</w:t>
            </w:r>
          </w:p>
        </w:tc>
        <w:tc>
          <w:tcPr>
            <w:tcW w:w="1276" w:type="dxa"/>
            <w:tcBorders>
              <w:top w:val="nil"/>
              <w:bottom w:val="nil"/>
            </w:tcBorders>
          </w:tcPr>
          <w:p w:rsidR="00000000" w:rsidRDefault="00000000">
            <w:pPr>
              <w:spacing w:before="6" w:after="6"/>
              <w:jc w:val="center"/>
              <w:rPr>
                <w:kern w:val="2"/>
                <w:sz w:val="20"/>
              </w:rPr>
            </w:pPr>
            <w:r>
              <w:rPr>
                <w:kern w:val="2"/>
                <w:sz w:val="20"/>
              </w:rPr>
              <w:t>2 033 998</w:t>
            </w:r>
          </w:p>
        </w:tc>
        <w:tc>
          <w:tcPr>
            <w:tcW w:w="1559" w:type="dxa"/>
            <w:tcBorders>
              <w:top w:val="nil"/>
              <w:bottom w:val="nil"/>
            </w:tcBorders>
          </w:tcPr>
          <w:p w:rsidR="00000000" w:rsidRDefault="00000000">
            <w:pPr>
              <w:spacing w:before="6" w:after="6"/>
              <w:ind w:right="340"/>
              <w:jc w:val="right"/>
              <w:rPr>
                <w:kern w:val="2"/>
                <w:sz w:val="20"/>
              </w:rPr>
            </w:pPr>
            <w:r>
              <w:rPr>
                <w:kern w:val="2"/>
                <w:sz w:val="20"/>
              </w:rPr>
              <w:t>4 346.19</w:t>
            </w:r>
          </w:p>
        </w:tc>
        <w:tc>
          <w:tcPr>
            <w:tcW w:w="1276" w:type="dxa"/>
            <w:tcBorders>
              <w:top w:val="nil"/>
              <w:bottom w:val="nil"/>
            </w:tcBorders>
          </w:tcPr>
          <w:p w:rsidR="00000000" w:rsidRDefault="00000000">
            <w:pPr>
              <w:spacing w:before="6" w:after="6"/>
              <w:ind w:right="284"/>
              <w:jc w:val="right"/>
              <w:rPr>
                <w:kern w:val="2"/>
                <w:sz w:val="20"/>
              </w:rPr>
            </w:pPr>
            <w:r>
              <w:rPr>
                <w:kern w:val="2"/>
                <w:sz w:val="20"/>
              </w:rPr>
              <w:t>304 227</w:t>
            </w:r>
          </w:p>
        </w:tc>
        <w:tc>
          <w:tcPr>
            <w:tcW w:w="1559" w:type="dxa"/>
            <w:tcBorders>
              <w:top w:val="nil"/>
              <w:bottom w:val="nil"/>
            </w:tcBorders>
          </w:tcPr>
          <w:p w:rsidR="00000000" w:rsidRDefault="00000000">
            <w:pPr>
              <w:spacing w:before="6" w:after="6"/>
              <w:ind w:right="454"/>
              <w:jc w:val="right"/>
              <w:rPr>
                <w:kern w:val="2"/>
                <w:sz w:val="20"/>
              </w:rPr>
            </w:pPr>
            <w:r>
              <w:rPr>
                <w:kern w:val="2"/>
                <w:sz w:val="20"/>
              </w:rPr>
              <w:t>166.12</w:t>
            </w:r>
          </w:p>
        </w:tc>
        <w:tc>
          <w:tcPr>
            <w:tcW w:w="1418" w:type="dxa"/>
            <w:tcBorders>
              <w:top w:val="nil"/>
              <w:bottom w:val="nil"/>
            </w:tcBorders>
          </w:tcPr>
          <w:p w:rsidR="00000000" w:rsidRDefault="00000000">
            <w:pPr>
              <w:spacing w:before="6" w:after="6"/>
              <w:jc w:val="center"/>
              <w:rPr>
                <w:kern w:val="2"/>
                <w:sz w:val="20"/>
              </w:rPr>
            </w:pPr>
            <w:r>
              <w:rPr>
                <w:kern w:val="2"/>
                <w:sz w:val="20"/>
              </w:rPr>
              <w:t>667 281</w:t>
            </w:r>
          </w:p>
        </w:tc>
        <w:tc>
          <w:tcPr>
            <w:tcW w:w="1559" w:type="dxa"/>
            <w:tcBorders>
              <w:top w:val="nil"/>
              <w:bottom w:val="nil"/>
            </w:tcBorders>
          </w:tcPr>
          <w:p w:rsidR="00000000" w:rsidRDefault="00000000">
            <w:pPr>
              <w:spacing w:before="6" w:after="6"/>
              <w:ind w:right="454"/>
              <w:jc w:val="right"/>
              <w:rPr>
                <w:kern w:val="2"/>
                <w:sz w:val="20"/>
              </w:rPr>
            </w:pPr>
            <w:r>
              <w:rPr>
                <w:kern w:val="2"/>
                <w:sz w:val="20"/>
              </w:rPr>
              <w:t>1 204.22</w:t>
            </w:r>
          </w:p>
        </w:tc>
      </w:tr>
      <w:tr w:rsidR="00000000">
        <w:tblPrEx>
          <w:tblCellMar>
            <w:top w:w="0" w:type="dxa"/>
            <w:bottom w:w="0" w:type="dxa"/>
          </w:tblCellMar>
        </w:tblPrEx>
        <w:tc>
          <w:tcPr>
            <w:tcW w:w="709" w:type="dxa"/>
            <w:tcBorders>
              <w:top w:val="nil"/>
              <w:bottom w:val="nil"/>
            </w:tcBorders>
          </w:tcPr>
          <w:p w:rsidR="00000000" w:rsidRDefault="00000000">
            <w:pPr>
              <w:spacing w:before="6" w:after="6"/>
              <w:jc w:val="center"/>
              <w:rPr>
                <w:kern w:val="2"/>
                <w:sz w:val="20"/>
              </w:rPr>
            </w:pPr>
            <w:r>
              <w:rPr>
                <w:kern w:val="2"/>
                <w:sz w:val="20"/>
              </w:rPr>
              <w:t>1997</w:t>
            </w:r>
          </w:p>
        </w:tc>
        <w:tc>
          <w:tcPr>
            <w:tcW w:w="1276" w:type="dxa"/>
            <w:tcBorders>
              <w:top w:val="nil"/>
              <w:bottom w:val="nil"/>
            </w:tcBorders>
          </w:tcPr>
          <w:p w:rsidR="00000000" w:rsidRDefault="00000000">
            <w:pPr>
              <w:spacing w:before="6" w:after="6"/>
              <w:jc w:val="center"/>
              <w:rPr>
                <w:kern w:val="2"/>
                <w:sz w:val="20"/>
              </w:rPr>
            </w:pPr>
            <w:r>
              <w:rPr>
                <w:kern w:val="2"/>
                <w:sz w:val="20"/>
              </w:rPr>
              <w:t>2 070 256</w:t>
            </w:r>
          </w:p>
        </w:tc>
        <w:tc>
          <w:tcPr>
            <w:tcW w:w="1559" w:type="dxa"/>
            <w:tcBorders>
              <w:top w:val="nil"/>
              <w:bottom w:val="nil"/>
            </w:tcBorders>
          </w:tcPr>
          <w:p w:rsidR="00000000" w:rsidRDefault="00000000">
            <w:pPr>
              <w:spacing w:before="6" w:after="6"/>
              <w:ind w:right="340"/>
              <w:jc w:val="right"/>
              <w:rPr>
                <w:kern w:val="2"/>
                <w:sz w:val="20"/>
              </w:rPr>
            </w:pPr>
            <w:r>
              <w:rPr>
                <w:kern w:val="2"/>
                <w:sz w:val="20"/>
              </w:rPr>
              <w:t>4 473.81</w:t>
            </w:r>
          </w:p>
        </w:tc>
        <w:tc>
          <w:tcPr>
            <w:tcW w:w="1276" w:type="dxa"/>
            <w:tcBorders>
              <w:top w:val="nil"/>
              <w:bottom w:val="nil"/>
            </w:tcBorders>
          </w:tcPr>
          <w:p w:rsidR="00000000" w:rsidRDefault="00000000">
            <w:pPr>
              <w:spacing w:before="6" w:after="6"/>
              <w:ind w:right="284"/>
              <w:jc w:val="right"/>
              <w:rPr>
                <w:kern w:val="2"/>
                <w:sz w:val="20"/>
              </w:rPr>
            </w:pPr>
            <w:r>
              <w:rPr>
                <w:kern w:val="2"/>
                <w:sz w:val="20"/>
              </w:rPr>
              <w:t>557 088</w:t>
            </w:r>
          </w:p>
        </w:tc>
        <w:tc>
          <w:tcPr>
            <w:tcW w:w="1559" w:type="dxa"/>
            <w:tcBorders>
              <w:top w:val="nil"/>
              <w:bottom w:val="nil"/>
            </w:tcBorders>
          </w:tcPr>
          <w:p w:rsidR="00000000" w:rsidRDefault="00000000">
            <w:pPr>
              <w:spacing w:before="6" w:after="6"/>
              <w:ind w:right="454"/>
              <w:jc w:val="right"/>
              <w:rPr>
                <w:kern w:val="2"/>
                <w:sz w:val="20"/>
              </w:rPr>
            </w:pPr>
            <w:r>
              <w:rPr>
                <w:kern w:val="2"/>
                <w:sz w:val="20"/>
              </w:rPr>
              <w:t>728.04</w:t>
            </w:r>
          </w:p>
        </w:tc>
        <w:tc>
          <w:tcPr>
            <w:tcW w:w="1418" w:type="dxa"/>
            <w:tcBorders>
              <w:top w:val="nil"/>
              <w:bottom w:val="nil"/>
            </w:tcBorders>
          </w:tcPr>
          <w:p w:rsidR="00000000" w:rsidRDefault="00000000">
            <w:pPr>
              <w:spacing w:before="6" w:after="6"/>
              <w:jc w:val="center"/>
              <w:rPr>
                <w:kern w:val="2"/>
                <w:sz w:val="20"/>
              </w:rPr>
            </w:pPr>
            <w:r>
              <w:rPr>
                <w:kern w:val="2"/>
                <w:sz w:val="20"/>
              </w:rPr>
              <w:t>626 497</w:t>
            </w:r>
          </w:p>
        </w:tc>
        <w:tc>
          <w:tcPr>
            <w:tcW w:w="1559" w:type="dxa"/>
            <w:tcBorders>
              <w:top w:val="nil"/>
              <w:bottom w:val="nil"/>
            </w:tcBorders>
          </w:tcPr>
          <w:p w:rsidR="00000000" w:rsidRDefault="00000000">
            <w:pPr>
              <w:spacing w:before="6" w:after="6"/>
              <w:ind w:right="454"/>
              <w:jc w:val="right"/>
              <w:rPr>
                <w:kern w:val="2"/>
                <w:sz w:val="20"/>
              </w:rPr>
            </w:pPr>
            <w:r>
              <w:rPr>
                <w:kern w:val="2"/>
                <w:sz w:val="20"/>
              </w:rPr>
              <w:t>983.66</w:t>
            </w:r>
          </w:p>
        </w:tc>
      </w:tr>
      <w:tr w:rsidR="00000000">
        <w:tblPrEx>
          <w:tblCellMar>
            <w:top w:w="0" w:type="dxa"/>
            <w:bottom w:w="0" w:type="dxa"/>
          </w:tblCellMar>
        </w:tblPrEx>
        <w:tc>
          <w:tcPr>
            <w:tcW w:w="709" w:type="dxa"/>
            <w:tcBorders>
              <w:top w:val="nil"/>
              <w:bottom w:val="nil"/>
            </w:tcBorders>
          </w:tcPr>
          <w:p w:rsidR="00000000" w:rsidRDefault="00000000">
            <w:pPr>
              <w:spacing w:before="6" w:after="6"/>
              <w:jc w:val="center"/>
              <w:rPr>
                <w:kern w:val="2"/>
                <w:sz w:val="20"/>
              </w:rPr>
            </w:pPr>
            <w:r>
              <w:rPr>
                <w:kern w:val="2"/>
                <w:sz w:val="20"/>
              </w:rPr>
              <w:t>1998</w:t>
            </w:r>
          </w:p>
        </w:tc>
        <w:tc>
          <w:tcPr>
            <w:tcW w:w="1276" w:type="dxa"/>
            <w:tcBorders>
              <w:top w:val="nil"/>
              <w:bottom w:val="nil"/>
            </w:tcBorders>
          </w:tcPr>
          <w:p w:rsidR="00000000" w:rsidRDefault="00000000">
            <w:pPr>
              <w:spacing w:before="6" w:after="6"/>
              <w:jc w:val="center"/>
              <w:rPr>
                <w:kern w:val="2"/>
                <w:sz w:val="20"/>
              </w:rPr>
            </w:pPr>
            <w:r>
              <w:rPr>
                <w:kern w:val="2"/>
                <w:sz w:val="20"/>
              </w:rPr>
              <w:t>2 114 690</w:t>
            </w:r>
          </w:p>
        </w:tc>
        <w:tc>
          <w:tcPr>
            <w:tcW w:w="1559" w:type="dxa"/>
            <w:tcBorders>
              <w:top w:val="nil"/>
              <w:bottom w:val="nil"/>
            </w:tcBorders>
          </w:tcPr>
          <w:p w:rsidR="00000000" w:rsidRDefault="00000000">
            <w:pPr>
              <w:spacing w:before="6" w:after="6"/>
              <w:ind w:right="340"/>
              <w:jc w:val="right"/>
              <w:rPr>
                <w:kern w:val="2"/>
                <w:sz w:val="20"/>
              </w:rPr>
            </w:pPr>
            <w:r>
              <w:rPr>
                <w:kern w:val="2"/>
                <w:sz w:val="20"/>
              </w:rPr>
              <w:t>4 782.24</w:t>
            </w:r>
          </w:p>
        </w:tc>
        <w:tc>
          <w:tcPr>
            <w:tcW w:w="1276" w:type="dxa"/>
            <w:tcBorders>
              <w:top w:val="nil"/>
              <w:bottom w:val="nil"/>
            </w:tcBorders>
          </w:tcPr>
          <w:p w:rsidR="00000000" w:rsidRDefault="00000000">
            <w:pPr>
              <w:spacing w:before="6" w:after="6"/>
              <w:ind w:right="284"/>
              <w:jc w:val="right"/>
              <w:rPr>
                <w:kern w:val="2"/>
                <w:sz w:val="20"/>
              </w:rPr>
            </w:pPr>
            <w:r>
              <w:rPr>
                <w:kern w:val="2"/>
                <w:sz w:val="20"/>
              </w:rPr>
              <w:t>641 268</w:t>
            </w:r>
          </w:p>
        </w:tc>
        <w:tc>
          <w:tcPr>
            <w:tcW w:w="1559" w:type="dxa"/>
            <w:tcBorders>
              <w:top w:val="nil"/>
              <w:bottom w:val="nil"/>
            </w:tcBorders>
          </w:tcPr>
          <w:p w:rsidR="00000000" w:rsidRDefault="00000000">
            <w:pPr>
              <w:spacing w:before="6" w:after="6"/>
              <w:ind w:right="454"/>
              <w:jc w:val="right"/>
              <w:rPr>
                <w:kern w:val="2"/>
                <w:sz w:val="20"/>
              </w:rPr>
            </w:pPr>
            <w:r>
              <w:rPr>
                <w:kern w:val="2"/>
                <w:sz w:val="20"/>
              </w:rPr>
              <w:t>949.93</w:t>
            </w:r>
          </w:p>
        </w:tc>
        <w:tc>
          <w:tcPr>
            <w:tcW w:w="1418" w:type="dxa"/>
            <w:tcBorders>
              <w:top w:val="nil"/>
              <w:bottom w:val="nil"/>
            </w:tcBorders>
          </w:tcPr>
          <w:p w:rsidR="00000000" w:rsidRDefault="00000000">
            <w:pPr>
              <w:spacing w:before="6" w:after="6"/>
              <w:jc w:val="center"/>
              <w:rPr>
                <w:kern w:val="2"/>
                <w:sz w:val="20"/>
              </w:rPr>
            </w:pPr>
            <w:r>
              <w:rPr>
                <w:kern w:val="2"/>
                <w:sz w:val="20"/>
              </w:rPr>
              <w:t>585 197</w:t>
            </w:r>
          </w:p>
        </w:tc>
        <w:tc>
          <w:tcPr>
            <w:tcW w:w="1559" w:type="dxa"/>
            <w:tcBorders>
              <w:top w:val="nil"/>
              <w:bottom w:val="nil"/>
            </w:tcBorders>
          </w:tcPr>
          <w:p w:rsidR="00000000" w:rsidRDefault="00000000">
            <w:pPr>
              <w:spacing w:before="6" w:after="6"/>
              <w:ind w:right="454"/>
              <w:jc w:val="right"/>
              <w:rPr>
                <w:kern w:val="2"/>
                <w:sz w:val="20"/>
              </w:rPr>
            </w:pPr>
            <w:r>
              <w:rPr>
                <w:kern w:val="2"/>
                <w:sz w:val="20"/>
              </w:rPr>
              <w:t>956.71</w:t>
            </w:r>
          </w:p>
        </w:tc>
      </w:tr>
      <w:tr w:rsidR="00000000">
        <w:tblPrEx>
          <w:tblCellMar>
            <w:top w:w="0" w:type="dxa"/>
            <w:bottom w:w="0" w:type="dxa"/>
          </w:tblCellMar>
        </w:tblPrEx>
        <w:tc>
          <w:tcPr>
            <w:tcW w:w="709" w:type="dxa"/>
            <w:tcBorders>
              <w:top w:val="nil"/>
            </w:tcBorders>
          </w:tcPr>
          <w:p w:rsidR="00000000" w:rsidRDefault="00000000">
            <w:pPr>
              <w:spacing w:before="6" w:after="6"/>
              <w:jc w:val="center"/>
              <w:rPr>
                <w:kern w:val="2"/>
                <w:sz w:val="20"/>
              </w:rPr>
            </w:pPr>
            <w:r>
              <w:rPr>
                <w:kern w:val="2"/>
                <w:sz w:val="20"/>
              </w:rPr>
              <w:t>1999</w:t>
            </w:r>
          </w:p>
        </w:tc>
        <w:tc>
          <w:tcPr>
            <w:tcW w:w="1276" w:type="dxa"/>
            <w:tcBorders>
              <w:top w:val="nil"/>
            </w:tcBorders>
          </w:tcPr>
          <w:p w:rsidR="00000000" w:rsidRDefault="00000000">
            <w:pPr>
              <w:spacing w:before="6" w:after="6"/>
              <w:jc w:val="center"/>
              <w:rPr>
                <w:kern w:val="2"/>
                <w:sz w:val="20"/>
              </w:rPr>
            </w:pPr>
            <w:r>
              <w:rPr>
                <w:kern w:val="2"/>
                <w:sz w:val="20"/>
              </w:rPr>
              <w:t>2 203 741</w:t>
            </w:r>
          </w:p>
        </w:tc>
        <w:tc>
          <w:tcPr>
            <w:tcW w:w="1559" w:type="dxa"/>
            <w:tcBorders>
              <w:top w:val="nil"/>
            </w:tcBorders>
          </w:tcPr>
          <w:p w:rsidR="00000000" w:rsidRDefault="00000000">
            <w:pPr>
              <w:spacing w:before="6" w:after="6"/>
              <w:ind w:right="340"/>
              <w:jc w:val="right"/>
              <w:rPr>
                <w:kern w:val="2"/>
                <w:sz w:val="20"/>
              </w:rPr>
            </w:pPr>
            <w:r>
              <w:rPr>
                <w:kern w:val="2"/>
                <w:sz w:val="20"/>
              </w:rPr>
              <w:t>5 101.08</w:t>
            </w:r>
          </w:p>
        </w:tc>
        <w:tc>
          <w:tcPr>
            <w:tcW w:w="1276" w:type="dxa"/>
            <w:tcBorders>
              <w:top w:val="nil"/>
            </w:tcBorders>
          </w:tcPr>
          <w:p w:rsidR="00000000" w:rsidRDefault="00000000">
            <w:pPr>
              <w:spacing w:before="6" w:after="6"/>
              <w:ind w:right="284"/>
              <w:jc w:val="right"/>
              <w:rPr>
                <w:kern w:val="2"/>
                <w:sz w:val="20"/>
              </w:rPr>
            </w:pPr>
            <w:r>
              <w:rPr>
                <w:kern w:val="2"/>
                <w:sz w:val="20"/>
              </w:rPr>
              <w:t>720 274</w:t>
            </w:r>
          </w:p>
        </w:tc>
        <w:tc>
          <w:tcPr>
            <w:tcW w:w="1559" w:type="dxa"/>
            <w:tcBorders>
              <w:top w:val="nil"/>
            </w:tcBorders>
          </w:tcPr>
          <w:p w:rsidR="00000000" w:rsidRDefault="00000000">
            <w:pPr>
              <w:spacing w:before="6" w:after="6"/>
              <w:ind w:right="454"/>
              <w:jc w:val="right"/>
              <w:rPr>
                <w:kern w:val="2"/>
                <w:sz w:val="20"/>
              </w:rPr>
            </w:pPr>
            <w:r>
              <w:rPr>
                <w:kern w:val="2"/>
                <w:sz w:val="20"/>
              </w:rPr>
              <w:t>1 098.66</w:t>
            </w:r>
          </w:p>
        </w:tc>
        <w:tc>
          <w:tcPr>
            <w:tcW w:w="1418" w:type="dxa"/>
            <w:tcBorders>
              <w:top w:val="nil"/>
            </w:tcBorders>
          </w:tcPr>
          <w:p w:rsidR="00000000" w:rsidRDefault="00000000">
            <w:pPr>
              <w:spacing w:before="6" w:after="6"/>
              <w:jc w:val="center"/>
              <w:rPr>
                <w:kern w:val="2"/>
                <w:sz w:val="20"/>
              </w:rPr>
            </w:pPr>
            <w:r>
              <w:rPr>
                <w:kern w:val="2"/>
                <w:sz w:val="20"/>
              </w:rPr>
              <w:t>547 693</w:t>
            </w:r>
          </w:p>
        </w:tc>
        <w:tc>
          <w:tcPr>
            <w:tcW w:w="1559" w:type="dxa"/>
            <w:tcBorders>
              <w:top w:val="nil"/>
            </w:tcBorders>
          </w:tcPr>
          <w:p w:rsidR="00000000" w:rsidRDefault="00000000">
            <w:pPr>
              <w:spacing w:before="6" w:after="6"/>
              <w:ind w:right="454"/>
              <w:jc w:val="right"/>
              <w:rPr>
                <w:kern w:val="2"/>
                <w:sz w:val="20"/>
              </w:rPr>
            </w:pPr>
            <w:r>
              <w:rPr>
                <w:kern w:val="2"/>
                <w:sz w:val="20"/>
              </w:rPr>
              <w:t>902.64</w:t>
            </w:r>
          </w:p>
        </w:tc>
      </w:tr>
    </w:tbl>
    <w:p w:rsidR="00000000" w:rsidRDefault="00000000">
      <w:pPr>
        <w:rPr>
          <w:b/>
          <w:kern w:val="20"/>
        </w:rPr>
      </w:pPr>
    </w:p>
    <w:p w:rsidR="00000000" w:rsidRDefault="00000000">
      <w:pPr>
        <w:rPr>
          <w:bCs/>
        </w:rPr>
      </w:pPr>
      <w:r>
        <w:rPr>
          <w:b/>
        </w:rPr>
        <w:tab/>
      </w:r>
      <w:r>
        <w:rPr>
          <w:bCs/>
          <w:u w:val="single"/>
        </w:rPr>
        <w:t>Source</w:t>
      </w:r>
      <w:r>
        <w:rPr>
          <w:bCs/>
        </w:rPr>
        <w:t xml:space="preserve">:  </w:t>
      </w:r>
      <w:r>
        <w:rPr>
          <w:bCs/>
          <w:u w:val="single"/>
        </w:rPr>
        <w:t>Anuário Estatístico da Previdência Social</w:t>
      </w:r>
      <w:r>
        <w:rPr>
          <w:bCs/>
        </w:rPr>
        <w:t xml:space="preserve"> and </w:t>
      </w:r>
      <w:r>
        <w:rPr>
          <w:bCs/>
          <w:u w:val="single"/>
        </w:rPr>
        <w:t>Boletim Estatístico da Previdência Social</w:t>
      </w:r>
      <w:r>
        <w:rPr>
          <w:bCs/>
        </w:rPr>
        <w:t>.</w:t>
      </w:r>
    </w:p>
    <w:p w:rsidR="00000000" w:rsidRDefault="00000000">
      <w:pPr>
        <w:rPr>
          <w:bCs/>
        </w:rPr>
      </w:pPr>
    </w:p>
    <w:p w:rsidR="00000000" w:rsidRDefault="00000000">
      <w:pPr>
        <w:rPr>
          <w:bCs/>
        </w:rPr>
      </w:pPr>
      <w:r>
        <w:rPr>
          <w:bCs/>
        </w:rPr>
        <w:tab/>
      </w:r>
      <w:r>
        <w:rPr>
          <w:bCs/>
          <w:u w:val="single"/>
        </w:rPr>
        <w:t>Notes</w:t>
      </w:r>
      <w:r>
        <w:rPr>
          <w:bCs/>
        </w:rPr>
        <w:t>:</w:t>
      </w:r>
    </w:p>
    <w:p w:rsidR="00000000" w:rsidRDefault="00000000">
      <w:pPr>
        <w:rPr>
          <w:bCs/>
        </w:rPr>
      </w:pPr>
    </w:p>
    <w:p w:rsidR="00000000" w:rsidRDefault="00000000">
      <w:pPr>
        <w:rPr>
          <w:bCs/>
        </w:rPr>
      </w:pPr>
      <w:r>
        <w:rPr>
          <w:bCs/>
        </w:rPr>
        <w:tab/>
      </w:r>
      <w:r>
        <w:rPr>
          <w:b/>
          <w:vertAlign w:val="superscript"/>
        </w:rPr>
        <w:t>1</w:t>
      </w:r>
      <w:r>
        <w:rPr>
          <w:b/>
        </w:rPr>
        <w:t xml:space="preserve">  </w:t>
      </w:r>
      <w:r>
        <w:rPr>
          <w:bCs/>
        </w:rPr>
        <w:t>The lifelong monthly income benefit was extinguished in January 1996.</w:t>
      </w:r>
    </w:p>
    <w:p w:rsidR="00000000" w:rsidRDefault="00000000">
      <w:pPr>
        <w:rPr>
          <w:bCs/>
        </w:rPr>
      </w:pPr>
    </w:p>
    <w:p w:rsidR="00000000" w:rsidRDefault="00000000">
      <w:pPr>
        <w:rPr>
          <w:bCs/>
        </w:rPr>
      </w:pPr>
      <w:r>
        <w:rPr>
          <w:bCs/>
        </w:rPr>
        <w:tab/>
      </w:r>
      <w:r>
        <w:rPr>
          <w:b/>
          <w:vertAlign w:val="superscript"/>
        </w:rPr>
        <w:t>2</w:t>
      </w:r>
      <w:r>
        <w:t xml:space="preserve">  </w:t>
      </w:r>
      <w:r>
        <w:rPr>
          <w:bCs/>
        </w:rPr>
        <w:t>Data from 1996 onwards is from the stock of existing benefits.</w:t>
      </w:r>
    </w:p>
    <w:p w:rsidR="00000000" w:rsidRDefault="00000000">
      <w:pPr>
        <w:rPr>
          <w:b/>
        </w:rPr>
      </w:pPr>
    </w:p>
    <w:p w:rsidR="00000000" w:rsidRDefault="00000000">
      <w:pPr>
        <w:rPr>
          <w:bCs/>
        </w:rPr>
      </w:pPr>
      <w:r>
        <w:rPr>
          <w:bCs/>
        </w:rPr>
        <w:tab/>
      </w:r>
      <w:r>
        <w:rPr>
          <w:b/>
          <w:vertAlign w:val="superscript"/>
        </w:rPr>
        <w:t>3</w:t>
      </w:r>
      <w:r>
        <w:t xml:space="preserve">  </w:t>
      </w:r>
      <w:r>
        <w:rPr>
          <w:bCs/>
        </w:rPr>
        <w:t xml:space="preserve">Legal standard:  Law No. 8213/91, LOAS </w:t>
      </w:r>
      <w:r>
        <w:rPr>
          <w:bCs/>
        </w:rPr>
        <w:noBreakHyphen/>
        <w:t xml:space="preserve"> Basic Social Welfare Law [</w:t>
      </w:r>
      <w:r>
        <w:rPr>
          <w:bCs/>
          <w:u w:val="single"/>
        </w:rPr>
        <w:t>Lei Orgânica da Assistência Social</w:t>
      </w:r>
      <w:r>
        <w:rPr>
          <w:bCs/>
        </w:rPr>
        <w:t>], article 2, Law No. 8742, dated 7 December 1993, Decree No. 1744, dated 18 December 1995.</w:t>
      </w:r>
    </w:p>
    <w:p w:rsidR="00000000" w:rsidRDefault="00000000">
      <w:pPr>
        <w:rPr>
          <w:b/>
        </w:rPr>
      </w:pPr>
    </w:p>
    <w:p w:rsidR="00000000" w:rsidRDefault="00000000">
      <w:pPr>
        <w:pStyle w:val="ParaNo"/>
        <w:tabs>
          <w:tab w:val="clear" w:pos="360"/>
          <w:tab w:val="clear" w:pos="737"/>
        </w:tabs>
        <w:ind w:left="0" w:firstLine="0"/>
        <w:rPr>
          <w:kern w:val="20"/>
          <w:lang w:val="en-GB"/>
        </w:rPr>
      </w:pPr>
      <w:r>
        <w:rPr>
          <w:kern w:val="20"/>
          <w:lang w:val="en-GB"/>
        </w:rPr>
        <w:t>In the case of death, the benefit is paid as a pension to the spouse/companion, children or parents of the pensioners or beneficiaries.  Children will only be entitled to receive the benefit if they are under 21 years old and provided that there is no spouse entitled to the pension.  The parents of the deceased, in turn, only receive the benefit if there is no spouse or children, and if there was a relationship of dependence.</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br w:type="page"/>
        <w:t>Tables 37 and 38 contain data referring to pensions for death paid in Brazil between 1995 and 1999 and employment injury benefits in the same period.</w:t>
      </w:r>
    </w:p>
    <w:p w:rsidR="00000000" w:rsidRDefault="00000000">
      <w:pPr>
        <w:rPr>
          <w:kern w:val="20"/>
        </w:rPr>
      </w:pPr>
    </w:p>
    <w:p w:rsidR="00000000" w:rsidRDefault="00000000">
      <w:pPr>
        <w:jc w:val="center"/>
        <w:rPr>
          <w:b/>
          <w:kern w:val="20"/>
        </w:rPr>
      </w:pPr>
      <w:r>
        <w:rPr>
          <w:b/>
          <w:kern w:val="20"/>
        </w:rPr>
        <w:t>Table 37</w:t>
      </w:r>
    </w:p>
    <w:p w:rsidR="00000000" w:rsidRDefault="00000000">
      <w:pPr>
        <w:jc w:val="center"/>
        <w:rPr>
          <w:b/>
          <w:kern w:val="20"/>
        </w:rPr>
      </w:pPr>
    </w:p>
    <w:p w:rsidR="00000000" w:rsidRDefault="00000000">
      <w:pPr>
        <w:jc w:val="center"/>
        <w:rPr>
          <w:b/>
          <w:kern w:val="20"/>
        </w:rPr>
      </w:pPr>
      <w:r>
        <w:rPr>
          <w:b/>
          <w:kern w:val="20"/>
        </w:rPr>
        <w:t>Death pensions, 1995</w:t>
      </w:r>
      <w:r>
        <w:rPr>
          <w:b/>
          <w:kern w:val="20"/>
        </w:rPr>
        <w:noBreakHyphen/>
        <w:t>1999</w:t>
      </w:r>
    </w:p>
    <w:p w:rsidR="00000000" w:rsidRDefault="00000000">
      <w:pPr>
        <w:jc w:val="center"/>
        <w:rPr>
          <w:b/>
          <w:kern w:val="20"/>
        </w:rPr>
      </w:pPr>
    </w:p>
    <w:tbl>
      <w:tblPr>
        <w:tblW w:w="0" w:type="auto"/>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2693"/>
        <w:gridCol w:w="3402"/>
      </w:tblGrid>
      <w:tr w:rsidR="00000000">
        <w:tblPrEx>
          <w:tblCellMar>
            <w:top w:w="0" w:type="dxa"/>
            <w:bottom w:w="0" w:type="dxa"/>
          </w:tblCellMar>
        </w:tblPrEx>
        <w:trPr>
          <w:cantSplit/>
        </w:trPr>
        <w:tc>
          <w:tcPr>
            <w:tcW w:w="1276" w:type="dxa"/>
            <w:tcBorders>
              <w:bottom w:val="single" w:sz="4" w:space="0" w:color="auto"/>
            </w:tcBorders>
          </w:tcPr>
          <w:p w:rsidR="00000000" w:rsidRDefault="00000000">
            <w:pPr>
              <w:spacing w:before="6" w:after="6"/>
              <w:jc w:val="center"/>
            </w:pPr>
            <w:r>
              <w:t>Year</w:t>
            </w:r>
          </w:p>
        </w:tc>
        <w:tc>
          <w:tcPr>
            <w:tcW w:w="2693" w:type="dxa"/>
            <w:tcBorders>
              <w:bottom w:val="single" w:sz="4" w:space="0" w:color="auto"/>
            </w:tcBorders>
          </w:tcPr>
          <w:p w:rsidR="00000000" w:rsidRDefault="00000000">
            <w:pPr>
              <w:spacing w:before="6" w:after="6"/>
              <w:jc w:val="center"/>
            </w:pPr>
            <w:r>
              <w:t>Quantity</w:t>
            </w:r>
          </w:p>
          <w:p w:rsidR="00000000" w:rsidRDefault="00000000">
            <w:pPr>
              <w:spacing w:before="6" w:after="6"/>
              <w:jc w:val="center"/>
            </w:pPr>
            <w:r>
              <w:t>December status</w:t>
            </w:r>
          </w:p>
        </w:tc>
        <w:tc>
          <w:tcPr>
            <w:tcW w:w="3402" w:type="dxa"/>
            <w:tcBorders>
              <w:bottom w:val="single" w:sz="4" w:space="0" w:color="auto"/>
            </w:tcBorders>
          </w:tcPr>
          <w:p w:rsidR="00000000" w:rsidRDefault="00000000">
            <w:pPr>
              <w:spacing w:before="6" w:after="6"/>
              <w:jc w:val="center"/>
            </w:pPr>
            <w:r>
              <w:t xml:space="preserve">Value (Cr$ million </w:t>
            </w:r>
            <w:r>
              <w:noBreakHyphen/>
              <w:t xml:space="preserve"> June 1999)</w:t>
            </w:r>
          </w:p>
          <w:p w:rsidR="00000000" w:rsidRDefault="00000000">
            <w:pPr>
              <w:spacing w:before="6" w:after="6"/>
              <w:jc w:val="center"/>
            </w:pPr>
            <w:r>
              <w:t>Accumulated in the year</w:t>
            </w:r>
          </w:p>
        </w:tc>
      </w:tr>
      <w:tr w:rsidR="00000000">
        <w:tblPrEx>
          <w:tblCellMar>
            <w:top w:w="0" w:type="dxa"/>
            <w:bottom w:w="0" w:type="dxa"/>
          </w:tblCellMar>
        </w:tblPrEx>
        <w:tc>
          <w:tcPr>
            <w:tcW w:w="1276" w:type="dxa"/>
            <w:tcBorders>
              <w:bottom w:val="nil"/>
            </w:tcBorders>
          </w:tcPr>
          <w:p w:rsidR="00000000" w:rsidRDefault="00000000">
            <w:pPr>
              <w:spacing w:before="6" w:after="6"/>
              <w:jc w:val="center"/>
            </w:pPr>
            <w:r>
              <w:t>1995</w:t>
            </w:r>
          </w:p>
        </w:tc>
        <w:tc>
          <w:tcPr>
            <w:tcW w:w="2693" w:type="dxa"/>
            <w:tcBorders>
              <w:bottom w:val="nil"/>
            </w:tcBorders>
          </w:tcPr>
          <w:p w:rsidR="00000000" w:rsidRDefault="00000000">
            <w:pPr>
              <w:spacing w:before="6" w:after="6"/>
              <w:jc w:val="center"/>
            </w:pPr>
            <w:r>
              <w:rPr>
                <w:snapToGrid w:val="0"/>
                <w:color w:val="000000"/>
                <w:lang w:eastAsia="pt-BR"/>
              </w:rPr>
              <w:t>4 235 420</w:t>
            </w:r>
          </w:p>
        </w:tc>
        <w:tc>
          <w:tcPr>
            <w:tcW w:w="3402" w:type="dxa"/>
            <w:tcBorders>
              <w:bottom w:val="nil"/>
            </w:tcBorders>
          </w:tcPr>
          <w:p w:rsidR="00000000" w:rsidRDefault="00000000">
            <w:pPr>
              <w:spacing w:before="6" w:after="6"/>
              <w:jc w:val="center"/>
            </w:pPr>
            <w:r>
              <w:rPr>
                <w:snapToGrid w:val="0"/>
                <w:color w:val="000000"/>
                <w:lang w:eastAsia="pt-BR"/>
              </w:rPr>
              <w:t>  9 678.22</w:t>
            </w:r>
          </w:p>
        </w:tc>
      </w:tr>
      <w:tr w:rsidR="00000000">
        <w:tblPrEx>
          <w:tblCellMar>
            <w:top w:w="0" w:type="dxa"/>
            <w:bottom w:w="0" w:type="dxa"/>
          </w:tblCellMar>
        </w:tblPrEx>
        <w:tc>
          <w:tcPr>
            <w:tcW w:w="1276" w:type="dxa"/>
            <w:tcBorders>
              <w:top w:val="nil"/>
              <w:bottom w:val="nil"/>
            </w:tcBorders>
          </w:tcPr>
          <w:p w:rsidR="00000000" w:rsidRDefault="00000000">
            <w:pPr>
              <w:spacing w:before="6" w:after="6"/>
              <w:jc w:val="center"/>
            </w:pPr>
            <w:r>
              <w:t>1996</w:t>
            </w:r>
          </w:p>
        </w:tc>
        <w:tc>
          <w:tcPr>
            <w:tcW w:w="2693" w:type="dxa"/>
            <w:tcBorders>
              <w:top w:val="nil"/>
              <w:bottom w:val="nil"/>
            </w:tcBorders>
          </w:tcPr>
          <w:p w:rsidR="00000000" w:rsidRDefault="00000000">
            <w:pPr>
              <w:spacing w:before="6" w:after="6"/>
              <w:jc w:val="center"/>
            </w:pPr>
            <w:r>
              <w:rPr>
                <w:snapToGrid w:val="0"/>
                <w:color w:val="000000"/>
                <w:lang w:eastAsia="pt-BR"/>
              </w:rPr>
              <w:t>4 394 420</w:t>
            </w:r>
          </w:p>
        </w:tc>
        <w:tc>
          <w:tcPr>
            <w:tcW w:w="3402" w:type="dxa"/>
            <w:tcBorders>
              <w:top w:val="nil"/>
              <w:bottom w:val="nil"/>
            </w:tcBorders>
          </w:tcPr>
          <w:p w:rsidR="00000000" w:rsidRDefault="00000000">
            <w:pPr>
              <w:spacing w:before="6" w:after="6"/>
              <w:jc w:val="center"/>
            </w:pPr>
            <w:r>
              <w:rPr>
                <w:snapToGrid w:val="0"/>
                <w:color w:val="000000"/>
                <w:lang w:eastAsia="pt-BR"/>
              </w:rPr>
              <w:t>10 401.00</w:t>
            </w:r>
          </w:p>
        </w:tc>
      </w:tr>
      <w:tr w:rsidR="00000000">
        <w:tblPrEx>
          <w:tblCellMar>
            <w:top w:w="0" w:type="dxa"/>
            <w:bottom w:w="0" w:type="dxa"/>
          </w:tblCellMar>
        </w:tblPrEx>
        <w:tc>
          <w:tcPr>
            <w:tcW w:w="1276" w:type="dxa"/>
            <w:tcBorders>
              <w:top w:val="nil"/>
              <w:bottom w:val="nil"/>
            </w:tcBorders>
          </w:tcPr>
          <w:p w:rsidR="00000000" w:rsidRDefault="00000000">
            <w:pPr>
              <w:spacing w:before="6" w:after="6"/>
              <w:jc w:val="center"/>
            </w:pPr>
            <w:r>
              <w:t>1997</w:t>
            </w:r>
          </w:p>
        </w:tc>
        <w:tc>
          <w:tcPr>
            <w:tcW w:w="2693" w:type="dxa"/>
            <w:tcBorders>
              <w:top w:val="nil"/>
              <w:bottom w:val="nil"/>
            </w:tcBorders>
          </w:tcPr>
          <w:p w:rsidR="00000000" w:rsidRDefault="00000000">
            <w:pPr>
              <w:spacing w:before="6" w:after="6"/>
              <w:jc w:val="center"/>
            </w:pPr>
            <w:r>
              <w:rPr>
                <w:snapToGrid w:val="0"/>
                <w:color w:val="000000"/>
                <w:lang w:eastAsia="pt-BR"/>
              </w:rPr>
              <w:t>4 585 501</w:t>
            </w:r>
          </w:p>
        </w:tc>
        <w:tc>
          <w:tcPr>
            <w:tcW w:w="3402" w:type="dxa"/>
            <w:tcBorders>
              <w:top w:val="nil"/>
              <w:bottom w:val="nil"/>
            </w:tcBorders>
          </w:tcPr>
          <w:p w:rsidR="00000000" w:rsidRDefault="00000000">
            <w:pPr>
              <w:spacing w:before="6" w:after="6"/>
              <w:jc w:val="center"/>
            </w:pPr>
            <w:r>
              <w:rPr>
                <w:snapToGrid w:val="0"/>
                <w:color w:val="000000"/>
                <w:lang w:eastAsia="pt-BR"/>
              </w:rPr>
              <w:t>11 066.07</w:t>
            </w:r>
          </w:p>
        </w:tc>
      </w:tr>
      <w:tr w:rsidR="00000000">
        <w:tblPrEx>
          <w:tblCellMar>
            <w:top w:w="0" w:type="dxa"/>
            <w:bottom w:w="0" w:type="dxa"/>
          </w:tblCellMar>
        </w:tblPrEx>
        <w:tc>
          <w:tcPr>
            <w:tcW w:w="1276" w:type="dxa"/>
            <w:tcBorders>
              <w:top w:val="nil"/>
              <w:bottom w:val="nil"/>
            </w:tcBorders>
          </w:tcPr>
          <w:p w:rsidR="00000000" w:rsidRDefault="00000000">
            <w:pPr>
              <w:spacing w:before="6" w:after="6"/>
              <w:jc w:val="center"/>
            </w:pPr>
            <w:r>
              <w:t>1998</w:t>
            </w:r>
          </w:p>
        </w:tc>
        <w:tc>
          <w:tcPr>
            <w:tcW w:w="2693" w:type="dxa"/>
            <w:tcBorders>
              <w:top w:val="nil"/>
              <w:bottom w:val="nil"/>
            </w:tcBorders>
          </w:tcPr>
          <w:p w:rsidR="00000000" w:rsidRDefault="00000000">
            <w:pPr>
              <w:spacing w:before="6" w:after="6"/>
              <w:jc w:val="center"/>
            </w:pPr>
            <w:r>
              <w:rPr>
                <w:snapToGrid w:val="0"/>
                <w:color w:val="000000"/>
                <w:lang w:eastAsia="pt-BR"/>
              </w:rPr>
              <w:t>4 714 454</w:t>
            </w:r>
          </w:p>
        </w:tc>
        <w:tc>
          <w:tcPr>
            <w:tcW w:w="3402" w:type="dxa"/>
            <w:tcBorders>
              <w:top w:val="nil"/>
              <w:bottom w:val="nil"/>
            </w:tcBorders>
          </w:tcPr>
          <w:p w:rsidR="00000000" w:rsidRDefault="00000000">
            <w:pPr>
              <w:spacing w:before="6" w:after="6"/>
              <w:jc w:val="center"/>
            </w:pPr>
            <w:r>
              <w:rPr>
                <w:snapToGrid w:val="0"/>
                <w:color w:val="000000"/>
                <w:lang w:eastAsia="pt-BR"/>
              </w:rPr>
              <w:t>12 090.27</w:t>
            </w:r>
          </w:p>
        </w:tc>
      </w:tr>
      <w:tr w:rsidR="00000000">
        <w:tblPrEx>
          <w:tblCellMar>
            <w:top w:w="0" w:type="dxa"/>
            <w:bottom w:w="0" w:type="dxa"/>
          </w:tblCellMar>
        </w:tblPrEx>
        <w:tc>
          <w:tcPr>
            <w:tcW w:w="1276" w:type="dxa"/>
            <w:tcBorders>
              <w:top w:val="nil"/>
            </w:tcBorders>
          </w:tcPr>
          <w:p w:rsidR="00000000" w:rsidRDefault="00000000">
            <w:pPr>
              <w:spacing w:before="6" w:after="6"/>
              <w:jc w:val="center"/>
            </w:pPr>
            <w:r>
              <w:t>1999</w:t>
            </w:r>
          </w:p>
        </w:tc>
        <w:tc>
          <w:tcPr>
            <w:tcW w:w="2693" w:type="dxa"/>
            <w:tcBorders>
              <w:top w:val="nil"/>
            </w:tcBorders>
          </w:tcPr>
          <w:p w:rsidR="00000000" w:rsidRDefault="00000000">
            <w:pPr>
              <w:spacing w:before="6" w:after="6"/>
              <w:jc w:val="center"/>
            </w:pPr>
            <w:r>
              <w:rPr>
                <w:snapToGrid w:val="0"/>
                <w:color w:val="000000"/>
                <w:lang w:eastAsia="pt-BR"/>
              </w:rPr>
              <w:t>4 872 300</w:t>
            </w:r>
          </w:p>
        </w:tc>
        <w:tc>
          <w:tcPr>
            <w:tcW w:w="3402" w:type="dxa"/>
            <w:tcBorders>
              <w:top w:val="nil"/>
            </w:tcBorders>
          </w:tcPr>
          <w:p w:rsidR="00000000" w:rsidRDefault="00000000">
            <w:pPr>
              <w:spacing w:before="6" w:after="6"/>
              <w:jc w:val="center"/>
            </w:pPr>
            <w:r>
              <w:rPr>
                <w:snapToGrid w:val="0"/>
                <w:color w:val="000000"/>
                <w:lang w:eastAsia="pt-BR"/>
              </w:rPr>
              <w:t>12 760.00</w:t>
            </w:r>
          </w:p>
        </w:tc>
      </w:tr>
    </w:tbl>
    <w:p w:rsidR="00000000" w:rsidRDefault="00000000">
      <w:pPr>
        <w:rPr>
          <w:bCs/>
        </w:rPr>
      </w:pPr>
    </w:p>
    <w:p w:rsidR="00000000" w:rsidRDefault="00000000">
      <w:pPr>
        <w:rPr>
          <w:bCs/>
          <w:u w:val="single"/>
        </w:rPr>
      </w:pPr>
      <w:r>
        <w:rPr>
          <w:b/>
        </w:rPr>
        <w:tab/>
      </w:r>
      <w:r>
        <w:rPr>
          <w:b/>
        </w:rPr>
        <w:tab/>
      </w:r>
      <w:r>
        <w:rPr>
          <w:bCs/>
          <w:u w:val="single"/>
        </w:rPr>
        <w:t>Source</w:t>
      </w:r>
      <w:r>
        <w:rPr>
          <w:bCs/>
        </w:rPr>
        <w:t xml:space="preserve">:  </w:t>
      </w:r>
      <w:r>
        <w:rPr>
          <w:bCs/>
          <w:u w:val="single"/>
        </w:rPr>
        <w:t>Anuário Estatístico da Previdência Social</w:t>
      </w:r>
      <w:r>
        <w:rPr>
          <w:bCs/>
        </w:rPr>
        <w:t xml:space="preserve"> and </w:t>
      </w:r>
      <w:r>
        <w:rPr>
          <w:bCs/>
          <w:u w:val="single"/>
        </w:rPr>
        <w:t xml:space="preserve">Boletim </w:t>
      </w:r>
    </w:p>
    <w:p w:rsidR="00000000" w:rsidRDefault="00000000">
      <w:pPr>
        <w:rPr>
          <w:bCs/>
        </w:rPr>
      </w:pPr>
      <w:r>
        <w:rPr>
          <w:bCs/>
        </w:rPr>
        <w:tab/>
      </w:r>
      <w:r>
        <w:rPr>
          <w:bCs/>
          <w:u w:val="single"/>
        </w:rPr>
        <w:t>Estatístico da Previdência Social</w:t>
      </w:r>
      <w:r>
        <w:rPr>
          <w:bCs/>
        </w:rPr>
        <w:t>.</w:t>
      </w:r>
    </w:p>
    <w:p w:rsidR="00000000" w:rsidRDefault="00000000">
      <w:pPr>
        <w:rPr>
          <w:bCs/>
        </w:rPr>
      </w:pPr>
    </w:p>
    <w:p w:rsidR="00000000" w:rsidRDefault="00000000">
      <w:pPr>
        <w:pStyle w:val="Heading1"/>
      </w:pPr>
      <w:r>
        <w:t>Table 38</w:t>
      </w:r>
    </w:p>
    <w:p w:rsidR="00000000" w:rsidRDefault="00000000">
      <w:pPr>
        <w:pStyle w:val="Heading1"/>
      </w:pPr>
    </w:p>
    <w:p w:rsidR="00000000" w:rsidRDefault="00000000">
      <w:pPr>
        <w:pStyle w:val="Heading1"/>
      </w:pPr>
      <w:r>
        <w:t>Employment injury benefits, 1995</w:t>
      </w:r>
      <w:r>
        <w:noBreakHyphen/>
        <w:t>1999</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7"/>
        <w:gridCol w:w="1176"/>
        <w:gridCol w:w="1701"/>
        <w:gridCol w:w="1134"/>
        <w:gridCol w:w="1701"/>
        <w:gridCol w:w="1276"/>
        <w:gridCol w:w="1701"/>
      </w:tblGrid>
      <w:tr w:rsidR="00000000">
        <w:tblPrEx>
          <w:tblCellMar>
            <w:top w:w="0" w:type="dxa"/>
            <w:bottom w:w="0" w:type="dxa"/>
          </w:tblCellMar>
        </w:tblPrEx>
        <w:trPr>
          <w:cantSplit/>
        </w:trPr>
        <w:tc>
          <w:tcPr>
            <w:tcW w:w="667" w:type="dxa"/>
            <w:vMerge w:val="restart"/>
            <w:vAlign w:val="center"/>
          </w:tcPr>
          <w:p w:rsidR="00000000" w:rsidRDefault="00000000">
            <w:pPr>
              <w:rPr>
                <w:sz w:val="20"/>
              </w:rPr>
            </w:pPr>
            <w:r>
              <w:rPr>
                <w:sz w:val="20"/>
              </w:rPr>
              <w:t>Year</w:t>
            </w:r>
          </w:p>
        </w:tc>
        <w:tc>
          <w:tcPr>
            <w:tcW w:w="2877" w:type="dxa"/>
            <w:gridSpan w:val="2"/>
          </w:tcPr>
          <w:p w:rsidR="00000000" w:rsidRDefault="00000000">
            <w:pPr>
              <w:jc w:val="center"/>
              <w:rPr>
                <w:sz w:val="20"/>
              </w:rPr>
            </w:pPr>
            <w:r>
              <w:rPr>
                <w:sz w:val="20"/>
              </w:rPr>
              <w:t>Disability compensation</w:t>
            </w:r>
          </w:p>
        </w:tc>
        <w:tc>
          <w:tcPr>
            <w:tcW w:w="2835" w:type="dxa"/>
            <w:gridSpan w:val="2"/>
          </w:tcPr>
          <w:p w:rsidR="00000000" w:rsidRDefault="00000000">
            <w:pPr>
              <w:jc w:val="center"/>
              <w:rPr>
                <w:sz w:val="20"/>
              </w:rPr>
            </w:pPr>
            <w:r>
              <w:rPr>
                <w:sz w:val="20"/>
              </w:rPr>
              <w:t>Invalid Pension</w:t>
            </w:r>
          </w:p>
        </w:tc>
        <w:tc>
          <w:tcPr>
            <w:tcW w:w="2977" w:type="dxa"/>
            <w:gridSpan w:val="2"/>
            <w:tcBorders>
              <w:right w:val="single" w:sz="4" w:space="0" w:color="auto"/>
            </w:tcBorders>
          </w:tcPr>
          <w:p w:rsidR="00000000" w:rsidRDefault="00000000">
            <w:pPr>
              <w:jc w:val="center"/>
            </w:pPr>
            <w:r>
              <w:rPr>
                <w:sz w:val="20"/>
              </w:rPr>
              <w:t>Disability Social Welfare</w:t>
            </w:r>
          </w:p>
        </w:tc>
      </w:tr>
      <w:tr w:rsidR="00000000">
        <w:tblPrEx>
          <w:tblCellMar>
            <w:top w:w="0" w:type="dxa"/>
            <w:bottom w:w="0" w:type="dxa"/>
          </w:tblCellMar>
        </w:tblPrEx>
        <w:trPr>
          <w:cantSplit/>
        </w:trPr>
        <w:tc>
          <w:tcPr>
            <w:tcW w:w="667" w:type="dxa"/>
            <w:vMerge/>
          </w:tcPr>
          <w:p w:rsidR="00000000" w:rsidRDefault="00000000">
            <w:pPr>
              <w:rPr>
                <w:sz w:val="20"/>
              </w:rPr>
            </w:pPr>
          </w:p>
        </w:tc>
        <w:tc>
          <w:tcPr>
            <w:tcW w:w="1176" w:type="dxa"/>
          </w:tcPr>
          <w:p w:rsidR="00000000" w:rsidRDefault="00000000">
            <w:pPr>
              <w:rPr>
                <w:sz w:val="20"/>
              </w:rPr>
            </w:pPr>
            <w:r>
              <w:rPr>
                <w:sz w:val="20"/>
              </w:rPr>
              <w:t>Quantity December status</w:t>
            </w:r>
          </w:p>
        </w:tc>
        <w:tc>
          <w:tcPr>
            <w:tcW w:w="1701" w:type="dxa"/>
          </w:tcPr>
          <w:p w:rsidR="00000000" w:rsidRDefault="00000000">
            <w:pPr>
              <w:rPr>
                <w:sz w:val="20"/>
              </w:rPr>
            </w:pPr>
            <w:r>
              <w:rPr>
                <w:sz w:val="20"/>
              </w:rPr>
              <w:t>Value</w:t>
            </w:r>
          </w:p>
          <w:p w:rsidR="00000000" w:rsidRDefault="00000000">
            <w:pPr>
              <w:rPr>
                <w:sz w:val="20"/>
              </w:rPr>
            </w:pPr>
            <w:r>
              <w:rPr>
                <w:sz w:val="20"/>
              </w:rPr>
              <w:t xml:space="preserve">(Cr$ million </w:t>
            </w:r>
            <w:r>
              <w:rPr>
                <w:sz w:val="20"/>
              </w:rPr>
              <w:noBreakHyphen/>
              <w:t xml:space="preserve"> June 1999) Accumulated in the year</w:t>
            </w:r>
          </w:p>
        </w:tc>
        <w:tc>
          <w:tcPr>
            <w:tcW w:w="1134" w:type="dxa"/>
          </w:tcPr>
          <w:p w:rsidR="00000000" w:rsidRDefault="00000000">
            <w:pPr>
              <w:rPr>
                <w:sz w:val="20"/>
              </w:rPr>
            </w:pPr>
            <w:r>
              <w:rPr>
                <w:sz w:val="20"/>
              </w:rPr>
              <w:t>Quantity December status</w:t>
            </w:r>
          </w:p>
        </w:tc>
        <w:tc>
          <w:tcPr>
            <w:tcW w:w="1701" w:type="dxa"/>
          </w:tcPr>
          <w:p w:rsidR="00000000" w:rsidRDefault="00000000">
            <w:pPr>
              <w:rPr>
                <w:sz w:val="20"/>
              </w:rPr>
            </w:pPr>
            <w:r>
              <w:rPr>
                <w:sz w:val="20"/>
              </w:rPr>
              <w:t xml:space="preserve">Value </w:t>
            </w:r>
          </w:p>
          <w:p w:rsidR="00000000" w:rsidRDefault="00000000">
            <w:pPr>
              <w:rPr>
                <w:sz w:val="20"/>
              </w:rPr>
            </w:pPr>
            <w:r>
              <w:rPr>
                <w:sz w:val="20"/>
              </w:rPr>
              <w:t xml:space="preserve">(Cr$ million </w:t>
            </w:r>
            <w:r>
              <w:rPr>
                <w:sz w:val="20"/>
              </w:rPr>
              <w:noBreakHyphen/>
              <w:t xml:space="preserve"> June 1999) Accumulated in the year</w:t>
            </w:r>
          </w:p>
        </w:tc>
        <w:tc>
          <w:tcPr>
            <w:tcW w:w="1276" w:type="dxa"/>
          </w:tcPr>
          <w:p w:rsidR="00000000" w:rsidRDefault="00000000">
            <w:pPr>
              <w:rPr>
                <w:sz w:val="20"/>
              </w:rPr>
            </w:pPr>
            <w:r>
              <w:rPr>
                <w:sz w:val="20"/>
              </w:rPr>
              <w:t>Quantity December status</w:t>
            </w:r>
          </w:p>
        </w:tc>
        <w:tc>
          <w:tcPr>
            <w:tcW w:w="1701" w:type="dxa"/>
            <w:tcBorders>
              <w:bottom w:val="single" w:sz="4" w:space="0" w:color="auto"/>
              <w:right w:val="single" w:sz="4" w:space="0" w:color="auto"/>
            </w:tcBorders>
          </w:tcPr>
          <w:p w:rsidR="00000000" w:rsidRDefault="00000000">
            <w:pPr>
              <w:rPr>
                <w:sz w:val="20"/>
              </w:rPr>
            </w:pPr>
            <w:r>
              <w:rPr>
                <w:sz w:val="20"/>
              </w:rPr>
              <w:t xml:space="preserve">Value </w:t>
            </w:r>
          </w:p>
          <w:p w:rsidR="00000000" w:rsidRDefault="00000000">
            <w:pPr>
              <w:rPr>
                <w:sz w:val="20"/>
              </w:rPr>
            </w:pPr>
            <w:r>
              <w:rPr>
                <w:sz w:val="20"/>
              </w:rPr>
              <w:t xml:space="preserve">(Cr$ million </w:t>
            </w:r>
            <w:r>
              <w:rPr>
                <w:sz w:val="20"/>
              </w:rPr>
              <w:noBreakHyphen/>
              <w:t xml:space="preserve"> June 1999) Accumulated in the year</w:t>
            </w:r>
          </w:p>
        </w:tc>
      </w:tr>
      <w:tr w:rsidR="00000000">
        <w:tblPrEx>
          <w:tblCellMar>
            <w:top w:w="0" w:type="dxa"/>
            <w:bottom w:w="0" w:type="dxa"/>
          </w:tblCellMar>
        </w:tblPrEx>
        <w:tc>
          <w:tcPr>
            <w:tcW w:w="667" w:type="dxa"/>
            <w:tcBorders>
              <w:bottom w:val="nil"/>
            </w:tcBorders>
          </w:tcPr>
          <w:p w:rsidR="00000000" w:rsidRDefault="00000000">
            <w:pPr>
              <w:rPr>
                <w:sz w:val="20"/>
              </w:rPr>
            </w:pPr>
            <w:r>
              <w:rPr>
                <w:sz w:val="20"/>
              </w:rPr>
              <w:t>1995</w:t>
            </w:r>
          </w:p>
        </w:tc>
        <w:tc>
          <w:tcPr>
            <w:tcW w:w="1176" w:type="dxa"/>
            <w:tcBorders>
              <w:bottom w:val="nil"/>
            </w:tcBorders>
          </w:tcPr>
          <w:p w:rsidR="00000000" w:rsidRDefault="00000000">
            <w:pPr>
              <w:jc w:val="center"/>
              <w:rPr>
                <w:sz w:val="20"/>
              </w:rPr>
            </w:pPr>
            <w:r>
              <w:rPr>
                <w:sz w:val="20"/>
              </w:rPr>
              <w:t>65 101</w:t>
            </w:r>
          </w:p>
        </w:tc>
        <w:tc>
          <w:tcPr>
            <w:tcW w:w="1701" w:type="dxa"/>
            <w:tcBorders>
              <w:bottom w:val="nil"/>
            </w:tcBorders>
          </w:tcPr>
          <w:p w:rsidR="00000000" w:rsidRDefault="00000000">
            <w:pPr>
              <w:jc w:val="center"/>
              <w:rPr>
                <w:sz w:val="20"/>
              </w:rPr>
            </w:pPr>
            <w:r>
              <w:rPr>
                <w:sz w:val="20"/>
              </w:rPr>
              <w:t>242.93</w:t>
            </w:r>
          </w:p>
        </w:tc>
        <w:tc>
          <w:tcPr>
            <w:tcW w:w="1134" w:type="dxa"/>
            <w:tcBorders>
              <w:bottom w:val="nil"/>
            </w:tcBorders>
          </w:tcPr>
          <w:p w:rsidR="00000000" w:rsidRDefault="00000000">
            <w:pPr>
              <w:ind w:right="227"/>
              <w:jc w:val="right"/>
              <w:rPr>
                <w:sz w:val="20"/>
              </w:rPr>
            </w:pPr>
            <w:r>
              <w:rPr>
                <w:sz w:val="20"/>
              </w:rPr>
              <w:t>85 168</w:t>
            </w:r>
          </w:p>
        </w:tc>
        <w:tc>
          <w:tcPr>
            <w:tcW w:w="1701" w:type="dxa"/>
            <w:tcBorders>
              <w:bottom w:val="nil"/>
            </w:tcBorders>
          </w:tcPr>
          <w:p w:rsidR="00000000" w:rsidRDefault="00000000">
            <w:pPr>
              <w:jc w:val="center"/>
              <w:rPr>
                <w:sz w:val="20"/>
              </w:rPr>
            </w:pPr>
            <w:r>
              <w:rPr>
                <w:sz w:val="20"/>
              </w:rPr>
              <w:t>245.52</w:t>
            </w:r>
          </w:p>
        </w:tc>
        <w:tc>
          <w:tcPr>
            <w:tcW w:w="1276" w:type="dxa"/>
            <w:tcBorders>
              <w:bottom w:val="nil"/>
            </w:tcBorders>
          </w:tcPr>
          <w:p w:rsidR="00000000" w:rsidRDefault="00000000">
            <w:pPr>
              <w:jc w:val="center"/>
              <w:rPr>
                <w:sz w:val="20"/>
              </w:rPr>
            </w:pPr>
            <w:r>
              <w:rPr>
                <w:sz w:val="20"/>
              </w:rPr>
              <w:t>197 503</w:t>
            </w:r>
          </w:p>
        </w:tc>
        <w:tc>
          <w:tcPr>
            <w:tcW w:w="1701" w:type="dxa"/>
            <w:tcBorders>
              <w:bottom w:val="nil"/>
              <w:right w:val="single" w:sz="4" w:space="0" w:color="auto"/>
            </w:tcBorders>
          </w:tcPr>
          <w:p w:rsidR="00000000" w:rsidRDefault="00000000">
            <w:pPr>
              <w:jc w:val="center"/>
              <w:rPr>
                <w:sz w:val="20"/>
              </w:rPr>
            </w:pPr>
            <w:r>
              <w:rPr>
                <w:sz w:val="20"/>
              </w:rPr>
              <w:t>252.32</w:t>
            </w:r>
          </w:p>
        </w:tc>
      </w:tr>
      <w:tr w:rsidR="00000000">
        <w:tblPrEx>
          <w:tblCellMar>
            <w:top w:w="0" w:type="dxa"/>
            <w:bottom w:w="0" w:type="dxa"/>
          </w:tblCellMar>
        </w:tblPrEx>
        <w:tc>
          <w:tcPr>
            <w:tcW w:w="667" w:type="dxa"/>
            <w:tcBorders>
              <w:top w:val="nil"/>
              <w:left w:val="single" w:sz="4" w:space="0" w:color="auto"/>
              <w:bottom w:val="nil"/>
            </w:tcBorders>
          </w:tcPr>
          <w:p w:rsidR="00000000" w:rsidRDefault="00000000">
            <w:pPr>
              <w:rPr>
                <w:sz w:val="20"/>
              </w:rPr>
            </w:pPr>
            <w:r>
              <w:rPr>
                <w:sz w:val="20"/>
              </w:rPr>
              <w:t>1996</w:t>
            </w:r>
          </w:p>
        </w:tc>
        <w:tc>
          <w:tcPr>
            <w:tcW w:w="1176" w:type="dxa"/>
            <w:tcBorders>
              <w:top w:val="nil"/>
              <w:bottom w:val="nil"/>
            </w:tcBorders>
          </w:tcPr>
          <w:p w:rsidR="00000000" w:rsidRDefault="00000000">
            <w:pPr>
              <w:jc w:val="center"/>
              <w:rPr>
                <w:sz w:val="20"/>
              </w:rPr>
            </w:pPr>
            <w:r>
              <w:rPr>
                <w:sz w:val="20"/>
              </w:rPr>
              <w:t>72 605</w:t>
            </w:r>
          </w:p>
        </w:tc>
        <w:tc>
          <w:tcPr>
            <w:tcW w:w="1701" w:type="dxa"/>
            <w:tcBorders>
              <w:top w:val="nil"/>
              <w:bottom w:val="nil"/>
            </w:tcBorders>
          </w:tcPr>
          <w:p w:rsidR="00000000" w:rsidRDefault="00000000">
            <w:pPr>
              <w:jc w:val="center"/>
              <w:rPr>
                <w:sz w:val="20"/>
              </w:rPr>
            </w:pPr>
            <w:r>
              <w:rPr>
                <w:sz w:val="20"/>
              </w:rPr>
              <w:t>307.21</w:t>
            </w:r>
          </w:p>
        </w:tc>
        <w:tc>
          <w:tcPr>
            <w:tcW w:w="1134" w:type="dxa"/>
            <w:tcBorders>
              <w:top w:val="nil"/>
              <w:bottom w:val="nil"/>
            </w:tcBorders>
          </w:tcPr>
          <w:p w:rsidR="00000000" w:rsidRDefault="00000000">
            <w:pPr>
              <w:ind w:right="227"/>
              <w:jc w:val="right"/>
              <w:rPr>
                <w:sz w:val="20"/>
              </w:rPr>
            </w:pPr>
            <w:r>
              <w:rPr>
                <w:sz w:val="20"/>
              </w:rPr>
              <w:t>88 748</w:t>
            </w:r>
          </w:p>
        </w:tc>
        <w:tc>
          <w:tcPr>
            <w:tcW w:w="1701" w:type="dxa"/>
            <w:tcBorders>
              <w:top w:val="nil"/>
              <w:bottom w:val="nil"/>
            </w:tcBorders>
          </w:tcPr>
          <w:p w:rsidR="00000000" w:rsidRDefault="00000000">
            <w:pPr>
              <w:jc w:val="center"/>
              <w:rPr>
                <w:sz w:val="20"/>
              </w:rPr>
            </w:pPr>
            <w:r>
              <w:rPr>
                <w:sz w:val="20"/>
              </w:rPr>
              <w:t>273.13</w:t>
            </w:r>
          </w:p>
        </w:tc>
        <w:tc>
          <w:tcPr>
            <w:tcW w:w="1276" w:type="dxa"/>
            <w:tcBorders>
              <w:top w:val="nil"/>
              <w:bottom w:val="nil"/>
            </w:tcBorders>
          </w:tcPr>
          <w:p w:rsidR="00000000" w:rsidRDefault="00000000">
            <w:pPr>
              <w:jc w:val="center"/>
              <w:rPr>
                <w:sz w:val="20"/>
              </w:rPr>
            </w:pPr>
            <w:r>
              <w:rPr>
                <w:sz w:val="20"/>
              </w:rPr>
              <w:t>210 110</w:t>
            </w:r>
          </w:p>
        </w:tc>
        <w:tc>
          <w:tcPr>
            <w:tcW w:w="1701" w:type="dxa"/>
            <w:tcBorders>
              <w:top w:val="nil"/>
              <w:bottom w:val="nil"/>
              <w:right w:val="single" w:sz="4" w:space="0" w:color="auto"/>
            </w:tcBorders>
          </w:tcPr>
          <w:p w:rsidR="00000000" w:rsidRDefault="00000000">
            <w:pPr>
              <w:jc w:val="center"/>
              <w:rPr>
                <w:sz w:val="20"/>
              </w:rPr>
            </w:pPr>
            <w:r>
              <w:rPr>
                <w:sz w:val="20"/>
              </w:rPr>
              <w:t>294.17</w:t>
            </w:r>
          </w:p>
        </w:tc>
      </w:tr>
      <w:tr w:rsidR="00000000">
        <w:tblPrEx>
          <w:tblCellMar>
            <w:top w:w="0" w:type="dxa"/>
            <w:bottom w:w="0" w:type="dxa"/>
          </w:tblCellMar>
        </w:tblPrEx>
        <w:tc>
          <w:tcPr>
            <w:tcW w:w="667" w:type="dxa"/>
            <w:tcBorders>
              <w:top w:val="nil"/>
              <w:left w:val="single" w:sz="4" w:space="0" w:color="auto"/>
              <w:bottom w:val="nil"/>
            </w:tcBorders>
          </w:tcPr>
          <w:p w:rsidR="00000000" w:rsidRDefault="00000000">
            <w:pPr>
              <w:rPr>
                <w:sz w:val="20"/>
              </w:rPr>
            </w:pPr>
            <w:r>
              <w:rPr>
                <w:sz w:val="20"/>
              </w:rPr>
              <w:t>1997</w:t>
            </w:r>
          </w:p>
        </w:tc>
        <w:tc>
          <w:tcPr>
            <w:tcW w:w="1176" w:type="dxa"/>
            <w:tcBorders>
              <w:top w:val="nil"/>
              <w:bottom w:val="nil"/>
            </w:tcBorders>
          </w:tcPr>
          <w:p w:rsidR="00000000" w:rsidRDefault="00000000">
            <w:pPr>
              <w:jc w:val="center"/>
              <w:rPr>
                <w:sz w:val="20"/>
              </w:rPr>
            </w:pPr>
            <w:r>
              <w:rPr>
                <w:sz w:val="20"/>
              </w:rPr>
              <w:t>79 495</w:t>
            </w:r>
          </w:p>
        </w:tc>
        <w:tc>
          <w:tcPr>
            <w:tcW w:w="1701" w:type="dxa"/>
            <w:tcBorders>
              <w:top w:val="nil"/>
              <w:bottom w:val="nil"/>
            </w:tcBorders>
          </w:tcPr>
          <w:p w:rsidR="00000000" w:rsidRDefault="00000000">
            <w:pPr>
              <w:jc w:val="center"/>
              <w:rPr>
                <w:sz w:val="20"/>
              </w:rPr>
            </w:pPr>
            <w:r>
              <w:rPr>
                <w:sz w:val="20"/>
              </w:rPr>
              <w:t>374.01</w:t>
            </w:r>
          </w:p>
        </w:tc>
        <w:tc>
          <w:tcPr>
            <w:tcW w:w="1134" w:type="dxa"/>
            <w:tcBorders>
              <w:top w:val="nil"/>
              <w:bottom w:val="nil"/>
            </w:tcBorders>
          </w:tcPr>
          <w:p w:rsidR="00000000" w:rsidRDefault="00000000">
            <w:pPr>
              <w:ind w:right="227"/>
              <w:jc w:val="right"/>
              <w:rPr>
                <w:sz w:val="20"/>
              </w:rPr>
            </w:pPr>
            <w:r>
              <w:rPr>
                <w:sz w:val="20"/>
              </w:rPr>
              <w:t>94 415</w:t>
            </w:r>
          </w:p>
        </w:tc>
        <w:tc>
          <w:tcPr>
            <w:tcW w:w="1701" w:type="dxa"/>
            <w:tcBorders>
              <w:top w:val="nil"/>
              <w:bottom w:val="nil"/>
            </w:tcBorders>
          </w:tcPr>
          <w:p w:rsidR="00000000" w:rsidRDefault="00000000">
            <w:pPr>
              <w:jc w:val="center"/>
              <w:rPr>
                <w:sz w:val="20"/>
              </w:rPr>
            </w:pPr>
            <w:r>
              <w:rPr>
                <w:sz w:val="20"/>
              </w:rPr>
              <w:t>307.45</w:t>
            </w:r>
          </w:p>
        </w:tc>
        <w:tc>
          <w:tcPr>
            <w:tcW w:w="1276" w:type="dxa"/>
            <w:tcBorders>
              <w:top w:val="nil"/>
              <w:bottom w:val="nil"/>
            </w:tcBorders>
          </w:tcPr>
          <w:p w:rsidR="00000000" w:rsidRDefault="00000000">
            <w:pPr>
              <w:jc w:val="center"/>
              <w:rPr>
                <w:sz w:val="20"/>
              </w:rPr>
            </w:pPr>
            <w:r>
              <w:rPr>
                <w:sz w:val="20"/>
              </w:rPr>
              <w:t>225 489</w:t>
            </w:r>
          </w:p>
        </w:tc>
        <w:tc>
          <w:tcPr>
            <w:tcW w:w="1701" w:type="dxa"/>
            <w:tcBorders>
              <w:top w:val="nil"/>
              <w:bottom w:val="nil"/>
              <w:right w:val="single" w:sz="4" w:space="0" w:color="auto"/>
            </w:tcBorders>
          </w:tcPr>
          <w:p w:rsidR="00000000" w:rsidRDefault="00000000">
            <w:pPr>
              <w:jc w:val="center"/>
              <w:rPr>
                <w:sz w:val="20"/>
              </w:rPr>
            </w:pPr>
            <w:r>
              <w:rPr>
                <w:sz w:val="20"/>
              </w:rPr>
              <w:t>353.16</w:t>
            </w:r>
          </w:p>
        </w:tc>
      </w:tr>
      <w:tr w:rsidR="00000000">
        <w:tblPrEx>
          <w:tblCellMar>
            <w:top w:w="0" w:type="dxa"/>
            <w:bottom w:w="0" w:type="dxa"/>
          </w:tblCellMar>
        </w:tblPrEx>
        <w:tc>
          <w:tcPr>
            <w:tcW w:w="667" w:type="dxa"/>
            <w:tcBorders>
              <w:top w:val="nil"/>
              <w:left w:val="single" w:sz="4" w:space="0" w:color="auto"/>
              <w:bottom w:val="nil"/>
            </w:tcBorders>
          </w:tcPr>
          <w:p w:rsidR="00000000" w:rsidRDefault="00000000">
            <w:pPr>
              <w:rPr>
                <w:sz w:val="20"/>
              </w:rPr>
            </w:pPr>
            <w:r>
              <w:rPr>
                <w:sz w:val="20"/>
              </w:rPr>
              <w:t>1998</w:t>
            </w:r>
          </w:p>
        </w:tc>
        <w:tc>
          <w:tcPr>
            <w:tcW w:w="1176" w:type="dxa"/>
            <w:tcBorders>
              <w:top w:val="nil"/>
              <w:bottom w:val="nil"/>
            </w:tcBorders>
          </w:tcPr>
          <w:p w:rsidR="00000000" w:rsidRDefault="00000000">
            <w:pPr>
              <w:jc w:val="center"/>
              <w:rPr>
                <w:sz w:val="20"/>
              </w:rPr>
            </w:pPr>
            <w:r>
              <w:rPr>
                <w:sz w:val="20"/>
              </w:rPr>
              <w:t>82 688</w:t>
            </w:r>
          </w:p>
        </w:tc>
        <w:tc>
          <w:tcPr>
            <w:tcW w:w="1701" w:type="dxa"/>
            <w:tcBorders>
              <w:top w:val="nil"/>
              <w:bottom w:val="nil"/>
            </w:tcBorders>
          </w:tcPr>
          <w:p w:rsidR="00000000" w:rsidRDefault="00000000">
            <w:pPr>
              <w:jc w:val="center"/>
              <w:rPr>
                <w:sz w:val="20"/>
              </w:rPr>
            </w:pPr>
            <w:r>
              <w:rPr>
                <w:sz w:val="20"/>
              </w:rPr>
              <w:t>419.61</w:t>
            </w:r>
          </w:p>
        </w:tc>
        <w:tc>
          <w:tcPr>
            <w:tcW w:w="1134" w:type="dxa"/>
            <w:tcBorders>
              <w:top w:val="nil"/>
              <w:bottom w:val="nil"/>
            </w:tcBorders>
          </w:tcPr>
          <w:p w:rsidR="00000000" w:rsidRDefault="00000000">
            <w:pPr>
              <w:ind w:right="227"/>
              <w:jc w:val="right"/>
              <w:rPr>
                <w:sz w:val="20"/>
              </w:rPr>
            </w:pPr>
            <w:r>
              <w:rPr>
                <w:sz w:val="20"/>
              </w:rPr>
              <w:t>98 789</w:t>
            </w:r>
          </w:p>
        </w:tc>
        <w:tc>
          <w:tcPr>
            <w:tcW w:w="1701" w:type="dxa"/>
            <w:tcBorders>
              <w:top w:val="nil"/>
              <w:bottom w:val="nil"/>
            </w:tcBorders>
          </w:tcPr>
          <w:p w:rsidR="00000000" w:rsidRDefault="00000000">
            <w:pPr>
              <w:jc w:val="center"/>
              <w:rPr>
                <w:sz w:val="20"/>
              </w:rPr>
            </w:pPr>
            <w:r>
              <w:rPr>
                <w:sz w:val="20"/>
              </w:rPr>
              <w:t>346.14</w:t>
            </w:r>
          </w:p>
        </w:tc>
        <w:tc>
          <w:tcPr>
            <w:tcW w:w="1276" w:type="dxa"/>
            <w:tcBorders>
              <w:top w:val="nil"/>
              <w:bottom w:val="nil"/>
            </w:tcBorders>
          </w:tcPr>
          <w:p w:rsidR="00000000" w:rsidRDefault="00000000">
            <w:pPr>
              <w:jc w:val="center"/>
              <w:rPr>
                <w:sz w:val="20"/>
              </w:rPr>
            </w:pPr>
            <w:r>
              <w:rPr>
                <w:sz w:val="20"/>
              </w:rPr>
              <w:t>235 570</w:t>
            </w:r>
          </w:p>
        </w:tc>
        <w:tc>
          <w:tcPr>
            <w:tcW w:w="1701" w:type="dxa"/>
            <w:tcBorders>
              <w:top w:val="nil"/>
              <w:bottom w:val="nil"/>
              <w:right w:val="single" w:sz="4" w:space="0" w:color="auto"/>
            </w:tcBorders>
          </w:tcPr>
          <w:p w:rsidR="00000000" w:rsidRDefault="00000000">
            <w:pPr>
              <w:jc w:val="center"/>
              <w:rPr>
                <w:sz w:val="20"/>
              </w:rPr>
            </w:pPr>
            <w:r>
              <w:rPr>
                <w:sz w:val="20"/>
              </w:rPr>
              <w:t>407.26</w:t>
            </w:r>
          </w:p>
        </w:tc>
      </w:tr>
      <w:tr w:rsidR="00000000">
        <w:tblPrEx>
          <w:tblCellMar>
            <w:top w:w="0" w:type="dxa"/>
            <w:bottom w:w="0" w:type="dxa"/>
          </w:tblCellMar>
        </w:tblPrEx>
        <w:tc>
          <w:tcPr>
            <w:tcW w:w="667" w:type="dxa"/>
            <w:tcBorders>
              <w:top w:val="nil"/>
            </w:tcBorders>
          </w:tcPr>
          <w:p w:rsidR="00000000" w:rsidRDefault="00000000">
            <w:pPr>
              <w:rPr>
                <w:sz w:val="20"/>
              </w:rPr>
            </w:pPr>
            <w:r>
              <w:rPr>
                <w:sz w:val="20"/>
              </w:rPr>
              <w:t>1999</w:t>
            </w:r>
          </w:p>
        </w:tc>
        <w:tc>
          <w:tcPr>
            <w:tcW w:w="1176" w:type="dxa"/>
            <w:tcBorders>
              <w:top w:val="nil"/>
            </w:tcBorders>
          </w:tcPr>
          <w:p w:rsidR="00000000" w:rsidRDefault="00000000">
            <w:pPr>
              <w:jc w:val="center"/>
              <w:rPr>
                <w:sz w:val="20"/>
              </w:rPr>
            </w:pPr>
            <w:r>
              <w:rPr>
                <w:sz w:val="20"/>
              </w:rPr>
              <w:t>77 347</w:t>
            </w:r>
          </w:p>
        </w:tc>
        <w:tc>
          <w:tcPr>
            <w:tcW w:w="1701" w:type="dxa"/>
            <w:tcBorders>
              <w:top w:val="nil"/>
            </w:tcBorders>
          </w:tcPr>
          <w:p w:rsidR="00000000" w:rsidRDefault="00000000">
            <w:pPr>
              <w:jc w:val="center"/>
              <w:rPr>
                <w:sz w:val="20"/>
              </w:rPr>
            </w:pPr>
            <w:r>
              <w:rPr>
                <w:sz w:val="20"/>
              </w:rPr>
              <w:t>422.29</w:t>
            </w:r>
          </w:p>
        </w:tc>
        <w:tc>
          <w:tcPr>
            <w:tcW w:w="1134" w:type="dxa"/>
            <w:tcBorders>
              <w:top w:val="nil"/>
            </w:tcBorders>
          </w:tcPr>
          <w:p w:rsidR="00000000" w:rsidRDefault="00000000">
            <w:pPr>
              <w:ind w:right="227"/>
              <w:jc w:val="right"/>
              <w:rPr>
                <w:sz w:val="20"/>
              </w:rPr>
            </w:pPr>
            <w:r>
              <w:rPr>
                <w:sz w:val="20"/>
              </w:rPr>
              <w:t>104 432</w:t>
            </w:r>
          </w:p>
        </w:tc>
        <w:tc>
          <w:tcPr>
            <w:tcW w:w="1701" w:type="dxa"/>
            <w:tcBorders>
              <w:top w:val="nil"/>
            </w:tcBorders>
          </w:tcPr>
          <w:p w:rsidR="00000000" w:rsidRDefault="00000000">
            <w:pPr>
              <w:jc w:val="center"/>
              <w:rPr>
                <w:sz w:val="20"/>
              </w:rPr>
            </w:pPr>
            <w:r>
              <w:rPr>
                <w:sz w:val="20"/>
              </w:rPr>
              <w:t>377.06</w:t>
            </w:r>
          </w:p>
        </w:tc>
        <w:tc>
          <w:tcPr>
            <w:tcW w:w="1276" w:type="dxa"/>
            <w:tcBorders>
              <w:top w:val="nil"/>
            </w:tcBorders>
          </w:tcPr>
          <w:p w:rsidR="00000000" w:rsidRDefault="00000000">
            <w:pPr>
              <w:jc w:val="center"/>
              <w:rPr>
                <w:sz w:val="20"/>
              </w:rPr>
            </w:pPr>
            <w:r>
              <w:rPr>
                <w:sz w:val="20"/>
              </w:rPr>
              <w:t>244 974</w:t>
            </w:r>
          </w:p>
        </w:tc>
        <w:tc>
          <w:tcPr>
            <w:tcW w:w="1701" w:type="dxa"/>
            <w:tcBorders>
              <w:top w:val="nil"/>
              <w:right w:val="single" w:sz="4" w:space="0" w:color="auto"/>
            </w:tcBorders>
          </w:tcPr>
          <w:p w:rsidR="00000000" w:rsidRDefault="00000000">
            <w:pPr>
              <w:jc w:val="center"/>
              <w:rPr>
                <w:sz w:val="20"/>
              </w:rPr>
            </w:pPr>
            <w:r>
              <w:rPr>
                <w:sz w:val="20"/>
              </w:rPr>
              <w:t>442.90</w:t>
            </w:r>
          </w:p>
        </w:tc>
      </w:tr>
    </w:tbl>
    <w:p w:rsidR="00000000" w:rsidRDefault="00000000"/>
    <w:p w:rsidR="00000000" w:rsidRDefault="00000000">
      <w:r>
        <w:tab/>
      </w:r>
      <w:r>
        <w:rPr>
          <w:u w:val="single"/>
        </w:rPr>
        <w:t>Source</w:t>
      </w:r>
      <w:r>
        <w:t xml:space="preserve">:  </w:t>
      </w:r>
      <w:r>
        <w:rPr>
          <w:u w:val="single"/>
        </w:rPr>
        <w:t>Anuário Estatístico da Previdência Social</w:t>
      </w:r>
      <w:r>
        <w:t xml:space="preserve"> and </w:t>
      </w:r>
      <w:r>
        <w:rPr>
          <w:u w:val="single"/>
        </w:rPr>
        <w:t>Boletim Estatístico da Previdência Social</w:t>
      </w:r>
      <w:r>
        <w:t>.</w:t>
      </w:r>
    </w:p>
    <w:p w:rsidR="00000000" w:rsidRDefault="00000000"/>
    <w:p w:rsidR="00000000" w:rsidRDefault="00000000">
      <w:pPr>
        <w:pStyle w:val="ParaNo"/>
        <w:tabs>
          <w:tab w:val="clear" w:pos="360"/>
          <w:tab w:val="clear" w:pos="737"/>
        </w:tabs>
        <w:rPr>
          <w:lang w:val="en-GB"/>
        </w:rPr>
      </w:pPr>
      <w:r>
        <w:rPr>
          <w:lang w:val="en-GB"/>
        </w:rPr>
        <w:t>The unemployment allowance is a benefit in the social security sphere that depends on funds from the Workers Aid Fund (FAT).  It was started in 1986 and is run by the Ministry of Labour.  The application for the allowance must be submitted by the dismissed worker from 7 to 120 days after being laid off to the Regional Labour Offices, national employment offices in the states (SINE), or to branches of the federal savings bank (Caixa Econômica Federal).</w:t>
      </w:r>
    </w:p>
    <w:p w:rsidR="00000000" w:rsidRDefault="00000000"/>
    <w:p w:rsidR="00000000" w:rsidRDefault="00000000">
      <w:pPr>
        <w:pStyle w:val="ParaNo"/>
        <w:tabs>
          <w:tab w:val="clear" w:pos="360"/>
          <w:tab w:val="clear" w:pos="737"/>
        </w:tabs>
        <w:ind w:left="0" w:firstLine="0"/>
        <w:rPr>
          <w:lang w:val="en-GB"/>
        </w:rPr>
      </w:pPr>
      <w:r>
        <w:rPr>
          <w:lang w:val="en-GB"/>
        </w:rPr>
        <w:t xml:space="preserve">The unemployment allowance applies to employees in the formal market who have been laid off without justification and are contributing to the official social security system.  It covers all categories of worker, except domestic employees.  It is granted to the unemployed who have been economically active at least 15 months in the last 24 months or for 6 months immediately </w:t>
      </w:r>
    </w:p>
    <w:p w:rsidR="00000000" w:rsidRDefault="00000000">
      <w:r>
        <w:br w:type="page"/>
        <w:t>before being laid off.  The number of payments varies from three to five, either in succession or alternating for every 16</w:t>
      </w:r>
      <w:r>
        <w:noBreakHyphen/>
        <w:t>month period; it also varies with the time of formal employment relationships in the previous 36 months.</w:t>
      </w:r>
    </w:p>
    <w:p w:rsidR="00000000" w:rsidRDefault="00000000"/>
    <w:p w:rsidR="00000000" w:rsidRDefault="00000000">
      <w:pPr>
        <w:pStyle w:val="ParaNo"/>
        <w:tabs>
          <w:tab w:val="clear" w:pos="360"/>
          <w:tab w:val="clear" w:pos="737"/>
        </w:tabs>
        <w:ind w:left="0" w:firstLine="0"/>
        <w:rPr>
          <w:lang w:val="en-GB"/>
        </w:rPr>
      </w:pPr>
      <w:r>
        <w:rPr>
          <w:lang w:val="en-GB"/>
        </w:rPr>
        <w:t>The value of the benefit varies from one to three minimum wages, depending on the income earned by the employee in the previous three months.  In 1997 federal outlay for the unemployment allowance was 0.40 per cent of GDP, covering around 65 per cent of employees laid off without justification.  Approximately 39 million allowances were granted between 1986 and 1998.</w:t>
      </w:r>
    </w:p>
    <w:p w:rsidR="00000000" w:rsidRDefault="00000000">
      <w:r>
        <w:t xml:space="preserve"> </w:t>
      </w:r>
    </w:p>
    <w:p w:rsidR="00000000" w:rsidRDefault="00000000">
      <w:pPr>
        <w:pStyle w:val="Heading1"/>
      </w:pPr>
      <w:r>
        <w:t>Table 39</w:t>
      </w:r>
    </w:p>
    <w:p w:rsidR="00000000" w:rsidRDefault="00000000">
      <w:pPr>
        <w:pStyle w:val="Heading1"/>
      </w:pPr>
    </w:p>
    <w:p w:rsidR="00000000" w:rsidRDefault="00000000">
      <w:pPr>
        <w:pStyle w:val="Heading1"/>
      </w:pPr>
      <w:r>
        <w:t xml:space="preserve">Unemployment allowance:  employment period </w:t>
      </w:r>
    </w:p>
    <w:p w:rsidR="00000000" w:rsidRDefault="00000000">
      <w:pPr>
        <w:pStyle w:val="Heading1"/>
      </w:pPr>
      <w:r>
        <w:t>and number of payments in 1997</w:t>
      </w:r>
    </w:p>
    <w:p w:rsidR="00000000" w:rsidRDefault="00000000"/>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6"/>
        <w:gridCol w:w="3828"/>
      </w:tblGrid>
      <w:tr w:rsidR="00000000">
        <w:tblPrEx>
          <w:tblCellMar>
            <w:top w:w="0" w:type="dxa"/>
            <w:bottom w:w="0" w:type="dxa"/>
          </w:tblCellMar>
        </w:tblPrEx>
        <w:tc>
          <w:tcPr>
            <w:tcW w:w="3826" w:type="dxa"/>
            <w:tcBorders>
              <w:bottom w:val="single" w:sz="4" w:space="0" w:color="auto"/>
            </w:tcBorders>
          </w:tcPr>
          <w:p w:rsidR="00000000" w:rsidRDefault="00000000">
            <w:pPr>
              <w:jc w:val="center"/>
            </w:pPr>
            <w:r>
              <w:t>Employment period</w:t>
            </w:r>
          </w:p>
        </w:tc>
        <w:tc>
          <w:tcPr>
            <w:tcW w:w="3828" w:type="dxa"/>
            <w:tcBorders>
              <w:bottom w:val="single" w:sz="4" w:space="0" w:color="auto"/>
            </w:tcBorders>
          </w:tcPr>
          <w:p w:rsidR="00000000" w:rsidRDefault="00000000">
            <w:pPr>
              <w:jc w:val="center"/>
            </w:pPr>
            <w:r>
              <w:t>Number of payments</w:t>
            </w:r>
          </w:p>
        </w:tc>
      </w:tr>
      <w:tr w:rsidR="00000000">
        <w:tblPrEx>
          <w:tblCellMar>
            <w:top w:w="0" w:type="dxa"/>
            <w:bottom w:w="0" w:type="dxa"/>
          </w:tblCellMar>
        </w:tblPrEx>
        <w:tc>
          <w:tcPr>
            <w:tcW w:w="3826" w:type="dxa"/>
            <w:tcBorders>
              <w:bottom w:val="nil"/>
            </w:tcBorders>
          </w:tcPr>
          <w:p w:rsidR="00000000" w:rsidRDefault="00000000">
            <w:pPr>
              <w:ind w:right="1304"/>
              <w:jc w:val="right"/>
            </w:pPr>
            <w:r>
              <w:t>24 months</w:t>
            </w:r>
          </w:p>
        </w:tc>
        <w:tc>
          <w:tcPr>
            <w:tcW w:w="3828" w:type="dxa"/>
            <w:tcBorders>
              <w:bottom w:val="nil"/>
            </w:tcBorders>
          </w:tcPr>
          <w:p w:rsidR="00000000" w:rsidRDefault="00000000">
            <w:pPr>
              <w:jc w:val="center"/>
            </w:pPr>
            <w:r>
              <w:t>5</w:t>
            </w:r>
          </w:p>
        </w:tc>
      </w:tr>
      <w:tr w:rsidR="00000000">
        <w:tblPrEx>
          <w:tblCellMar>
            <w:top w:w="0" w:type="dxa"/>
            <w:bottom w:w="0" w:type="dxa"/>
          </w:tblCellMar>
        </w:tblPrEx>
        <w:tc>
          <w:tcPr>
            <w:tcW w:w="3826" w:type="dxa"/>
            <w:tcBorders>
              <w:top w:val="nil"/>
              <w:bottom w:val="nil"/>
            </w:tcBorders>
          </w:tcPr>
          <w:p w:rsidR="00000000" w:rsidRDefault="00000000">
            <w:pPr>
              <w:ind w:right="1304"/>
              <w:jc w:val="right"/>
            </w:pPr>
            <w:r>
              <w:t>12</w:t>
            </w:r>
            <w:r>
              <w:noBreakHyphen/>
              <w:t>24 months</w:t>
            </w:r>
          </w:p>
        </w:tc>
        <w:tc>
          <w:tcPr>
            <w:tcW w:w="3828" w:type="dxa"/>
            <w:tcBorders>
              <w:top w:val="nil"/>
              <w:bottom w:val="nil"/>
            </w:tcBorders>
          </w:tcPr>
          <w:p w:rsidR="00000000" w:rsidRDefault="00000000">
            <w:pPr>
              <w:jc w:val="center"/>
            </w:pPr>
            <w:r>
              <w:t>4</w:t>
            </w:r>
          </w:p>
        </w:tc>
      </w:tr>
      <w:tr w:rsidR="00000000">
        <w:tblPrEx>
          <w:tblCellMar>
            <w:top w:w="0" w:type="dxa"/>
            <w:bottom w:w="0" w:type="dxa"/>
          </w:tblCellMar>
        </w:tblPrEx>
        <w:tc>
          <w:tcPr>
            <w:tcW w:w="3826" w:type="dxa"/>
            <w:tcBorders>
              <w:top w:val="nil"/>
            </w:tcBorders>
          </w:tcPr>
          <w:p w:rsidR="00000000" w:rsidRDefault="00000000">
            <w:pPr>
              <w:ind w:right="1304"/>
              <w:jc w:val="right"/>
            </w:pPr>
            <w:r>
              <w:t>6</w:t>
            </w:r>
            <w:r>
              <w:noBreakHyphen/>
              <w:t>11 months</w:t>
            </w:r>
          </w:p>
        </w:tc>
        <w:tc>
          <w:tcPr>
            <w:tcW w:w="3828" w:type="dxa"/>
            <w:tcBorders>
              <w:top w:val="nil"/>
            </w:tcBorders>
          </w:tcPr>
          <w:p w:rsidR="00000000" w:rsidRDefault="00000000">
            <w:pPr>
              <w:jc w:val="center"/>
            </w:pPr>
            <w:r>
              <w:t>3</w:t>
            </w:r>
          </w:p>
        </w:tc>
      </w:tr>
    </w:tbl>
    <w:p w:rsidR="00000000" w:rsidRDefault="00000000"/>
    <w:p w:rsidR="00000000" w:rsidRDefault="00000000">
      <w:pPr>
        <w:pStyle w:val="Heading1"/>
      </w:pPr>
      <w:r>
        <w:t>Table 40</w:t>
      </w:r>
    </w:p>
    <w:p w:rsidR="00000000" w:rsidRDefault="00000000">
      <w:pPr>
        <w:pStyle w:val="Heading1"/>
      </w:pPr>
    </w:p>
    <w:p w:rsidR="00000000" w:rsidRDefault="00000000">
      <w:pPr>
        <w:pStyle w:val="Heading1"/>
      </w:pPr>
      <w:r>
        <w:t xml:space="preserve">Unemployment allowance:  federal outlay and </w:t>
      </w:r>
    </w:p>
    <w:p w:rsidR="00000000" w:rsidRDefault="00000000">
      <w:pPr>
        <w:pStyle w:val="Heading1"/>
      </w:pPr>
      <w:r>
        <w:t>number of beneficiaries in 1997</w:t>
      </w:r>
    </w:p>
    <w:p w:rsidR="00000000" w:rsidRDefault="00000000">
      <w:pPr>
        <w:keepNex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Borders>
              <w:bottom w:val="single" w:sz="4" w:space="0" w:color="auto"/>
            </w:tcBorders>
          </w:tcPr>
          <w:p w:rsidR="00000000" w:rsidRDefault="00000000">
            <w:pPr>
              <w:keepNext/>
              <w:jc w:val="center"/>
            </w:pPr>
            <w:r>
              <w:t>Year</w:t>
            </w:r>
          </w:p>
        </w:tc>
        <w:tc>
          <w:tcPr>
            <w:tcW w:w="2393" w:type="dxa"/>
            <w:tcBorders>
              <w:bottom w:val="single" w:sz="4" w:space="0" w:color="auto"/>
            </w:tcBorders>
          </w:tcPr>
          <w:p w:rsidR="00000000" w:rsidRDefault="00000000">
            <w:pPr>
              <w:keepNext/>
              <w:jc w:val="center"/>
            </w:pPr>
            <w:r>
              <w:t>Outlay (in Cr$ 000)</w:t>
            </w:r>
          </w:p>
        </w:tc>
        <w:tc>
          <w:tcPr>
            <w:tcW w:w="2393" w:type="dxa"/>
            <w:tcBorders>
              <w:bottom w:val="single" w:sz="4" w:space="0" w:color="auto"/>
            </w:tcBorders>
          </w:tcPr>
          <w:p w:rsidR="00000000" w:rsidRDefault="00000000">
            <w:pPr>
              <w:keepNext/>
              <w:jc w:val="center"/>
            </w:pPr>
            <w:r>
              <w:t>% GDP</w:t>
            </w:r>
          </w:p>
        </w:tc>
        <w:tc>
          <w:tcPr>
            <w:tcW w:w="2286" w:type="dxa"/>
            <w:tcBorders>
              <w:bottom w:val="single" w:sz="4" w:space="0" w:color="auto"/>
            </w:tcBorders>
          </w:tcPr>
          <w:p w:rsidR="00000000" w:rsidRDefault="00000000">
            <w:pPr>
              <w:keepNext/>
              <w:jc w:val="center"/>
            </w:pPr>
            <w:r>
              <w:t>Beneficiaries</w:t>
            </w:r>
          </w:p>
        </w:tc>
      </w:tr>
      <w:tr w:rsidR="00000000">
        <w:tblPrEx>
          <w:tblCellMar>
            <w:top w:w="0" w:type="dxa"/>
            <w:bottom w:w="0" w:type="dxa"/>
          </w:tblCellMar>
        </w:tblPrEx>
        <w:tc>
          <w:tcPr>
            <w:tcW w:w="2284" w:type="dxa"/>
            <w:tcBorders>
              <w:bottom w:val="nil"/>
            </w:tcBorders>
          </w:tcPr>
          <w:p w:rsidR="00000000" w:rsidRDefault="00000000">
            <w:pPr>
              <w:keepNext/>
              <w:jc w:val="center"/>
            </w:pPr>
            <w:r>
              <w:t>1994</w:t>
            </w:r>
          </w:p>
        </w:tc>
        <w:tc>
          <w:tcPr>
            <w:tcW w:w="2393" w:type="dxa"/>
            <w:tcBorders>
              <w:bottom w:val="nil"/>
            </w:tcBorders>
          </w:tcPr>
          <w:p w:rsidR="00000000" w:rsidRDefault="00000000">
            <w:pPr>
              <w:keepNext/>
              <w:jc w:val="center"/>
            </w:pPr>
            <w:r>
              <w:t>1 547 498</w:t>
            </w:r>
          </w:p>
        </w:tc>
        <w:tc>
          <w:tcPr>
            <w:tcW w:w="2393" w:type="dxa"/>
            <w:tcBorders>
              <w:bottom w:val="nil"/>
            </w:tcBorders>
          </w:tcPr>
          <w:p w:rsidR="00000000" w:rsidRDefault="00000000">
            <w:pPr>
              <w:keepNext/>
              <w:jc w:val="center"/>
            </w:pPr>
            <w:r>
              <w:t>0.44</w:t>
            </w:r>
          </w:p>
        </w:tc>
        <w:tc>
          <w:tcPr>
            <w:tcW w:w="2286" w:type="dxa"/>
            <w:tcBorders>
              <w:bottom w:val="nil"/>
            </w:tcBorders>
          </w:tcPr>
          <w:p w:rsidR="00000000" w:rsidRDefault="00000000">
            <w:pPr>
              <w:keepNext/>
              <w:jc w:val="center"/>
            </w:pPr>
            <w:r>
              <w:t>4 030 799</w:t>
            </w:r>
          </w:p>
        </w:tc>
      </w:tr>
      <w:tr w:rsidR="00000000">
        <w:tblPrEx>
          <w:tblCellMar>
            <w:top w:w="0" w:type="dxa"/>
            <w:bottom w:w="0" w:type="dxa"/>
          </w:tblCellMar>
        </w:tblPrEx>
        <w:tc>
          <w:tcPr>
            <w:tcW w:w="2284" w:type="dxa"/>
            <w:tcBorders>
              <w:top w:val="nil"/>
              <w:bottom w:val="nil"/>
            </w:tcBorders>
          </w:tcPr>
          <w:p w:rsidR="00000000" w:rsidRDefault="00000000">
            <w:pPr>
              <w:keepNext/>
              <w:jc w:val="center"/>
            </w:pPr>
            <w:r>
              <w:t>1995</w:t>
            </w:r>
          </w:p>
        </w:tc>
        <w:tc>
          <w:tcPr>
            <w:tcW w:w="2393" w:type="dxa"/>
            <w:tcBorders>
              <w:top w:val="nil"/>
              <w:bottom w:val="nil"/>
            </w:tcBorders>
          </w:tcPr>
          <w:p w:rsidR="00000000" w:rsidRDefault="00000000">
            <w:pPr>
              <w:keepNext/>
              <w:jc w:val="center"/>
            </w:pPr>
            <w:r>
              <w:t>2 898 878</w:t>
            </w:r>
          </w:p>
        </w:tc>
        <w:tc>
          <w:tcPr>
            <w:tcW w:w="2393" w:type="dxa"/>
            <w:tcBorders>
              <w:top w:val="nil"/>
              <w:bottom w:val="nil"/>
            </w:tcBorders>
          </w:tcPr>
          <w:p w:rsidR="00000000" w:rsidRDefault="00000000">
            <w:pPr>
              <w:keepNext/>
              <w:jc w:val="center"/>
            </w:pPr>
            <w:r>
              <w:t>0.45</w:t>
            </w:r>
          </w:p>
        </w:tc>
        <w:tc>
          <w:tcPr>
            <w:tcW w:w="2286" w:type="dxa"/>
            <w:tcBorders>
              <w:top w:val="nil"/>
              <w:bottom w:val="nil"/>
            </w:tcBorders>
          </w:tcPr>
          <w:p w:rsidR="00000000" w:rsidRDefault="00000000">
            <w:pPr>
              <w:keepNext/>
              <w:jc w:val="center"/>
            </w:pPr>
            <w:r>
              <w:t>4 738 528</w:t>
            </w:r>
          </w:p>
        </w:tc>
      </w:tr>
      <w:tr w:rsidR="00000000">
        <w:tblPrEx>
          <w:tblCellMar>
            <w:top w:w="0" w:type="dxa"/>
            <w:bottom w:w="0" w:type="dxa"/>
          </w:tblCellMar>
        </w:tblPrEx>
        <w:tc>
          <w:tcPr>
            <w:tcW w:w="2284" w:type="dxa"/>
            <w:tcBorders>
              <w:top w:val="nil"/>
              <w:bottom w:val="nil"/>
            </w:tcBorders>
          </w:tcPr>
          <w:p w:rsidR="00000000" w:rsidRDefault="00000000">
            <w:pPr>
              <w:keepNext/>
              <w:jc w:val="center"/>
            </w:pPr>
            <w:r>
              <w:t>1996</w:t>
            </w:r>
          </w:p>
        </w:tc>
        <w:tc>
          <w:tcPr>
            <w:tcW w:w="2393" w:type="dxa"/>
            <w:tcBorders>
              <w:top w:val="nil"/>
              <w:bottom w:val="nil"/>
            </w:tcBorders>
          </w:tcPr>
          <w:p w:rsidR="00000000" w:rsidRDefault="00000000">
            <w:pPr>
              <w:keepNext/>
              <w:jc w:val="center"/>
            </w:pPr>
            <w:r>
              <w:t>3 309 167</w:t>
            </w:r>
          </w:p>
        </w:tc>
        <w:tc>
          <w:tcPr>
            <w:tcW w:w="2393" w:type="dxa"/>
            <w:tcBorders>
              <w:top w:val="nil"/>
              <w:bottom w:val="nil"/>
            </w:tcBorders>
          </w:tcPr>
          <w:p w:rsidR="00000000" w:rsidRDefault="00000000">
            <w:pPr>
              <w:keepNext/>
              <w:jc w:val="center"/>
            </w:pPr>
            <w:r>
              <w:t>0.42</w:t>
            </w:r>
          </w:p>
        </w:tc>
        <w:tc>
          <w:tcPr>
            <w:tcW w:w="2286" w:type="dxa"/>
            <w:tcBorders>
              <w:top w:val="nil"/>
              <w:bottom w:val="nil"/>
            </w:tcBorders>
          </w:tcPr>
          <w:p w:rsidR="00000000" w:rsidRDefault="00000000">
            <w:pPr>
              <w:keepNext/>
              <w:jc w:val="center"/>
            </w:pPr>
            <w:r>
              <w:t>4 359 092</w:t>
            </w:r>
          </w:p>
        </w:tc>
      </w:tr>
      <w:tr w:rsidR="00000000">
        <w:tblPrEx>
          <w:tblCellMar>
            <w:top w:w="0" w:type="dxa"/>
            <w:bottom w:w="0" w:type="dxa"/>
          </w:tblCellMar>
        </w:tblPrEx>
        <w:tc>
          <w:tcPr>
            <w:tcW w:w="2284" w:type="dxa"/>
            <w:tcBorders>
              <w:top w:val="nil"/>
            </w:tcBorders>
          </w:tcPr>
          <w:p w:rsidR="00000000" w:rsidRDefault="00000000">
            <w:pPr>
              <w:keepNext/>
              <w:jc w:val="center"/>
            </w:pPr>
            <w:r>
              <w:t>1997</w:t>
            </w:r>
          </w:p>
        </w:tc>
        <w:tc>
          <w:tcPr>
            <w:tcW w:w="2393" w:type="dxa"/>
            <w:tcBorders>
              <w:top w:val="nil"/>
            </w:tcBorders>
          </w:tcPr>
          <w:p w:rsidR="00000000" w:rsidRDefault="00000000">
            <w:pPr>
              <w:keepNext/>
              <w:jc w:val="center"/>
            </w:pPr>
            <w:r>
              <w:t>3 451 042</w:t>
            </w:r>
          </w:p>
        </w:tc>
        <w:tc>
          <w:tcPr>
            <w:tcW w:w="2393" w:type="dxa"/>
            <w:tcBorders>
              <w:top w:val="nil"/>
            </w:tcBorders>
          </w:tcPr>
          <w:p w:rsidR="00000000" w:rsidRDefault="00000000">
            <w:pPr>
              <w:keepNext/>
              <w:jc w:val="center"/>
            </w:pPr>
            <w:r>
              <w:t>0.40</w:t>
            </w:r>
          </w:p>
        </w:tc>
        <w:tc>
          <w:tcPr>
            <w:tcW w:w="2286" w:type="dxa"/>
            <w:tcBorders>
              <w:top w:val="nil"/>
            </w:tcBorders>
          </w:tcPr>
          <w:p w:rsidR="00000000" w:rsidRDefault="00000000">
            <w:pPr>
              <w:keepNext/>
              <w:jc w:val="center"/>
            </w:pPr>
            <w:r>
              <w:t>4 380 903</w:t>
            </w:r>
          </w:p>
        </w:tc>
      </w:tr>
    </w:tbl>
    <w:p w:rsidR="00000000" w:rsidRDefault="00000000"/>
    <w:p w:rsidR="00000000" w:rsidRDefault="00000000">
      <w:r>
        <w:tab/>
      </w:r>
      <w:r>
        <w:rPr>
          <w:u w:val="single"/>
        </w:rPr>
        <w:t>Source</w:t>
      </w:r>
      <w:r>
        <w:t xml:space="preserve">:  IBGE </w:t>
      </w:r>
      <w:r>
        <w:noBreakHyphen/>
        <w:t xml:space="preserve"> </w:t>
      </w:r>
      <w:r>
        <w:rPr>
          <w:u w:val="single"/>
        </w:rPr>
        <w:t>Contas Nacionais</w:t>
      </w:r>
      <w:r>
        <w:t>.  Reproduced by Balbinotto and Zylberstajn (1999).  Legal standards:  1988 Constitution; 1986 Decree</w:t>
      </w:r>
      <w:r>
        <w:noBreakHyphen/>
        <w:t>Law No. 2284; Decree No. 92608; 1990 Law No. 7998; 1994 Law No. 8.900; CODEFAT Resolution No. 64.</w:t>
      </w:r>
    </w:p>
    <w:p w:rsidR="00000000" w:rsidRDefault="00000000"/>
    <w:p w:rsidR="00000000" w:rsidRDefault="00000000">
      <w:pPr>
        <w:pStyle w:val="ParaNo"/>
        <w:tabs>
          <w:tab w:val="clear" w:pos="360"/>
          <w:tab w:val="clear" w:pos="737"/>
        </w:tabs>
        <w:ind w:left="0" w:firstLine="0"/>
        <w:rPr>
          <w:lang w:val="en-GB"/>
        </w:rPr>
      </w:pPr>
      <w:r>
        <w:rPr>
          <w:lang w:val="en-GB"/>
        </w:rPr>
        <w:t>In addition to the benefits mentioned above, it is also worth commenting upon family benefits, consolidated in the family allowance and Minimum Income Guarantee Programme.</w:t>
      </w:r>
    </w:p>
    <w:p w:rsidR="00000000" w:rsidRDefault="00000000"/>
    <w:p w:rsidR="00000000" w:rsidRDefault="00000000">
      <w:pPr>
        <w:pStyle w:val="ParaNo"/>
        <w:tabs>
          <w:tab w:val="clear" w:pos="360"/>
          <w:tab w:val="clear" w:pos="737"/>
        </w:tabs>
        <w:ind w:left="0" w:firstLine="0"/>
        <w:rPr>
          <w:lang w:val="en-GB"/>
        </w:rPr>
      </w:pPr>
      <w:r>
        <w:rPr>
          <w:lang w:val="en-GB"/>
        </w:rPr>
        <w:t xml:space="preserve">The family allowance is a social security benefit paid to employees with a monthly income under Cr$ 376.60 for each child under 14 years old who is attending school and for each invalid child.  It is an ongoing monthly allowance of Cr$ 9.05 per child (1999 figures).  Pensioners with children in the same circumstances are also entitled to receive the family allowance.  The need to confirm school attendance to receive the allowance came into force only in December 1999, with the publication of Law No. 9.876/99.  The cost of the family allowance is defrayed by the social security system, but the payment is made by the employer.  In fact, the </w:t>
      </w:r>
    </w:p>
    <w:p w:rsidR="00000000" w:rsidRDefault="00000000">
      <w:r>
        <w:br w:type="page"/>
        <w:t>employer deducts from the amounts to be paid into the social security system the amount paid to employees as a family allowance.  Pre</w:t>
      </w:r>
      <w:r>
        <w:noBreakHyphen/>
        <w:t xml:space="preserve">1999 data are unavailable, since the tax payment form for the employee severance indemnity fund (FGTS) and social security information (GFIP) was only implemented in 1999, these are the data used to calculate this allowance.  In 1999, the GFIP newsletter showed that Cr$ 1,810,000 (values at June 1999 prices </w:t>
      </w:r>
      <w:r>
        <w:noBreakHyphen/>
        <w:t xml:space="preserve"> deflated using the national consumer price index) were spent to pay this benefit.</w:t>
      </w:r>
    </w:p>
    <w:p w:rsidR="00000000" w:rsidRDefault="00000000"/>
    <w:p w:rsidR="00000000" w:rsidRDefault="00000000">
      <w:pPr>
        <w:pStyle w:val="ParaNo"/>
        <w:tabs>
          <w:tab w:val="clear" w:pos="360"/>
          <w:tab w:val="clear" w:pos="737"/>
        </w:tabs>
        <w:ind w:left="0" w:firstLine="0"/>
        <w:rPr>
          <w:lang w:val="en-GB"/>
        </w:rPr>
      </w:pPr>
      <w:r>
        <w:rPr>
          <w:lang w:val="en-GB"/>
        </w:rPr>
        <w:t>The Minimum Income Guarantee Programme, in turn, is in the sphere of the Ministry of Labour and operates at the initiative either of the local government or in partnerships between the Federal Government and local governments, under the coordination/administration of the Ministry of Education.  The programme focuses on families with children in the 7</w:t>
      </w:r>
      <w:r>
        <w:rPr>
          <w:lang w:val="en-GB"/>
        </w:rPr>
        <w:noBreakHyphen/>
        <w:t>14 age group in school (some places provide for the 0</w:t>
      </w:r>
      <w:r>
        <w:rPr>
          <w:lang w:val="en-GB"/>
        </w:rPr>
        <w:noBreakHyphen/>
        <w:t>14 age group).  To be eligible for the benefit, the family must have a per capita income of less than half a minimum wage.  The joint federal</w:t>
      </w:r>
      <w:r>
        <w:rPr>
          <w:lang w:val="en-GB"/>
        </w:rPr>
        <w:noBreakHyphen/>
        <w:t>local government applications are expected to increase, with the annual additional inclusion of 20 per cent of local governments in each Brazilian state, which will mean 3,300 local governments participating by 2002.  The local counterpart provides support to the programme corresponding to 50 per cent of the costs, which may take the form of socio</w:t>
      </w:r>
      <w:r>
        <w:rPr>
          <w:lang w:val="en-GB"/>
        </w:rPr>
        <w:noBreakHyphen/>
        <w:t>educational, health or social welfare services or extra</w:t>
      </w:r>
      <w:r>
        <w:rPr>
          <w:lang w:val="en-GB"/>
        </w:rPr>
        <w:noBreakHyphen/>
        <w:t>mural cultural activities directly for the beneficiaries in the 7</w:t>
      </w:r>
      <w:r>
        <w:rPr>
          <w:lang w:val="en-GB"/>
        </w:rPr>
        <w:noBreakHyphen/>
        <w:t>14 age group.</w:t>
      </w:r>
    </w:p>
    <w:p w:rsidR="00000000" w:rsidRDefault="00000000"/>
    <w:p w:rsidR="00000000" w:rsidRDefault="00000000">
      <w:pPr>
        <w:pStyle w:val="ParaNo"/>
        <w:tabs>
          <w:tab w:val="clear" w:pos="360"/>
          <w:tab w:val="clear" w:pos="737"/>
        </w:tabs>
        <w:ind w:left="0" w:firstLine="0"/>
        <w:rPr>
          <w:lang w:val="en-GB"/>
        </w:rPr>
      </w:pPr>
      <w:r>
        <w:rPr>
          <w:lang w:val="en-GB"/>
        </w:rPr>
        <w:t>By September 1999, 786 local governments had already joined the programme, with a total of 784,823 beneficiaries between 7 and 14 years old.  This represents a total of 393,347 families, and an average benefit of Cr$ 34.87 per child at school.</w:t>
      </w:r>
    </w:p>
    <w:p w:rsidR="00000000" w:rsidRDefault="00000000"/>
    <w:p w:rsidR="00000000" w:rsidRDefault="00000000">
      <w:pPr>
        <w:pStyle w:val="ParaNo"/>
        <w:tabs>
          <w:tab w:val="clear" w:pos="360"/>
          <w:tab w:val="clear" w:pos="737"/>
        </w:tabs>
        <w:ind w:left="0" w:firstLine="0"/>
        <w:rPr>
          <w:lang w:val="en-GB"/>
        </w:rPr>
      </w:pPr>
      <w:r>
        <w:rPr>
          <w:lang w:val="en-GB"/>
        </w:rPr>
        <w:t>The Brazilian Government believes that it is important to mention to the Committee on Economic, Social and Cultural Rights the amount spent on social security as a percentage of GDP, which is shown in the following table.</w:t>
      </w:r>
    </w:p>
    <w:p w:rsidR="00000000" w:rsidRDefault="00000000"/>
    <w:p w:rsidR="00000000" w:rsidRDefault="00000000">
      <w:pPr>
        <w:pStyle w:val="Heading1"/>
      </w:pPr>
      <w:r>
        <w:t>Table 41</w:t>
      </w:r>
    </w:p>
    <w:p w:rsidR="00000000" w:rsidRDefault="00000000">
      <w:pPr>
        <w:pStyle w:val="Heading1"/>
      </w:pPr>
    </w:p>
    <w:p w:rsidR="00000000" w:rsidRDefault="00000000">
      <w:pPr>
        <w:pStyle w:val="Heading1"/>
      </w:pPr>
      <w:r>
        <w:t>Social security share of GDP (%)</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1134"/>
        <w:gridCol w:w="1134"/>
        <w:gridCol w:w="992"/>
        <w:gridCol w:w="1134"/>
      </w:tblGrid>
      <w:tr w:rsidR="00000000">
        <w:tblPrEx>
          <w:tblCellMar>
            <w:top w:w="0" w:type="dxa"/>
            <w:bottom w:w="0" w:type="dxa"/>
          </w:tblCellMar>
        </w:tblPrEx>
        <w:trPr>
          <w:cantSplit/>
        </w:trPr>
        <w:tc>
          <w:tcPr>
            <w:tcW w:w="4962" w:type="dxa"/>
            <w:vMerge w:val="restart"/>
            <w:vAlign w:val="center"/>
          </w:tcPr>
          <w:p w:rsidR="00000000" w:rsidRDefault="00000000">
            <w:pPr>
              <w:jc w:val="center"/>
            </w:pPr>
            <w:r>
              <w:t>Areas</w:t>
            </w:r>
          </w:p>
        </w:tc>
        <w:tc>
          <w:tcPr>
            <w:tcW w:w="4394" w:type="dxa"/>
            <w:gridSpan w:val="4"/>
          </w:tcPr>
          <w:p w:rsidR="00000000" w:rsidRDefault="00000000">
            <w:pPr>
              <w:jc w:val="center"/>
            </w:pPr>
            <w:r>
              <w:t>Years</w:t>
            </w:r>
          </w:p>
        </w:tc>
      </w:tr>
      <w:tr w:rsidR="00000000">
        <w:tblPrEx>
          <w:tblCellMar>
            <w:top w:w="0" w:type="dxa"/>
            <w:bottom w:w="0" w:type="dxa"/>
          </w:tblCellMar>
        </w:tblPrEx>
        <w:trPr>
          <w:cantSplit/>
        </w:trPr>
        <w:tc>
          <w:tcPr>
            <w:tcW w:w="4962" w:type="dxa"/>
            <w:vMerge/>
            <w:tcBorders>
              <w:bottom w:val="single" w:sz="4" w:space="0" w:color="auto"/>
            </w:tcBorders>
          </w:tcPr>
          <w:p w:rsidR="00000000" w:rsidRDefault="00000000"/>
        </w:tc>
        <w:tc>
          <w:tcPr>
            <w:tcW w:w="1134" w:type="dxa"/>
            <w:tcBorders>
              <w:bottom w:val="single" w:sz="4" w:space="0" w:color="auto"/>
            </w:tcBorders>
          </w:tcPr>
          <w:p w:rsidR="00000000" w:rsidRDefault="00000000">
            <w:pPr>
              <w:jc w:val="center"/>
            </w:pPr>
            <w:r>
              <w:t>1994</w:t>
            </w:r>
          </w:p>
        </w:tc>
        <w:tc>
          <w:tcPr>
            <w:tcW w:w="1134" w:type="dxa"/>
            <w:tcBorders>
              <w:bottom w:val="single" w:sz="4" w:space="0" w:color="auto"/>
            </w:tcBorders>
          </w:tcPr>
          <w:p w:rsidR="00000000" w:rsidRDefault="00000000">
            <w:pPr>
              <w:jc w:val="center"/>
            </w:pPr>
            <w:r>
              <w:t>1995</w:t>
            </w:r>
          </w:p>
        </w:tc>
        <w:tc>
          <w:tcPr>
            <w:tcW w:w="992" w:type="dxa"/>
            <w:tcBorders>
              <w:bottom w:val="single" w:sz="4" w:space="0" w:color="auto"/>
            </w:tcBorders>
          </w:tcPr>
          <w:p w:rsidR="00000000" w:rsidRDefault="00000000">
            <w:pPr>
              <w:jc w:val="center"/>
            </w:pPr>
            <w:r>
              <w:t>1996</w:t>
            </w:r>
          </w:p>
        </w:tc>
        <w:tc>
          <w:tcPr>
            <w:tcW w:w="1134" w:type="dxa"/>
            <w:tcBorders>
              <w:bottom w:val="single" w:sz="4" w:space="0" w:color="auto"/>
            </w:tcBorders>
          </w:tcPr>
          <w:p w:rsidR="00000000" w:rsidRDefault="00000000">
            <w:pPr>
              <w:jc w:val="center"/>
            </w:pPr>
            <w:r>
              <w:t>1997</w:t>
            </w:r>
          </w:p>
        </w:tc>
      </w:tr>
      <w:tr w:rsidR="00000000">
        <w:tblPrEx>
          <w:tblCellMar>
            <w:top w:w="0" w:type="dxa"/>
            <w:bottom w:w="0" w:type="dxa"/>
          </w:tblCellMar>
        </w:tblPrEx>
        <w:tc>
          <w:tcPr>
            <w:tcW w:w="4962" w:type="dxa"/>
            <w:tcBorders>
              <w:bottom w:val="nil"/>
            </w:tcBorders>
          </w:tcPr>
          <w:p w:rsidR="00000000" w:rsidRDefault="00000000">
            <w:r>
              <w:t>Health</w:t>
            </w:r>
          </w:p>
        </w:tc>
        <w:tc>
          <w:tcPr>
            <w:tcW w:w="1134" w:type="dxa"/>
            <w:tcBorders>
              <w:bottom w:val="nil"/>
            </w:tcBorders>
          </w:tcPr>
          <w:p w:rsidR="00000000" w:rsidRDefault="00000000">
            <w:pPr>
              <w:ind w:right="284"/>
              <w:jc w:val="right"/>
            </w:pPr>
            <w:r>
              <w:t>2.02</w:t>
            </w:r>
          </w:p>
        </w:tc>
        <w:tc>
          <w:tcPr>
            <w:tcW w:w="1134" w:type="dxa"/>
            <w:tcBorders>
              <w:bottom w:val="nil"/>
            </w:tcBorders>
          </w:tcPr>
          <w:p w:rsidR="00000000" w:rsidRDefault="00000000">
            <w:pPr>
              <w:ind w:right="227"/>
              <w:jc w:val="right"/>
            </w:pPr>
            <w:r>
              <w:t>2.16</w:t>
            </w:r>
          </w:p>
        </w:tc>
        <w:tc>
          <w:tcPr>
            <w:tcW w:w="992" w:type="dxa"/>
            <w:tcBorders>
              <w:bottom w:val="nil"/>
            </w:tcBorders>
          </w:tcPr>
          <w:p w:rsidR="00000000" w:rsidRDefault="00000000">
            <w:pPr>
              <w:ind w:right="170"/>
              <w:jc w:val="right"/>
            </w:pPr>
            <w:r>
              <w:t>1.71</w:t>
            </w:r>
          </w:p>
        </w:tc>
        <w:tc>
          <w:tcPr>
            <w:tcW w:w="1134" w:type="dxa"/>
            <w:tcBorders>
              <w:bottom w:val="nil"/>
            </w:tcBorders>
          </w:tcPr>
          <w:p w:rsidR="00000000" w:rsidRDefault="00000000">
            <w:pPr>
              <w:ind w:right="170"/>
              <w:jc w:val="right"/>
            </w:pPr>
            <w:r>
              <w:t>1.97</w:t>
            </w:r>
          </w:p>
        </w:tc>
      </w:tr>
      <w:tr w:rsidR="00000000">
        <w:tblPrEx>
          <w:tblCellMar>
            <w:top w:w="0" w:type="dxa"/>
            <w:bottom w:w="0" w:type="dxa"/>
          </w:tblCellMar>
        </w:tblPrEx>
        <w:tc>
          <w:tcPr>
            <w:tcW w:w="4962" w:type="dxa"/>
            <w:tcBorders>
              <w:top w:val="nil"/>
              <w:bottom w:val="nil"/>
            </w:tcBorders>
          </w:tcPr>
          <w:p w:rsidR="00000000" w:rsidRDefault="00000000">
            <w:r>
              <w:t>Social security</w:t>
            </w:r>
          </w:p>
        </w:tc>
        <w:tc>
          <w:tcPr>
            <w:tcW w:w="1134" w:type="dxa"/>
            <w:tcBorders>
              <w:top w:val="nil"/>
              <w:bottom w:val="nil"/>
            </w:tcBorders>
          </w:tcPr>
          <w:p w:rsidR="00000000" w:rsidRDefault="00000000">
            <w:pPr>
              <w:ind w:right="284"/>
              <w:jc w:val="right"/>
            </w:pPr>
            <w:r>
              <w:t>5.27</w:t>
            </w:r>
          </w:p>
        </w:tc>
        <w:tc>
          <w:tcPr>
            <w:tcW w:w="1134" w:type="dxa"/>
            <w:tcBorders>
              <w:top w:val="nil"/>
              <w:bottom w:val="nil"/>
            </w:tcBorders>
          </w:tcPr>
          <w:p w:rsidR="00000000" w:rsidRDefault="00000000">
            <w:pPr>
              <w:ind w:right="227"/>
              <w:jc w:val="right"/>
            </w:pPr>
            <w:r>
              <w:t>5.43</w:t>
            </w:r>
          </w:p>
        </w:tc>
        <w:tc>
          <w:tcPr>
            <w:tcW w:w="992" w:type="dxa"/>
            <w:tcBorders>
              <w:top w:val="nil"/>
              <w:bottom w:val="nil"/>
            </w:tcBorders>
          </w:tcPr>
          <w:p w:rsidR="00000000" w:rsidRDefault="00000000">
            <w:pPr>
              <w:ind w:right="170"/>
              <w:jc w:val="right"/>
            </w:pPr>
            <w:r>
              <w:t>5.68</w:t>
            </w:r>
          </w:p>
        </w:tc>
        <w:tc>
          <w:tcPr>
            <w:tcW w:w="1134" w:type="dxa"/>
            <w:tcBorders>
              <w:top w:val="nil"/>
              <w:bottom w:val="nil"/>
            </w:tcBorders>
          </w:tcPr>
          <w:p w:rsidR="00000000" w:rsidRDefault="00000000">
            <w:pPr>
              <w:ind w:right="170"/>
              <w:jc w:val="right"/>
            </w:pPr>
            <w:r>
              <w:t>5.57</w:t>
            </w:r>
          </w:p>
        </w:tc>
      </w:tr>
      <w:tr w:rsidR="00000000">
        <w:tblPrEx>
          <w:tblCellMar>
            <w:top w:w="0" w:type="dxa"/>
            <w:bottom w:w="0" w:type="dxa"/>
          </w:tblCellMar>
        </w:tblPrEx>
        <w:tc>
          <w:tcPr>
            <w:tcW w:w="4962" w:type="dxa"/>
            <w:tcBorders>
              <w:top w:val="nil"/>
              <w:bottom w:val="nil"/>
            </w:tcBorders>
          </w:tcPr>
          <w:p w:rsidR="00000000" w:rsidRDefault="00000000">
            <w:r>
              <w:t>Aid</w:t>
            </w:r>
          </w:p>
        </w:tc>
        <w:tc>
          <w:tcPr>
            <w:tcW w:w="1134" w:type="dxa"/>
            <w:tcBorders>
              <w:top w:val="nil"/>
              <w:bottom w:val="nil"/>
            </w:tcBorders>
          </w:tcPr>
          <w:p w:rsidR="00000000" w:rsidRDefault="00000000">
            <w:pPr>
              <w:ind w:right="284"/>
              <w:jc w:val="right"/>
            </w:pPr>
            <w:r>
              <w:t>0.18</w:t>
            </w:r>
          </w:p>
        </w:tc>
        <w:tc>
          <w:tcPr>
            <w:tcW w:w="1134" w:type="dxa"/>
            <w:tcBorders>
              <w:top w:val="nil"/>
              <w:bottom w:val="nil"/>
            </w:tcBorders>
          </w:tcPr>
          <w:p w:rsidR="00000000" w:rsidRDefault="00000000">
            <w:pPr>
              <w:ind w:right="227"/>
              <w:jc w:val="right"/>
            </w:pPr>
            <w:r>
              <w:t>0.6</w:t>
            </w:r>
          </w:p>
        </w:tc>
        <w:tc>
          <w:tcPr>
            <w:tcW w:w="992" w:type="dxa"/>
            <w:tcBorders>
              <w:top w:val="nil"/>
              <w:bottom w:val="nil"/>
            </w:tcBorders>
          </w:tcPr>
          <w:p w:rsidR="00000000" w:rsidRDefault="00000000">
            <w:pPr>
              <w:ind w:right="170"/>
              <w:jc w:val="right"/>
            </w:pPr>
            <w:r>
              <w:t>0.17</w:t>
            </w:r>
          </w:p>
        </w:tc>
        <w:tc>
          <w:tcPr>
            <w:tcW w:w="1134" w:type="dxa"/>
            <w:tcBorders>
              <w:top w:val="nil"/>
              <w:bottom w:val="nil"/>
            </w:tcBorders>
          </w:tcPr>
          <w:p w:rsidR="00000000" w:rsidRDefault="00000000">
            <w:pPr>
              <w:ind w:right="170"/>
              <w:jc w:val="right"/>
            </w:pPr>
            <w:r>
              <w:t>0.25</w:t>
            </w:r>
          </w:p>
        </w:tc>
      </w:tr>
      <w:tr w:rsidR="00000000">
        <w:tblPrEx>
          <w:tblCellMar>
            <w:top w:w="0" w:type="dxa"/>
            <w:bottom w:w="0" w:type="dxa"/>
          </w:tblCellMar>
        </w:tblPrEx>
        <w:tc>
          <w:tcPr>
            <w:tcW w:w="4962" w:type="dxa"/>
            <w:tcBorders>
              <w:top w:val="nil"/>
              <w:bottom w:val="nil"/>
            </w:tcBorders>
          </w:tcPr>
          <w:p w:rsidR="00000000" w:rsidRDefault="00000000">
            <w:r>
              <w:t>Unemployment allowance</w:t>
            </w:r>
          </w:p>
        </w:tc>
        <w:tc>
          <w:tcPr>
            <w:tcW w:w="1134" w:type="dxa"/>
            <w:tcBorders>
              <w:top w:val="nil"/>
              <w:bottom w:val="nil"/>
            </w:tcBorders>
          </w:tcPr>
          <w:p w:rsidR="00000000" w:rsidRDefault="00000000">
            <w:pPr>
              <w:ind w:right="284"/>
              <w:jc w:val="right"/>
            </w:pPr>
            <w:r>
              <w:t>0.36</w:t>
            </w:r>
          </w:p>
        </w:tc>
        <w:tc>
          <w:tcPr>
            <w:tcW w:w="1134" w:type="dxa"/>
            <w:tcBorders>
              <w:top w:val="nil"/>
              <w:bottom w:val="nil"/>
            </w:tcBorders>
          </w:tcPr>
          <w:p w:rsidR="00000000" w:rsidRDefault="00000000">
            <w:pPr>
              <w:ind w:right="227"/>
              <w:jc w:val="right"/>
            </w:pPr>
            <w:r>
              <w:t>0.44</w:t>
            </w:r>
          </w:p>
        </w:tc>
        <w:tc>
          <w:tcPr>
            <w:tcW w:w="992" w:type="dxa"/>
            <w:tcBorders>
              <w:top w:val="nil"/>
              <w:bottom w:val="nil"/>
            </w:tcBorders>
          </w:tcPr>
          <w:p w:rsidR="00000000" w:rsidRDefault="00000000">
            <w:pPr>
              <w:ind w:right="170"/>
              <w:jc w:val="right"/>
            </w:pPr>
            <w:r>
              <w:t>0.44</w:t>
            </w:r>
          </w:p>
        </w:tc>
        <w:tc>
          <w:tcPr>
            <w:tcW w:w="1134" w:type="dxa"/>
            <w:tcBorders>
              <w:top w:val="nil"/>
              <w:bottom w:val="nil"/>
            </w:tcBorders>
          </w:tcPr>
          <w:p w:rsidR="00000000" w:rsidRDefault="00000000">
            <w:pPr>
              <w:ind w:right="170"/>
              <w:jc w:val="right"/>
            </w:pPr>
            <w:r>
              <w:t>0.41</w:t>
            </w:r>
          </w:p>
        </w:tc>
      </w:tr>
      <w:tr w:rsidR="00000000">
        <w:tblPrEx>
          <w:tblCellMar>
            <w:top w:w="0" w:type="dxa"/>
            <w:bottom w:w="0" w:type="dxa"/>
          </w:tblCellMar>
        </w:tblPrEx>
        <w:tc>
          <w:tcPr>
            <w:tcW w:w="4962" w:type="dxa"/>
            <w:tcBorders>
              <w:top w:val="nil"/>
              <w:bottom w:val="nil"/>
            </w:tcBorders>
          </w:tcPr>
          <w:p w:rsidR="00000000" w:rsidRDefault="00000000">
            <w:r>
              <w:t>Central government social security charges</w:t>
            </w:r>
          </w:p>
        </w:tc>
        <w:tc>
          <w:tcPr>
            <w:tcW w:w="1134" w:type="dxa"/>
            <w:tcBorders>
              <w:top w:val="nil"/>
              <w:bottom w:val="nil"/>
            </w:tcBorders>
          </w:tcPr>
          <w:p w:rsidR="00000000" w:rsidRDefault="00000000">
            <w:pPr>
              <w:ind w:right="284"/>
              <w:jc w:val="right"/>
            </w:pPr>
            <w:r>
              <w:t>2.27</w:t>
            </w:r>
          </w:p>
        </w:tc>
        <w:tc>
          <w:tcPr>
            <w:tcW w:w="1134" w:type="dxa"/>
            <w:tcBorders>
              <w:top w:val="nil"/>
              <w:bottom w:val="nil"/>
            </w:tcBorders>
          </w:tcPr>
          <w:p w:rsidR="00000000" w:rsidRDefault="00000000">
            <w:pPr>
              <w:ind w:right="227"/>
              <w:jc w:val="right"/>
            </w:pPr>
            <w:r>
              <w:t>2.44</w:t>
            </w:r>
          </w:p>
        </w:tc>
        <w:tc>
          <w:tcPr>
            <w:tcW w:w="992" w:type="dxa"/>
            <w:tcBorders>
              <w:top w:val="nil"/>
              <w:bottom w:val="nil"/>
            </w:tcBorders>
          </w:tcPr>
          <w:p w:rsidR="00000000" w:rsidRDefault="00000000">
            <w:pPr>
              <w:ind w:right="170"/>
              <w:jc w:val="right"/>
            </w:pPr>
            <w:r>
              <w:t>2.22</w:t>
            </w:r>
          </w:p>
        </w:tc>
        <w:tc>
          <w:tcPr>
            <w:tcW w:w="1134" w:type="dxa"/>
            <w:tcBorders>
              <w:top w:val="nil"/>
              <w:bottom w:val="nil"/>
            </w:tcBorders>
          </w:tcPr>
          <w:p w:rsidR="00000000" w:rsidRDefault="00000000">
            <w:pPr>
              <w:ind w:right="170"/>
              <w:jc w:val="right"/>
            </w:pPr>
            <w:r>
              <w:t>2.27</w:t>
            </w:r>
          </w:p>
        </w:tc>
      </w:tr>
      <w:tr w:rsidR="00000000">
        <w:tblPrEx>
          <w:tblCellMar>
            <w:top w:w="0" w:type="dxa"/>
            <w:bottom w:w="0" w:type="dxa"/>
          </w:tblCellMar>
        </w:tblPrEx>
        <w:tc>
          <w:tcPr>
            <w:tcW w:w="4962" w:type="dxa"/>
            <w:tcBorders>
              <w:top w:val="nil"/>
              <w:bottom w:val="nil"/>
            </w:tcBorders>
          </w:tcPr>
          <w:p w:rsidR="00000000" w:rsidRDefault="00000000">
            <w:r>
              <w:t xml:space="preserve">    Sub</w:t>
            </w:r>
            <w:r>
              <w:noBreakHyphen/>
              <w:t>total (a)</w:t>
            </w:r>
          </w:p>
        </w:tc>
        <w:tc>
          <w:tcPr>
            <w:tcW w:w="1134" w:type="dxa"/>
            <w:tcBorders>
              <w:top w:val="nil"/>
              <w:bottom w:val="nil"/>
            </w:tcBorders>
          </w:tcPr>
          <w:p w:rsidR="00000000" w:rsidRDefault="00000000">
            <w:pPr>
              <w:ind w:right="284"/>
              <w:jc w:val="right"/>
            </w:pPr>
            <w:r>
              <w:t>10.10</w:t>
            </w:r>
          </w:p>
        </w:tc>
        <w:tc>
          <w:tcPr>
            <w:tcW w:w="1134" w:type="dxa"/>
            <w:tcBorders>
              <w:top w:val="nil"/>
              <w:bottom w:val="nil"/>
            </w:tcBorders>
          </w:tcPr>
          <w:p w:rsidR="00000000" w:rsidRDefault="00000000">
            <w:pPr>
              <w:ind w:right="227"/>
              <w:jc w:val="right"/>
            </w:pPr>
            <w:r>
              <w:t>10.63</w:t>
            </w:r>
          </w:p>
        </w:tc>
        <w:tc>
          <w:tcPr>
            <w:tcW w:w="992" w:type="dxa"/>
            <w:tcBorders>
              <w:top w:val="nil"/>
              <w:bottom w:val="nil"/>
            </w:tcBorders>
          </w:tcPr>
          <w:p w:rsidR="00000000" w:rsidRDefault="00000000">
            <w:pPr>
              <w:ind w:right="170"/>
              <w:jc w:val="right"/>
            </w:pPr>
            <w:r>
              <w:t>10.22</w:t>
            </w:r>
          </w:p>
        </w:tc>
        <w:tc>
          <w:tcPr>
            <w:tcW w:w="1134" w:type="dxa"/>
            <w:tcBorders>
              <w:top w:val="nil"/>
              <w:bottom w:val="nil"/>
            </w:tcBorders>
          </w:tcPr>
          <w:p w:rsidR="00000000" w:rsidRDefault="00000000">
            <w:pPr>
              <w:ind w:right="170"/>
              <w:jc w:val="right"/>
            </w:pPr>
            <w:r>
              <w:t>10.47</w:t>
            </w:r>
          </w:p>
        </w:tc>
      </w:tr>
      <w:tr w:rsidR="00000000">
        <w:tblPrEx>
          <w:tblCellMar>
            <w:top w:w="0" w:type="dxa"/>
            <w:bottom w:w="0" w:type="dxa"/>
          </w:tblCellMar>
        </w:tblPrEx>
        <w:tc>
          <w:tcPr>
            <w:tcW w:w="4962" w:type="dxa"/>
            <w:tcBorders>
              <w:top w:val="nil"/>
              <w:bottom w:val="nil"/>
            </w:tcBorders>
          </w:tcPr>
          <w:p w:rsidR="00000000" w:rsidRDefault="00000000">
            <w:r>
              <w:t xml:space="preserve">    Total social federal expenditure (b)</w:t>
            </w:r>
          </w:p>
        </w:tc>
        <w:tc>
          <w:tcPr>
            <w:tcW w:w="1134" w:type="dxa"/>
            <w:tcBorders>
              <w:top w:val="nil"/>
              <w:bottom w:val="nil"/>
            </w:tcBorders>
          </w:tcPr>
          <w:p w:rsidR="00000000" w:rsidRDefault="00000000">
            <w:pPr>
              <w:ind w:right="284"/>
              <w:jc w:val="right"/>
            </w:pPr>
            <w:r>
              <w:t>12.18</w:t>
            </w:r>
          </w:p>
        </w:tc>
        <w:tc>
          <w:tcPr>
            <w:tcW w:w="1134" w:type="dxa"/>
            <w:tcBorders>
              <w:top w:val="nil"/>
              <w:bottom w:val="nil"/>
            </w:tcBorders>
          </w:tcPr>
          <w:p w:rsidR="00000000" w:rsidRDefault="00000000">
            <w:pPr>
              <w:ind w:right="227"/>
              <w:jc w:val="right"/>
            </w:pPr>
            <w:r>
              <w:t>12.42</w:t>
            </w:r>
          </w:p>
        </w:tc>
        <w:tc>
          <w:tcPr>
            <w:tcW w:w="992" w:type="dxa"/>
            <w:tcBorders>
              <w:top w:val="nil"/>
              <w:bottom w:val="nil"/>
            </w:tcBorders>
          </w:tcPr>
          <w:p w:rsidR="00000000" w:rsidRDefault="00000000">
            <w:pPr>
              <w:ind w:right="170"/>
              <w:jc w:val="right"/>
            </w:pPr>
            <w:r>
              <w:t>11.85</w:t>
            </w:r>
          </w:p>
        </w:tc>
        <w:tc>
          <w:tcPr>
            <w:tcW w:w="1134" w:type="dxa"/>
            <w:tcBorders>
              <w:top w:val="nil"/>
              <w:bottom w:val="nil"/>
            </w:tcBorders>
          </w:tcPr>
          <w:p w:rsidR="00000000" w:rsidRDefault="00000000">
            <w:pPr>
              <w:ind w:right="170"/>
              <w:jc w:val="right"/>
            </w:pPr>
            <w:r>
              <w:t>12.17</w:t>
            </w:r>
          </w:p>
        </w:tc>
      </w:tr>
      <w:tr w:rsidR="00000000">
        <w:tblPrEx>
          <w:tblCellMar>
            <w:top w:w="0" w:type="dxa"/>
            <w:bottom w:w="0" w:type="dxa"/>
          </w:tblCellMar>
        </w:tblPrEx>
        <w:tc>
          <w:tcPr>
            <w:tcW w:w="4962" w:type="dxa"/>
            <w:tcBorders>
              <w:top w:val="nil"/>
            </w:tcBorders>
          </w:tcPr>
          <w:p w:rsidR="00000000" w:rsidRDefault="00000000">
            <w:r>
              <w:t>a/b</w:t>
            </w:r>
          </w:p>
        </w:tc>
        <w:tc>
          <w:tcPr>
            <w:tcW w:w="1134" w:type="dxa"/>
            <w:tcBorders>
              <w:top w:val="nil"/>
            </w:tcBorders>
          </w:tcPr>
          <w:p w:rsidR="00000000" w:rsidRDefault="00000000">
            <w:pPr>
              <w:ind w:right="284"/>
              <w:jc w:val="right"/>
            </w:pPr>
            <w:r>
              <w:t>0.83</w:t>
            </w:r>
          </w:p>
        </w:tc>
        <w:tc>
          <w:tcPr>
            <w:tcW w:w="1134" w:type="dxa"/>
            <w:tcBorders>
              <w:top w:val="nil"/>
            </w:tcBorders>
          </w:tcPr>
          <w:p w:rsidR="00000000" w:rsidRDefault="00000000">
            <w:pPr>
              <w:ind w:right="227"/>
              <w:jc w:val="right"/>
            </w:pPr>
            <w:r>
              <w:t>0.86</w:t>
            </w:r>
          </w:p>
        </w:tc>
        <w:tc>
          <w:tcPr>
            <w:tcW w:w="992" w:type="dxa"/>
            <w:tcBorders>
              <w:top w:val="nil"/>
            </w:tcBorders>
          </w:tcPr>
          <w:p w:rsidR="00000000" w:rsidRDefault="00000000">
            <w:pPr>
              <w:ind w:right="170"/>
              <w:jc w:val="right"/>
            </w:pPr>
            <w:r>
              <w:t>0.86</w:t>
            </w:r>
          </w:p>
        </w:tc>
        <w:tc>
          <w:tcPr>
            <w:tcW w:w="1134" w:type="dxa"/>
            <w:tcBorders>
              <w:top w:val="nil"/>
            </w:tcBorders>
          </w:tcPr>
          <w:p w:rsidR="00000000" w:rsidRDefault="00000000">
            <w:pPr>
              <w:ind w:right="170"/>
              <w:jc w:val="right"/>
            </w:pPr>
            <w:r>
              <w:t>0.86</w:t>
            </w:r>
          </w:p>
        </w:tc>
      </w:tr>
    </w:tbl>
    <w:p w:rsidR="00000000" w:rsidRDefault="00000000"/>
    <w:p w:rsidR="00000000" w:rsidRDefault="00000000">
      <w:r>
        <w:tab/>
      </w:r>
      <w:r>
        <w:rPr>
          <w:u w:val="single"/>
        </w:rPr>
        <w:t>Source</w:t>
      </w:r>
      <w:r>
        <w:t>:  SIAFI/SIDOR.  Prepared by: DIPOS/IPEA.</w:t>
      </w:r>
    </w:p>
    <w:p w:rsidR="00000000" w:rsidRDefault="00000000"/>
    <w:p w:rsidR="00000000" w:rsidRDefault="00000000">
      <w:pPr>
        <w:pStyle w:val="ParaNo"/>
        <w:tabs>
          <w:tab w:val="clear" w:pos="360"/>
          <w:tab w:val="clear" w:pos="737"/>
        </w:tabs>
        <w:ind w:left="0" w:firstLine="0"/>
        <w:rPr>
          <w:lang w:val="en-GB"/>
        </w:rPr>
      </w:pPr>
      <w:r>
        <w:rPr>
          <w:lang w:val="en-GB"/>
        </w:rPr>
        <w:br w:type="page"/>
        <w:t>In order also to provide the Committee with further elements to help analyse the federal social outlay, the Brazilian Government refers below to the share of the outlay for social security benefits in relation to GDP.</w:t>
      </w:r>
      <w:r>
        <w:rPr>
          <w:rStyle w:val="EndnoteReference"/>
          <w:lang w:val="en-GB"/>
        </w:rPr>
        <w:endnoteReference w:id="14"/>
      </w:r>
      <w:r>
        <w:rPr>
          <w:lang w:val="en-GB"/>
        </w:rPr>
        <w:t xml:space="preserve">  Between 1995 and 1998, the percentage continued its upward trend as follows:  in 1995, 4.98 per cent; in 1996, 5.19 per cent; in 1997, 5.42 per cent; and in 1998, 5.98 per cent.</w:t>
      </w:r>
    </w:p>
    <w:p w:rsidR="00000000" w:rsidRDefault="00000000"/>
    <w:p w:rsidR="00000000" w:rsidRDefault="00000000">
      <w:pPr>
        <w:pStyle w:val="ParaNo"/>
        <w:tabs>
          <w:tab w:val="clear" w:pos="360"/>
          <w:tab w:val="clear" w:pos="737"/>
        </w:tabs>
        <w:ind w:left="0" w:firstLine="0"/>
        <w:rPr>
          <w:lang w:val="en-GB"/>
        </w:rPr>
      </w:pPr>
      <w:r>
        <w:rPr>
          <w:lang w:val="en-GB"/>
        </w:rPr>
        <w:t>Concerning the relationship between the public social security and private pension plans, it is worth mentioning that the Brazilian social security system guarantees payment of benefits to a maximum amount, adjusted annually according to the variation in the cost of living.  In 1999, the sum was Cr$ 1,255.32, which was received by approximately 88 per cent of the beneficiaries.</w:t>
      </w:r>
    </w:p>
    <w:p w:rsidR="00000000" w:rsidRDefault="00000000"/>
    <w:p w:rsidR="00000000" w:rsidRDefault="00000000">
      <w:pPr>
        <w:pStyle w:val="ParaNo"/>
        <w:tabs>
          <w:tab w:val="clear" w:pos="360"/>
          <w:tab w:val="clear" w:pos="737"/>
        </w:tabs>
        <w:ind w:left="0" w:firstLine="0"/>
        <w:rPr>
          <w:lang w:val="en-GB"/>
        </w:rPr>
      </w:pPr>
      <w:r>
        <w:rPr>
          <w:lang w:val="en-GB"/>
        </w:rPr>
        <w:t>With regard to pensions, there are complementary “open” and “closed” pension funds in Brazil.  The former may be used by any individual merely by contracting the product with a financial institution; many of these plans offer other kinds of services, such as life and unemployment insurance.  Access to the “closed” pension plans is restricted to a certain group of employees, generally working for the same company.</w:t>
      </w:r>
    </w:p>
    <w:p w:rsidR="00000000" w:rsidRDefault="00000000"/>
    <w:p w:rsidR="00000000" w:rsidRDefault="00000000">
      <w:pPr>
        <w:pStyle w:val="ParaNo"/>
        <w:tabs>
          <w:tab w:val="clear" w:pos="360"/>
          <w:tab w:val="clear" w:pos="737"/>
        </w:tabs>
        <w:ind w:left="0" w:firstLine="0"/>
        <w:rPr>
          <w:lang w:val="en-GB"/>
        </w:rPr>
      </w:pPr>
      <w:r>
        <w:rPr>
          <w:lang w:val="en-GB"/>
        </w:rPr>
        <w:t>To give incentives for a complementary pension, the Brazilian Government proposes, in bills sent to the National Congress and currently under analysis therein, to make the regulations of the pensions funds more flexible in order to make them more transparent and competitive and thereby include a larger number of beneficiaries.  The Brazilian Government believes that the enhancement of the complementary social security system would allow beneficiaries not only to join the agency that best suited them but also freely to decide whether to stay with a certain scheme or transfer to another as well as to transfer the sum of the resources already accumulated.</w:t>
      </w:r>
    </w:p>
    <w:p w:rsidR="00000000" w:rsidRDefault="00000000"/>
    <w:p w:rsidR="00000000" w:rsidRDefault="00000000">
      <w:pPr>
        <w:pStyle w:val="ParaNo"/>
        <w:tabs>
          <w:tab w:val="clear" w:pos="360"/>
          <w:tab w:val="clear" w:pos="737"/>
        </w:tabs>
        <w:ind w:left="0" w:firstLine="0"/>
        <w:rPr>
          <w:lang w:val="en-GB"/>
        </w:rPr>
      </w:pPr>
      <w:r>
        <w:rPr>
          <w:lang w:val="en-GB"/>
        </w:rPr>
        <w:t>The Government has also endeavoured to encourage voluntary complementary pension funds for those economically active in the private sector, through measures that strengthen supervision of and increase competition in the open complementary pension fund market for the general public without being tied to a particular job.  There are now an increasing number of people contributing to such plans, especially among the middle class.  The basic reasons are the possibility of planning for the long</w:t>
      </w:r>
      <w:r>
        <w:rPr>
          <w:lang w:val="en-GB"/>
        </w:rPr>
        <w:noBreakHyphen/>
        <w:t>term future, stability, and the increasingly widespread perception that the public social security system should concentrate on guaranteeing basic pension levels.</w:t>
      </w:r>
    </w:p>
    <w:p w:rsidR="00000000" w:rsidRDefault="00000000"/>
    <w:p w:rsidR="00000000" w:rsidRDefault="00000000">
      <w:pPr>
        <w:pStyle w:val="ParaNo"/>
        <w:tabs>
          <w:tab w:val="clear" w:pos="360"/>
          <w:tab w:val="clear" w:pos="737"/>
        </w:tabs>
        <w:ind w:left="0" w:firstLine="0"/>
        <w:rPr>
          <w:lang w:val="en-GB"/>
        </w:rPr>
      </w:pPr>
      <w:r>
        <w:rPr>
          <w:lang w:val="en-GB"/>
        </w:rPr>
        <w:t>In the case of civil servants, as the benefit is equal to the last salary before retirement, there is no complementary pension scheme.  However, due to legislative changes that have led to possibly making the contracting schemes more flexible, such funds may be created.  A civil servant may be recruited in the future who will be subject to the private sector employment system and therefore would have a ceiling on pension benefits.  The National Congress is studying a bill to regulate the institution of pension funds, as such, for public servants.</w:t>
      </w:r>
    </w:p>
    <w:p w:rsidR="00000000" w:rsidRDefault="00000000"/>
    <w:p w:rsidR="00000000" w:rsidRDefault="00000000">
      <w:pPr>
        <w:pStyle w:val="ParaNo"/>
        <w:tabs>
          <w:tab w:val="clear" w:pos="360"/>
          <w:tab w:val="clear" w:pos="737"/>
        </w:tabs>
        <w:ind w:left="0" w:firstLine="0"/>
        <w:rPr>
          <w:lang w:val="en-GB"/>
        </w:rPr>
      </w:pPr>
      <w:r>
        <w:rPr>
          <w:lang w:val="en-GB"/>
        </w:rPr>
        <w:t>Social security in Brazil is of a comprehensive character due to the combination of contributory and welfare characteristics, and therefore encompasses all groups.</w:t>
      </w:r>
    </w:p>
    <w:p w:rsidR="00000000" w:rsidRDefault="00000000"/>
    <w:p w:rsidR="00000000" w:rsidRDefault="00000000">
      <w:pPr>
        <w:pStyle w:val="ParaNo"/>
        <w:tabs>
          <w:tab w:val="clear" w:pos="360"/>
          <w:tab w:val="clear" w:pos="737"/>
        </w:tabs>
        <w:ind w:left="0" w:firstLine="0"/>
        <w:rPr>
          <w:lang w:val="en-GB"/>
        </w:rPr>
      </w:pPr>
      <w:r>
        <w:rPr>
          <w:lang w:val="en-GB"/>
        </w:rPr>
        <w:br w:type="page"/>
        <w:t>With regard to vulnerable or unprotected groups and their protection by social security, it should be mentioned that the main body of such persons is formed by informal sector workers.  In 1998, data of the National Household Sampling Survey of the Brazilian Institute of Geography and Statistics (PNAD/IBGE) indicated that only 16.1 per cent of the self</w:t>
      </w:r>
      <w:r>
        <w:rPr>
          <w:lang w:val="en-GB"/>
        </w:rPr>
        <w:noBreakHyphen/>
        <w:t>employed contributed to social security.  Law No. 9876, of November 1999, attempted to find a suitable solution for this situation and, in order to encourage the self</w:t>
      </w:r>
      <w:r>
        <w:rPr>
          <w:lang w:val="en-GB"/>
        </w:rPr>
        <w:noBreakHyphen/>
        <w:t>employed to contribute, provides, among other things, the right to a maternity grant, reduced contribution when recruited by a company, and the simplification of individual contributing categories.  To help protect that vulnerable segment, the Ministry of Social Security and Welfare created the “Social Stability Programme”, which extends the coverage given by the prevailing system. The said programme has been developed on a decentralized basis, through regional committees, in order to increase the amount of information available to workers about the importance of the protection given by the social security system.</w:t>
      </w:r>
    </w:p>
    <w:p w:rsidR="00000000" w:rsidRDefault="00000000"/>
    <w:p w:rsidR="00000000" w:rsidRDefault="00000000">
      <w:pPr>
        <w:pStyle w:val="ParaNo"/>
        <w:tabs>
          <w:tab w:val="clear" w:pos="360"/>
          <w:tab w:val="clear" w:pos="737"/>
        </w:tabs>
        <w:ind w:left="0" w:firstLine="0"/>
        <w:rPr>
          <w:lang w:val="en-GB"/>
        </w:rPr>
      </w:pPr>
      <w:r>
        <w:rPr>
          <w:lang w:val="en-GB"/>
        </w:rPr>
        <w:t>Concerning international aid in fully exercising the right contained in article 9 of the International Covenant on Economic, Social and Cultural Rights, the Brazilian Government points out that Brazil maintains social security agreements with 10 countries, as follows, Argentina, Cape Verde, Chile, Spain, Greece, Luxembourg, Italy, Paraguay, Portugal and Uruguay.  The common purpose of all those instruments is to guarantee social security rights for the economically active and their legal dependents resident or in transit in the signatory countries.  The agreements enable a resident of one country to request a benefit prescribed in the social security legislation of the country of origin without needing to move or appoint a legal representative.  In the case of a disability benefit, the medical examination is performed in the country of residence and sent to the beneficiary’s country of origin.</w:t>
      </w:r>
    </w:p>
    <w:p w:rsidR="00000000" w:rsidRDefault="00000000"/>
    <w:p w:rsidR="00000000" w:rsidRDefault="00000000">
      <w:pPr>
        <w:pStyle w:val="ParaNo"/>
        <w:tabs>
          <w:tab w:val="clear" w:pos="360"/>
          <w:tab w:val="clear" w:pos="737"/>
        </w:tabs>
        <w:ind w:left="0" w:firstLine="0"/>
        <w:rPr>
          <w:lang w:val="en-GB"/>
        </w:rPr>
      </w:pPr>
      <w:r>
        <w:rPr>
          <w:lang w:val="en-GB"/>
        </w:rPr>
        <w:t>In further detail, the bilateral agreements signed by Brazil provide for:</w:t>
      </w:r>
    </w:p>
    <w:p w:rsidR="00000000" w:rsidRDefault="00000000"/>
    <w:p w:rsidR="00000000" w:rsidRDefault="00000000">
      <w:r>
        <w:tab/>
        <w:t>(a)</w:t>
      </w:r>
      <w:r>
        <w:tab/>
        <w:t>Equal treatment in the relevant countries of the Brazilian beneficiary and his or her dependents and of the alien and his or her dependents;</w:t>
      </w:r>
    </w:p>
    <w:p w:rsidR="00000000" w:rsidRDefault="00000000"/>
    <w:p w:rsidR="00000000" w:rsidRDefault="00000000">
      <w:r>
        <w:tab/>
        <w:t>(b)</w:t>
      </w:r>
      <w:r>
        <w:tab/>
        <w:t>Totalling of insurance periods and similar for the acquisition, maintenance and recovery of rights and to calculate the benefits:  the periods of activity or insurance are considered in the laws of both countries for exercising the rights to benefits;</w:t>
      </w:r>
    </w:p>
    <w:p w:rsidR="00000000" w:rsidRDefault="00000000"/>
    <w:p w:rsidR="00000000" w:rsidRDefault="00000000">
      <w:r>
        <w:tab/>
        <w:t>(c)</w:t>
      </w:r>
      <w:r>
        <w:tab/>
        <w:t>Medical care, for pensioners/beneficiaries and their dependents who are staying temporarily or in transit:  medical care is ensured through the modalities of the official network of the signatory country and charged to the beneficiary’s country of residence;</w:t>
      </w:r>
    </w:p>
    <w:p w:rsidR="00000000" w:rsidRDefault="00000000"/>
    <w:p w:rsidR="00000000" w:rsidRDefault="00000000">
      <w:r>
        <w:tab/>
        <w:t>(d)</w:t>
      </w:r>
      <w:r>
        <w:tab/>
        <w:t>Payment of allowances by one State to beneficiaries residing in the other signatory State:  today, Brazil has a mechanism with Spain and Greece by which payments are made to Brazilian beneficiaries resident in both countries through direct credit of their current accounts.  In the case of Brazilian beneficiaries resident in Portugal, payment is made through what is called a link organization appointed by the Portuguese Government.  The possibility of extending payment by crediting the account is under negotiation with the Bank of Brazil, in the case of Italy, in the first instance, and the other countries with which Brazil has a social security agreement in the second instance;</w:t>
      </w:r>
    </w:p>
    <w:p w:rsidR="00000000" w:rsidRDefault="00000000"/>
    <w:p w:rsidR="00000000" w:rsidRDefault="00000000">
      <w:r>
        <w:tab/>
        <w:t>(e)</w:t>
      </w:r>
      <w:r>
        <w:tab/>
        <w:t>Continuing to apply the social security laws of the country of origin of an employee of a company based in one of the signatory countries when the employee moves to the territory of the other signatory for employment.</w:t>
      </w:r>
    </w:p>
    <w:p w:rsidR="00000000" w:rsidRDefault="00000000"/>
    <w:p w:rsidR="00000000" w:rsidRDefault="00000000">
      <w:pPr>
        <w:pStyle w:val="ParaNo"/>
        <w:tabs>
          <w:tab w:val="clear" w:pos="360"/>
          <w:tab w:val="clear" w:pos="737"/>
        </w:tabs>
        <w:ind w:left="0" w:firstLine="0"/>
        <w:rPr>
          <w:lang w:val="en-GB"/>
        </w:rPr>
      </w:pPr>
      <w:r>
        <w:rPr>
          <w:lang w:val="en-GB"/>
        </w:rPr>
        <w:t>From studies already undertaken, another 10 countries were identified whose close cultural, economic, social and political ties with Brazil or the migratory flow would justify bilateral social security agreements.  They are the United States of America, Japan, Germany, France, the Netherlands, Switzerland, Canada, Korea and Suriname.  An agreement with the Netherlands is under negotiation at the moment.</w:t>
      </w:r>
    </w:p>
    <w:p w:rsidR="00000000" w:rsidRDefault="00000000"/>
    <w:p w:rsidR="00000000" w:rsidRDefault="00000000">
      <w:pPr>
        <w:pStyle w:val="ParaNo"/>
        <w:tabs>
          <w:tab w:val="clear" w:pos="360"/>
          <w:tab w:val="clear" w:pos="737"/>
        </w:tabs>
        <w:ind w:left="0" w:firstLine="0"/>
        <w:rPr>
          <w:lang w:val="en-GB"/>
        </w:rPr>
      </w:pPr>
      <w:r>
        <w:rPr>
          <w:lang w:val="en-GB"/>
        </w:rPr>
        <w:t>New bilateral agreements ensuring the provision of social security may be negotiated and signed with Brazil’s neighbouring countries, as the result of a project under way to carry out a survey in regions on the borders and accurately assess the service in terms of social security and the positive role that agreements of this type might play.</w:t>
      </w:r>
    </w:p>
    <w:p w:rsidR="00000000" w:rsidRDefault="00000000"/>
    <w:p w:rsidR="00000000" w:rsidRDefault="00000000">
      <w:pPr>
        <w:pStyle w:val="ParaNo"/>
        <w:tabs>
          <w:tab w:val="clear" w:pos="360"/>
          <w:tab w:val="clear" w:pos="737"/>
        </w:tabs>
        <w:ind w:left="0" w:firstLine="0"/>
        <w:rPr>
          <w:lang w:val="en-GB"/>
        </w:rPr>
      </w:pPr>
      <w:r>
        <w:rPr>
          <w:lang w:val="en-GB"/>
        </w:rPr>
        <w:t>The Brazilian Government also wishes to mention in its report to the Committee that the Multilateral Social Security Agreement signed by Brazil and other Mercosul countries is in the National Congress for ratification.</w:t>
      </w:r>
    </w:p>
    <w:p w:rsidR="00000000" w:rsidRDefault="00000000"/>
    <w:p w:rsidR="00000000" w:rsidRDefault="00000000">
      <w:pPr>
        <w:pStyle w:val="ParaNo"/>
        <w:tabs>
          <w:tab w:val="clear" w:pos="360"/>
          <w:tab w:val="clear" w:pos="737"/>
        </w:tabs>
        <w:ind w:left="0" w:firstLine="0"/>
        <w:rPr>
          <w:lang w:val="en-GB"/>
        </w:rPr>
      </w:pPr>
      <w:r>
        <w:rPr>
          <w:lang w:val="en-GB"/>
        </w:rPr>
        <w:t>International aid is, therefore, something to which the Brazilian Government attributes great importance in the endeavour to improve the standards of promoting and protecting the rights stated in article 9 of the International Covenant of Economic, Social and Cultural Rights.</w:t>
      </w:r>
    </w:p>
    <w:p w:rsidR="00000000" w:rsidRDefault="00000000"/>
    <w:p w:rsidR="00000000" w:rsidRDefault="00000000">
      <w:pPr>
        <w:pStyle w:val="Heading1"/>
      </w:pPr>
      <w:r>
        <w:t>Article 10</w:t>
      </w:r>
    </w:p>
    <w:p w:rsidR="00000000" w:rsidRDefault="00000000"/>
    <w:p w:rsidR="00000000" w:rsidRDefault="00000000">
      <w:pPr>
        <w:pStyle w:val="ParaNo"/>
        <w:tabs>
          <w:tab w:val="clear" w:pos="360"/>
          <w:tab w:val="clear" w:pos="737"/>
        </w:tabs>
        <w:ind w:left="0" w:firstLine="0"/>
        <w:rPr>
          <w:lang w:val="en-GB"/>
        </w:rPr>
      </w:pPr>
      <w:r>
        <w:rPr>
          <w:lang w:val="en-GB"/>
        </w:rPr>
        <w:t>As regards the international instruments on the rights contained in article 10 of the International Covenant that should be addressed, as recommended by the Committee, the Brazilian Government states as follows:</w:t>
      </w:r>
    </w:p>
    <w:p w:rsidR="00000000" w:rsidRDefault="00000000"/>
    <w:p w:rsidR="00000000" w:rsidRDefault="00000000">
      <w:r>
        <w:tab/>
        <w:t>(a)</w:t>
      </w:r>
      <w:r>
        <w:tab/>
        <w:t>Convention on the Rights of the Child.  Brazil signed the Convention and ratified it on 24 September 1990.  The Convention went into force in Brazil on 23 October 1990.  It was promulgated by Decree No. 99710 of 21 November 1990.  With respect to the rights of the child and the instruments that protect and promote them in the framework of the United Nations, it should be noted that during the recent Millennium Summit in New York, the Brazilian Vice</w:t>
      </w:r>
      <w:r>
        <w:noBreakHyphen/>
        <w:t>President signed the Optional Protocols to the Convention.  One of them addresses the involvement of children in armed conflicts while the other addresses the sale and prostitution of children and child pornography.  The processing of the two texts for submission to the National Congress is nearing completion;</w:t>
      </w:r>
    </w:p>
    <w:p w:rsidR="00000000" w:rsidRDefault="00000000"/>
    <w:p w:rsidR="00000000" w:rsidRDefault="00000000">
      <w:r>
        <w:tab/>
        <w:t>(b)</w:t>
      </w:r>
      <w:r>
        <w:tab/>
        <w:t>Convention on the Elimination of All Forms of Discrimination against Women.  Brazil signed the Convention and ratified it on 1 February 1984.</w:t>
      </w:r>
      <w:r>
        <w:rPr>
          <w:rStyle w:val="EndnoteReference"/>
        </w:rPr>
        <w:endnoteReference w:id="15"/>
      </w:r>
      <w:r>
        <w:t xml:space="preserve">  It was promulgated through Decree No. 89406 of 20 March 1984.  The process of analysis for the signing of the Optional Protocol to the Convention, adopted by the United Nations General Assembly on 6 October 1999, is under way;</w:t>
      </w:r>
    </w:p>
    <w:p w:rsidR="00000000" w:rsidRDefault="00000000"/>
    <w:p w:rsidR="00000000" w:rsidRDefault="00000000">
      <w:r>
        <w:tab/>
      </w:r>
    </w:p>
    <w:p w:rsidR="00000000" w:rsidRDefault="00000000">
      <w:r>
        <w:br w:type="page"/>
      </w:r>
      <w:r>
        <w:tab/>
        <w:t>(c)</w:t>
      </w:r>
      <w:r>
        <w:tab/>
        <w:t>ILO Maternity Protection Convention (Revised), 1952 (No. 103).  Brazil ratified the Convention on 18 May 1965.  The last International Labour Conference adopted the ILO revised text.  It should be noted that Brazilian legislation goes beyond the recommendations of Convention No. 103 and of its revised text;</w:t>
      </w:r>
    </w:p>
    <w:p w:rsidR="00000000" w:rsidRDefault="00000000"/>
    <w:p w:rsidR="00000000" w:rsidRDefault="00000000">
      <w:r>
        <w:tab/>
        <w:t>(d)</w:t>
      </w:r>
      <w:r>
        <w:tab/>
        <w:t>ILO Minimum Age Convention, 1973 (No. 138).  Brazil approved the Convention through Legislative Decree No. 179/1999.  The respective ratification instrument was delivered to ILO during the last International Labour Conference.</w:t>
      </w:r>
    </w:p>
    <w:p w:rsidR="00000000" w:rsidRDefault="00000000"/>
    <w:p w:rsidR="00000000" w:rsidRDefault="00000000">
      <w:pPr>
        <w:pStyle w:val="ParaNo"/>
        <w:tabs>
          <w:tab w:val="clear" w:pos="360"/>
          <w:tab w:val="clear" w:pos="737"/>
        </w:tabs>
        <w:ind w:left="0" w:firstLine="0"/>
        <w:rPr>
          <w:lang w:val="en-GB"/>
        </w:rPr>
      </w:pPr>
      <w:r>
        <w:rPr>
          <w:lang w:val="en-GB"/>
        </w:rPr>
        <w:t>In its guidelines for submitting reports, the Committee on Economic, Social, and Cultural Rights requests comments on the meaning of the family for society.  In Brazil, there prevails the family</w:t>
      </w:r>
      <w:r>
        <w:rPr>
          <w:lang w:val="en-GB"/>
        </w:rPr>
        <w:noBreakHyphen/>
        <w:t>with</w:t>
      </w:r>
      <w:r>
        <w:rPr>
          <w:lang w:val="en-GB"/>
        </w:rPr>
        <w:noBreakHyphen/>
        <w:t>children model (over two thirds), followed by couples</w:t>
      </w:r>
      <w:r>
        <w:rPr>
          <w:lang w:val="en-GB"/>
        </w:rPr>
        <w:noBreakHyphen/>
        <w:t>without</w:t>
      </w:r>
      <w:r>
        <w:rPr>
          <w:lang w:val="en-GB"/>
        </w:rPr>
        <w:noBreakHyphen/>
        <w:t>children or single</w:t>
      </w:r>
      <w:r>
        <w:rPr>
          <w:lang w:val="en-GB"/>
        </w:rPr>
        <w:noBreakHyphen/>
        <w:t xml:space="preserve">parent families, in which the bulk of responsibility falls on women.  The family plays an important role in the social solidarity system and to a certain extent provides care to vulnerable individuals.  The right to constitute a family is fully guaranteed and under the law parents </w:t>
      </w:r>
      <w:r>
        <w:rPr>
          <w:lang w:val="en-GB"/>
        </w:rPr>
        <w:noBreakHyphen/>
        <w:t xml:space="preserve"> even when separated </w:t>
      </w:r>
      <w:r>
        <w:rPr>
          <w:lang w:val="en-GB"/>
        </w:rPr>
        <w:noBreakHyphen/>
        <w:t xml:space="preserve"> are responsible for their dependent children.</w:t>
      </w:r>
    </w:p>
    <w:p w:rsidR="00000000" w:rsidRDefault="00000000"/>
    <w:p w:rsidR="00000000" w:rsidRDefault="00000000">
      <w:pPr>
        <w:pStyle w:val="ParaNo"/>
        <w:tabs>
          <w:tab w:val="clear" w:pos="360"/>
          <w:tab w:val="clear" w:pos="737"/>
        </w:tabs>
        <w:ind w:left="0" w:firstLine="0"/>
        <w:rPr>
          <w:lang w:val="en-GB"/>
        </w:rPr>
      </w:pPr>
      <w:r>
        <w:rPr>
          <w:lang w:val="en-GB"/>
        </w:rPr>
        <w:t>As regards adulthood, the Civil Code determines that those under 16 years of age are incapable of personally performing acts entailing civil responsibility.  From age 16 to 21, the incapacity for certain acts is relative.  Under the Civil Code, obligations contracted by those over 16 but under 21 without authorization from their legitimate representatives or the assistance of a guardian, as the case may be, are subject to nullification.</w:t>
      </w:r>
    </w:p>
    <w:p w:rsidR="00000000" w:rsidRDefault="00000000"/>
    <w:p w:rsidR="00000000" w:rsidRDefault="00000000">
      <w:pPr>
        <w:pStyle w:val="ParaNo"/>
        <w:tabs>
          <w:tab w:val="clear" w:pos="360"/>
          <w:tab w:val="clear" w:pos="737"/>
        </w:tabs>
        <w:ind w:left="0" w:firstLine="0"/>
        <w:rPr>
          <w:lang w:val="en-GB"/>
        </w:rPr>
      </w:pPr>
      <w:r>
        <w:rPr>
          <w:lang w:val="en-GB"/>
        </w:rPr>
        <w:t>The legal incapacity of minors ceases when they reach 18 or by concession of one of the parents, a judge’s decision, marriage, the effective holding of a public job, completion of junior high school, graduation from a higher education institution, or the setting up of a civil or commercial business with their own resources.</w:t>
      </w:r>
    </w:p>
    <w:p w:rsidR="00000000" w:rsidRDefault="00000000"/>
    <w:p w:rsidR="00000000" w:rsidRDefault="00000000">
      <w:pPr>
        <w:pStyle w:val="ParaNo"/>
        <w:tabs>
          <w:tab w:val="clear" w:pos="360"/>
          <w:tab w:val="clear" w:pos="737"/>
        </w:tabs>
        <w:ind w:left="0" w:firstLine="0"/>
        <w:rPr>
          <w:lang w:val="en-GB"/>
        </w:rPr>
      </w:pPr>
      <w:r>
        <w:rPr>
          <w:lang w:val="en-GB"/>
        </w:rPr>
        <w:t>For the purposes of military service, a minor’s civil incapacity ceases on the day he reaches 17 years of age.  From the standpoint of civil law, a minor’s coming of age is at 21, when he/she becomes able to perform any legal act.</w:t>
      </w:r>
    </w:p>
    <w:p w:rsidR="00000000" w:rsidRDefault="00000000"/>
    <w:p w:rsidR="00000000" w:rsidRDefault="00000000">
      <w:pPr>
        <w:pStyle w:val="ParaNo"/>
        <w:tabs>
          <w:tab w:val="clear" w:pos="360"/>
          <w:tab w:val="clear" w:pos="737"/>
        </w:tabs>
        <w:ind w:left="0" w:firstLine="0"/>
        <w:rPr>
          <w:lang w:val="en-GB"/>
        </w:rPr>
      </w:pPr>
      <w:r>
        <w:rPr>
          <w:lang w:val="en-GB"/>
        </w:rPr>
        <w:t>From the standpoint of the Penal Code, the Child and Adolescent Statute adopted in 1990 introduced new concepts for the promotion and protection of the rights of children and adolescents.  The Statute is recognized internationally and by specialized United Nations bodies as an innovative piece of legislation even by comparison with countries of regions with longer traditions in this area.  The Statute innovated by substantively changing the concept of minor protection.  Up to age 12, minors are not imputable and between 12 and 18 they come under specific laws and courts.  Though this legislation is innovative, the Brazilian Government recognizes that its actual enforcement has not yet reached the desired level for promoting and protecting the rights of children and adolescents.  The Government reiterates here its determination to proceed with the efforts to translate the Statute into concrete reality.</w:t>
      </w:r>
    </w:p>
    <w:p w:rsidR="00000000" w:rsidRDefault="00000000"/>
    <w:p w:rsidR="00000000" w:rsidRDefault="00000000">
      <w:pPr>
        <w:pStyle w:val="ParaNo"/>
        <w:tabs>
          <w:tab w:val="clear" w:pos="360"/>
          <w:tab w:val="clear" w:pos="737"/>
        </w:tabs>
        <w:ind w:left="0" w:firstLine="0"/>
        <w:rPr>
          <w:lang w:val="en-GB"/>
        </w:rPr>
      </w:pPr>
      <w:r>
        <w:rPr>
          <w:lang w:val="en-GB"/>
        </w:rPr>
        <w:br w:type="page"/>
        <w:t>Legal norms relating to children and adolescents are the following:  articles 6, 9, and 154</w:t>
      </w:r>
      <w:r>
        <w:rPr>
          <w:lang w:val="en-GB"/>
        </w:rPr>
        <w:noBreakHyphen/>
        <w:t>156 of the Civil Code; article 73 of the Military Service Law (Law 4375 of 17 August 1974), and the Child and Adolescent Statute (Law 8069 of 13 July 1990).</w:t>
      </w:r>
    </w:p>
    <w:p w:rsidR="00000000" w:rsidRDefault="00000000"/>
    <w:p w:rsidR="00000000" w:rsidRDefault="00000000">
      <w:pPr>
        <w:pStyle w:val="ParaNo"/>
        <w:tabs>
          <w:tab w:val="clear" w:pos="360"/>
          <w:tab w:val="clear" w:pos="737"/>
        </w:tabs>
        <w:ind w:left="0" w:firstLine="0"/>
        <w:rPr>
          <w:lang w:val="en-GB"/>
        </w:rPr>
      </w:pPr>
      <w:r>
        <w:rPr>
          <w:lang w:val="en-GB"/>
        </w:rPr>
        <w:t>As regards official and semi</w:t>
      </w:r>
      <w:r>
        <w:rPr>
          <w:lang w:val="en-GB"/>
        </w:rPr>
        <w:noBreakHyphen/>
        <w:t>official forms of assistance to and protection of the family, the Constitution, for the purposes of State protection, recognizes as a family unit the stable union of a man and a woman.  Church weddings are valid for civil ends; there is no charge for the civil marriage ceremony.</w:t>
      </w:r>
    </w:p>
    <w:p w:rsidR="00000000" w:rsidRDefault="00000000"/>
    <w:p w:rsidR="00000000" w:rsidRDefault="00000000">
      <w:pPr>
        <w:pStyle w:val="ParaNo"/>
        <w:tabs>
          <w:tab w:val="clear" w:pos="360"/>
          <w:tab w:val="clear" w:pos="737"/>
        </w:tabs>
        <w:ind w:left="0" w:firstLine="0"/>
        <w:rPr>
          <w:lang w:val="en-GB"/>
        </w:rPr>
      </w:pPr>
      <w:r>
        <w:rPr>
          <w:lang w:val="en-GB"/>
        </w:rPr>
        <w:t>The right to marry is guaranteed by both the Constitution and the Civil Code.  However, in its Book I devoted to provisions regarding family rights, the Civil Code sets the following limitations on marriage before age 21:  to marry, women under 16 and male adolescents under 18 need parental consent (or court authorization, in case parents are missing).  Other impediments to marriage are provided by the legislation in the following cases:  marriage between ascendant and descendant; between siblings; between adopted child and civil sibling; between married individuals; between guardian or his/her kin and a ward; and of those subject to paternal authority (age limit).</w:t>
      </w:r>
    </w:p>
    <w:p w:rsidR="00000000" w:rsidRDefault="00000000"/>
    <w:p w:rsidR="00000000" w:rsidRDefault="00000000">
      <w:pPr>
        <w:pStyle w:val="ParaNo"/>
        <w:tabs>
          <w:tab w:val="clear" w:pos="360"/>
          <w:tab w:val="clear" w:pos="737"/>
        </w:tabs>
        <w:ind w:left="0" w:firstLine="0"/>
        <w:rPr>
          <w:lang w:val="en-GB"/>
        </w:rPr>
      </w:pPr>
      <w:r>
        <w:rPr>
          <w:lang w:val="en-GB"/>
        </w:rPr>
        <w:t>Parents are responsible for the upkeep, custody and education of their children.  The norms of reference in this regard are the Federal Constitution (art. 226) and the Civil Code (Book I, art. 183ff and art. 0231).</w:t>
      </w:r>
    </w:p>
    <w:p w:rsidR="00000000" w:rsidRDefault="00000000"/>
    <w:p w:rsidR="00000000" w:rsidRDefault="00000000">
      <w:pPr>
        <w:pStyle w:val="ParaNo"/>
        <w:tabs>
          <w:tab w:val="clear" w:pos="360"/>
          <w:tab w:val="clear" w:pos="737"/>
        </w:tabs>
        <w:ind w:left="0" w:firstLine="0"/>
        <w:rPr>
          <w:lang w:val="en-GB"/>
        </w:rPr>
      </w:pPr>
      <w:r>
        <w:rPr>
          <w:lang w:val="en-GB"/>
        </w:rPr>
        <w:t>Maternity protection, pre</w:t>
      </w:r>
      <w:r>
        <w:rPr>
          <w:lang w:val="en-GB"/>
        </w:rPr>
        <w:noBreakHyphen/>
        <w:t>school assistance and schooling, among other State measures, are aimed at protecting citizenship, as regards both the individual and the family group.  Similar benefits are provided in the area of social welfare in the form of maternity allowance and family allowance.</w:t>
      </w:r>
    </w:p>
    <w:p w:rsidR="00000000" w:rsidRDefault="00000000"/>
    <w:p w:rsidR="00000000" w:rsidRDefault="00000000">
      <w:pPr>
        <w:pStyle w:val="ParaNo"/>
        <w:tabs>
          <w:tab w:val="clear" w:pos="360"/>
          <w:tab w:val="clear" w:pos="737"/>
        </w:tabs>
        <w:ind w:left="0" w:firstLine="0"/>
        <w:rPr>
          <w:lang w:val="en-GB"/>
        </w:rPr>
      </w:pPr>
      <w:r>
        <w:rPr>
          <w:lang w:val="en-GB"/>
        </w:rPr>
        <w:t xml:space="preserve">Since December 1999, the maternity allowance is guaranteed to all women registered with the social security system, regardless of their status in the labour market.  The Brazilian system of maternity protection is grounded in the following legal and constitutional provisions:  the 1988 Federal Constitution (art. 7, </w:t>
      </w:r>
      <w:r>
        <w:rPr>
          <w:i/>
          <w:iCs/>
          <w:lang w:val="en-GB"/>
        </w:rPr>
        <w:t>xviii</w:t>
      </w:r>
      <w:r>
        <w:rPr>
          <w:lang w:val="en-GB"/>
        </w:rPr>
        <w:t xml:space="preserve">; art. 203, I and art. 208, </w:t>
      </w:r>
      <w:r>
        <w:rPr>
          <w:i/>
          <w:iCs/>
          <w:lang w:val="en-GB"/>
        </w:rPr>
        <w:t>iv</w:t>
      </w:r>
      <w:r>
        <w:rPr>
          <w:lang w:val="en-GB"/>
        </w:rPr>
        <w:t>); ILO Convention No. 103; Consolidated Labour Legislation (Title III, chap. III, sect. V).</w:t>
      </w:r>
    </w:p>
    <w:p w:rsidR="00000000" w:rsidRDefault="00000000"/>
    <w:p w:rsidR="00000000" w:rsidRDefault="00000000">
      <w:pPr>
        <w:pStyle w:val="ParaNo"/>
        <w:tabs>
          <w:tab w:val="clear" w:pos="360"/>
          <w:tab w:val="clear" w:pos="737"/>
        </w:tabs>
        <w:ind w:left="0" w:firstLine="0"/>
        <w:rPr>
          <w:lang w:val="en-GB"/>
        </w:rPr>
      </w:pPr>
      <w:r>
        <w:rPr>
          <w:lang w:val="en-GB"/>
        </w:rPr>
        <w:t>Prior to 1999, the maternity protection benefit was not extended to self</w:t>
      </w:r>
      <w:r>
        <w:rPr>
          <w:lang w:val="en-GB"/>
        </w:rPr>
        <w:noBreakHyphen/>
        <w:t>employed women, businesswomen, and women who registered with the social security system voluntarily, even though they were subject to deduction.  The purpose of the recent change was to extend these benefits to all working women, both those regularly employed and independent workers.  Even if a woman works informally, she is eligible for the benefit.  The legislation extends the maternity allowance and other protection measures to regular government employees who become pregnant.</w:t>
      </w:r>
    </w:p>
    <w:p w:rsidR="00000000" w:rsidRDefault="00000000"/>
    <w:p w:rsidR="00000000" w:rsidRDefault="00000000">
      <w:pPr>
        <w:pStyle w:val="ParaNo"/>
        <w:tabs>
          <w:tab w:val="clear" w:pos="360"/>
          <w:tab w:val="clear" w:pos="737"/>
        </w:tabs>
        <w:ind w:left="0" w:firstLine="0"/>
        <w:rPr>
          <w:lang w:val="en-GB"/>
        </w:rPr>
      </w:pPr>
      <w:r>
        <w:rPr>
          <w:lang w:val="en-GB"/>
        </w:rPr>
        <w:t>To have a clearer idea of the scope of maternity protection, two aspects must be considered:  protection of working mothers and protection of their child.</w:t>
      </w:r>
    </w:p>
    <w:p w:rsidR="00000000" w:rsidRDefault="00000000"/>
    <w:p w:rsidR="00000000" w:rsidRDefault="00000000">
      <w:pPr>
        <w:pStyle w:val="ParaNo"/>
        <w:tabs>
          <w:tab w:val="clear" w:pos="360"/>
          <w:tab w:val="clear" w:pos="737"/>
        </w:tabs>
        <w:ind w:left="0" w:firstLine="0"/>
        <w:rPr>
          <w:lang w:val="en-GB"/>
        </w:rPr>
      </w:pPr>
      <w:r>
        <w:rPr>
          <w:lang w:val="en-GB"/>
        </w:rPr>
        <w:br w:type="page"/>
        <w:t>With respect to protection of the working mother, the principle of non</w:t>
      </w:r>
      <w:r>
        <w:rPr>
          <w:lang w:val="en-GB"/>
        </w:rPr>
        <w:noBreakHyphen/>
        <w:t>discrimination because of pregnancy is applied (Consolidated Labour Legislation</w:t>
      </w:r>
      <w:r>
        <w:rPr>
          <w:lang w:val="en-GB"/>
        </w:rPr>
        <w:noBreakHyphen/>
        <w:t xml:space="preserve">CLT, art. 391, chapter heading and sole paragraph).  Accordingly, the following rights are guaranteed:  maternity leave (1988 Federal Constitution, art. 7, </w:t>
      </w:r>
      <w:r>
        <w:rPr>
          <w:i/>
          <w:iCs/>
          <w:lang w:val="en-GB"/>
        </w:rPr>
        <w:t>xviii</w:t>
      </w:r>
      <w:r>
        <w:rPr>
          <w:lang w:val="en-GB"/>
        </w:rPr>
        <w:t xml:space="preserve"> and CLT, art. 392); maintenance of salary rights and benefits during maternity leave; return to the same position held before maternity leave (CLT, art. 393); termination of work contract should the job be harmful to pregnancy (CLT, art. 394); and remunerated rest in case of miscarriage and return to the same position held before leave (CLT, art. 395).</w:t>
      </w:r>
    </w:p>
    <w:p w:rsidR="00000000" w:rsidRDefault="00000000"/>
    <w:p w:rsidR="00000000" w:rsidRDefault="00000000">
      <w:pPr>
        <w:pStyle w:val="ParaNo"/>
        <w:tabs>
          <w:tab w:val="clear" w:pos="360"/>
          <w:tab w:val="clear" w:pos="737"/>
        </w:tabs>
        <w:ind w:left="0" w:firstLine="0"/>
        <w:rPr>
          <w:lang w:val="en-GB"/>
        </w:rPr>
      </w:pPr>
      <w:r>
        <w:rPr>
          <w:lang w:val="en-GB"/>
        </w:rPr>
        <w:t>Another right guaranteed a pregnant working woman is the prohibition of arbitrary or unwarranted dismissal as of confirmation of pregnancy up to five months after childbirth.  This is the so</w:t>
      </w:r>
      <w:r>
        <w:rPr>
          <w:lang w:val="en-GB"/>
        </w:rPr>
        <w:noBreakHyphen/>
        <w:t xml:space="preserve">called pregnant employee’s provisional tenure on the job, contained in the Transitional Constitutional Provisions Act (art. 10, II, </w:t>
      </w:r>
      <w:r>
        <w:rPr>
          <w:i/>
          <w:iCs/>
          <w:lang w:val="en-GB"/>
        </w:rPr>
        <w:t>b</w:t>
      </w:r>
      <w:r>
        <w:rPr>
          <w:lang w:val="en-GB"/>
        </w:rPr>
        <w:t>).  The termination of such an employee’s work contract during this tenure period does not guarantee the right to return to the job, but only the right to the salary and benefits corresponding to this period and attendant effects.  In this regard, uncontested precedent has already been established by the Superior Labour Court</w:t>
      </w:r>
      <w:r>
        <w:rPr>
          <w:lang w:val="en-GB"/>
        </w:rPr>
        <w:noBreakHyphen/>
        <w:t>TST (TST Opinion No. 244).</w:t>
      </w:r>
    </w:p>
    <w:p w:rsidR="00000000" w:rsidRDefault="00000000"/>
    <w:p w:rsidR="00000000" w:rsidRDefault="00000000">
      <w:pPr>
        <w:pStyle w:val="ParaNo"/>
        <w:tabs>
          <w:tab w:val="clear" w:pos="360"/>
          <w:tab w:val="clear" w:pos="737"/>
        </w:tabs>
        <w:ind w:left="0" w:firstLine="0"/>
        <w:rPr>
          <w:lang w:val="en-GB"/>
        </w:rPr>
      </w:pPr>
      <w:r>
        <w:rPr>
          <w:lang w:val="en-GB"/>
        </w:rPr>
        <w:t>As regards child protection, the Consolidated Labour Legislation provides for two special 30</w:t>
      </w:r>
      <w:r>
        <w:rPr>
          <w:lang w:val="en-GB"/>
        </w:rPr>
        <w:noBreakHyphen/>
        <w:t>minute rest periods during working hours so that a mother may nurse her baby, until the baby is six months old (CLT, art. 396).  The CLT recommends that paragovernmental entities (SESI, SESC, LBA) and other public agencies devoted to children’s welfare should, according to their capabilities, maintain nurseries and kindergartens in areas with a higher concentration of workers, to care especially for the children of female workers (CLT, art. 397).</w:t>
      </w:r>
    </w:p>
    <w:p w:rsidR="00000000" w:rsidRDefault="00000000"/>
    <w:p w:rsidR="00000000" w:rsidRDefault="00000000">
      <w:pPr>
        <w:pStyle w:val="ParaNo"/>
        <w:tabs>
          <w:tab w:val="clear" w:pos="360"/>
          <w:tab w:val="clear" w:pos="737"/>
        </w:tabs>
        <w:ind w:left="0" w:firstLine="0"/>
        <w:rPr>
          <w:lang w:val="en-GB"/>
        </w:rPr>
      </w:pPr>
      <w:r>
        <w:rPr>
          <w:lang w:val="en-GB"/>
        </w:rPr>
        <w:t>Maternity leave is granted for 120 days, in two instalments:  28 days before and 92 days after confinement.  The mother has the option of requesting maternity leave in a single instalment after confinement.</w:t>
      </w:r>
    </w:p>
    <w:p w:rsidR="00000000" w:rsidRDefault="00000000"/>
    <w:p w:rsidR="00000000" w:rsidRDefault="00000000">
      <w:pPr>
        <w:pStyle w:val="ParaNo"/>
        <w:tabs>
          <w:tab w:val="clear" w:pos="360"/>
          <w:tab w:val="clear" w:pos="737"/>
        </w:tabs>
        <w:ind w:left="0" w:firstLine="0"/>
        <w:rPr>
          <w:lang w:val="en-GB"/>
        </w:rPr>
      </w:pPr>
      <w:r>
        <w:rPr>
          <w:lang w:val="en-GB"/>
        </w:rPr>
        <w:t xml:space="preserve">The basic benefit due a working woman during maternity leave is the maternity allowance (1988 Federal Constitution, art. 7, </w:t>
      </w:r>
      <w:r>
        <w:rPr>
          <w:i/>
          <w:iCs/>
          <w:lang w:val="en-GB"/>
        </w:rPr>
        <w:t>xviii</w:t>
      </w:r>
      <w:r>
        <w:rPr>
          <w:lang w:val="en-GB"/>
        </w:rPr>
        <w:t xml:space="preserve">), paid out directly by the social security system.  The State has the duty to promote actions and services in the areas of public health and welfare to benefit anyone in need thereof, including working women during pregnancy and maternity leave (1988 Federal Constitution, art. 198, </w:t>
      </w:r>
      <w:r>
        <w:rPr>
          <w:i/>
          <w:iCs/>
          <w:lang w:val="en-GB"/>
        </w:rPr>
        <w:t>ii</w:t>
      </w:r>
      <w:r>
        <w:rPr>
          <w:lang w:val="en-GB"/>
        </w:rPr>
        <w:t xml:space="preserve"> and art. 203, </w:t>
      </w:r>
      <w:r>
        <w:rPr>
          <w:i/>
          <w:iCs/>
          <w:lang w:val="en-GB"/>
        </w:rPr>
        <w:t>i</w:t>
      </w:r>
      <w:r>
        <w:rPr>
          <w:lang w:val="en-GB"/>
        </w:rPr>
        <w:t>).</w:t>
      </w:r>
    </w:p>
    <w:p w:rsidR="00000000" w:rsidRDefault="00000000"/>
    <w:p w:rsidR="00000000" w:rsidRDefault="00000000">
      <w:pPr>
        <w:pStyle w:val="ParaNo"/>
        <w:tabs>
          <w:tab w:val="clear" w:pos="360"/>
          <w:tab w:val="clear" w:pos="737"/>
        </w:tabs>
        <w:ind w:left="0" w:firstLine="0"/>
        <w:rPr>
          <w:lang w:val="en-GB"/>
        </w:rPr>
      </w:pPr>
      <w:r>
        <w:rPr>
          <w:lang w:val="en-GB"/>
        </w:rPr>
        <w:t>Since December 1999, the benefit, corresponding to the female employee’s full monthly salary, is paid out directly by the social security system.  Before, the maternity allowance of housemaids and independent workers was paid from social security while the allowance of all other working women was the responsibility of the businesses that employed them, even though their allowance came from social security.</w:t>
      </w:r>
    </w:p>
    <w:p w:rsidR="00000000" w:rsidRDefault="00000000"/>
    <w:p w:rsidR="00000000" w:rsidRDefault="00000000">
      <w:pPr>
        <w:pStyle w:val="ParaNo"/>
        <w:tabs>
          <w:tab w:val="clear" w:pos="360"/>
          <w:tab w:val="clear" w:pos="737"/>
        </w:tabs>
        <w:ind w:left="0" w:firstLine="0"/>
        <w:rPr>
          <w:lang w:val="en-GB"/>
        </w:rPr>
      </w:pPr>
      <w:r>
        <w:rPr>
          <w:lang w:val="en-GB"/>
        </w:rPr>
        <w:t>Medical expenses, another benefit granted by the Brazilian State, are covered by the free public health system to the extent of the latter’s capabilities.  Table 42 below shows maternity salary payments from 1995 to 1999.</w:t>
      </w:r>
    </w:p>
    <w:p w:rsidR="00000000" w:rsidRDefault="00000000"/>
    <w:p w:rsidR="00000000" w:rsidRDefault="00000000">
      <w:pPr>
        <w:pStyle w:val="Heading1"/>
      </w:pPr>
      <w:r>
        <w:t>Table 42</w:t>
      </w:r>
    </w:p>
    <w:p w:rsidR="00000000" w:rsidRDefault="00000000">
      <w:pPr>
        <w:pStyle w:val="Heading1"/>
      </w:pPr>
    </w:p>
    <w:p w:rsidR="00000000" w:rsidRDefault="00000000">
      <w:pPr>
        <w:pStyle w:val="Heading1"/>
      </w:pPr>
      <w:r>
        <w:t>Maternity salary 1995</w:t>
      </w:r>
      <w:r>
        <w:noBreakHyphen/>
        <w:t>1999</w:t>
      </w:r>
    </w:p>
    <w:p w:rsidR="00000000" w:rsidRDefault="00000000"/>
    <w:tbl>
      <w:tblPr>
        <w:tblW w:w="0" w:type="auto"/>
        <w:tblInd w:w="8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6"/>
        <w:gridCol w:w="2552"/>
        <w:gridCol w:w="3685"/>
      </w:tblGrid>
      <w:tr w:rsidR="00000000">
        <w:tblPrEx>
          <w:tblCellMar>
            <w:top w:w="0" w:type="dxa"/>
            <w:bottom w:w="0" w:type="dxa"/>
          </w:tblCellMar>
        </w:tblPrEx>
        <w:tc>
          <w:tcPr>
            <w:tcW w:w="1276" w:type="dxa"/>
            <w:tcBorders>
              <w:bottom w:val="single" w:sz="4" w:space="0" w:color="auto"/>
            </w:tcBorders>
          </w:tcPr>
          <w:p w:rsidR="00000000" w:rsidRDefault="00000000">
            <w:pPr>
              <w:jc w:val="center"/>
            </w:pPr>
            <w:r>
              <w:t>Year</w:t>
            </w:r>
          </w:p>
        </w:tc>
        <w:tc>
          <w:tcPr>
            <w:tcW w:w="2552" w:type="dxa"/>
            <w:tcBorders>
              <w:bottom w:val="single" w:sz="4" w:space="0" w:color="auto"/>
            </w:tcBorders>
          </w:tcPr>
          <w:p w:rsidR="00000000" w:rsidRDefault="00000000">
            <w:pPr>
              <w:jc w:val="center"/>
            </w:pPr>
            <w:r>
              <w:t>Number as at December</w:t>
            </w:r>
          </w:p>
        </w:tc>
        <w:tc>
          <w:tcPr>
            <w:tcW w:w="3685" w:type="dxa"/>
            <w:tcBorders>
              <w:bottom w:val="single" w:sz="4" w:space="0" w:color="auto"/>
            </w:tcBorders>
          </w:tcPr>
          <w:p w:rsidR="00000000" w:rsidRDefault="00000000">
            <w:r>
              <w:t>Amount (in Cr$ millions of June 1999), cumulative for the year</w:t>
            </w:r>
          </w:p>
        </w:tc>
      </w:tr>
      <w:tr w:rsidR="00000000">
        <w:tblPrEx>
          <w:tblCellMar>
            <w:top w:w="0" w:type="dxa"/>
            <w:bottom w:w="0" w:type="dxa"/>
          </w:tblCellMar>
        </w:tblPrEx>
        <w:tc>
          <w:tcPr>
            <w:tcW w:w="1276" w:type="dxa"/>
            <w:tcBorders>
              <w:bottom w:val="nil"/>
            </w:tcBorders>
          </w:tcPr>
          <w:p w:rsidR="00000000" w:rsidRDefault="00000000">
            <w:pPr>
              <w:jc w:val="center"/>
            </w:pPr>
            <w:r>
              <w:t>1995</w:t>
            </w:r>
          </w:p>
        </w:tc>
        <w:tc>
          <w:tcPr>
            <w:tcW w:w="2552" w:type="dxa"/>
            <w:tcBorders>
              <w:bottom w:val="nil"/>
            </w:tcBorders>
          </w:tcPr>
          <w:p w:rsidR="00000000" w:rsidRDefault="00000000">
            <w:pPr>
              <w:jc w:val="center"/>
            </w:pPr>
            <w:r>
              <w:t>14 895</w:t>
            </w:r>
          </w:p>
        </w:tc>
        <w:tc>
          <w:tcPr>
            <w:tcW w:w="3685" w:type="dxa"/>
            <w:tcBorders>
              <w:bottom w:val="nil"/>
            </w:tcBorders>
          </w:tcPr>
          <w:p w:rsidR="00000000" w:rsidRDefault="00000000">
            <w:pPr>
              <w:jc w:val="center"/>
            </w:pPr>
            <w:r>
              <w:t>14.77</w:t>
            </w:r>
          </w:p>
        </w:tc>
      </w:tr>
      <w:tr w:rsidR="00000000">
        <w:tblPrEx>
          <w:tblCellMar>
            <w:top w:w="0" w:type="dxa"/>
            <w:bottom w:w="0" w:type="dxa"/>
          </w:tblCellMar>
        </w:tblPrEx>
        <w:tc>
          <w:tcPr>
            <w:tcW w:w="1276" w:type="dxa"/>
            <w:tcBorders>
              <w:top w:val="nil"/>
              <w:bottom w:val="nil"/>
            </w:tcBorders>
          </w:tcPr>
          <w:p w:rsidR="00000000" w:rsidRDefault="00000000">
            <w:pPr>
              <w:jc w:val="center"/>
            </w:pPr>
            <w:r>
              <w:t>1996</w:t>
            </w:r>
          </w:p>
        </w:tc>
        <w:tc>
          <w:tcPr>
            <w:tcW w:w="2552" w:type="dxa"/>
            <w:tcBorders>
              <w:top w:val="nil"/>
              <w:bottom w:val="nil"/>
            </w:tcBorders>
          </w:tcPr>
          <w:p w:rsidR="00000000" w:rsidRDefault="00000000">
            <w:pPr>
              <w:jc w:val="center"/>
            </w:pPr>
            <w:r>
              <w:t>20 214</w:t>
            </w:r>
          </w:p>
        </w:tc>
        <w:tc>
          <w:tcPr>
            <w:tcW w:w="3685" w:type="dxa"/>
            <w:tcBorders>
              <w:top w:val="nil"/>
              <w:bottom w:val="nil"/>
            </w:tcBorders>
          </w:tcPr>
          <w:p w:rsidR="00000000" w:rsidRDefault="00000000">
            <w:pPr>
              <w:jc w:val="center"/>
            </w:pPr>
            <w:r>
              <w:t>22.98</w:t>
            </w:r>
          </w:p>
        </w:tc>
      </w:tr>
      <w:tr w:rsidR="00000000">
        <w:tblPrEx>
          <w:tblCellMar>
            <w:top w:w="0" w:type="dxa"/>
            <w:bottom w:w="0" w:type="dxa"/>
          </w:tblCellMar>
        </w:tblPrEx>
        <w:tc>
          <w:tcPr>
            <w:tcW w:w="1276" w:type="dxa"/>
            <w:tcBorders>
              <w:top w:val="nil"/>
              <w:bottom w:val="nil"/>
            </w:tcBorders>
          </w:tcPr>
          <w:p w:rsidR="00000000" w:rsidRDefault="00000000">
            <w:pPr>
              <w:jc w:val="center"/>
            </w:pPr>
            <w:r>
              <w:t>1997</w:t>
            </w:r>
          </w:p>
        </w:tc>
        <w:tc>
          <w:tcPr>
            <w:tcW w:w="2552" w:type="dxa"/>
            <w:tcBorders>
              <w:top w:val="nil"/>
              <w:bottom w:val="nil"/>
            </w:tcBorders>
          </w:tcPr>
          <w:p w:rsidR="00000000" w:rsidRDefault="00000000">
            <w:pPr>
              <w:jc w:val="center"/>
            </w:pPr>
            <w:r>
              <w:t>27 094</w:t>
            </w:r>
          </w:p>
        </w:tc>
        <w:tc>
          <w:tcPr>
            <w:tcW w:w="3685" w:type="dxa"/>
            <w:tcBorders>
              <w:top w:val="nil"/>
              <w:bottom w:val="nil"/>
            </w:tcBorders>
          </w:tcPr>
          <w:p w:rsidR="00000000" w:rsidRDefault="00000000">
            <w:pPr>
              <w:jc w:val="center"/>
            </w:pPr>
            <w:r>
              <w:t>34.50</w:t>
            </w:r>
          </w:p>
        </w:tc>
      </w:tr>
      <w:tr w:rsidR="00000000">
        <w:tblPrEx>
          <w:tblCellMar>
            <w:top w:w="0" w:type="dxa"/>
            <w:bottom w:w="0" w:type="dxa"/>
          </w:tblCellMar>
        </w:tblPrEx>
        <w:tc>
          <w:tcPr>
            <w:tcW w:w="1276" w:type="dxa"/>
            <w:tcBorders>
              <w:top w:val="nil"/>
              <w:bottom w:val="nil"/>
            </w:tcBorders>
          </w:tcPr>
          <w:p w:rsidR="00000000" w:rsidRDefault="00000000">
            <w:pPr>
              <w:jc w:val="center"/>
            </w:pPr>
            <w:r>
              <w:t>1998</w:t>
            </w:r>
          </w:p>
        </w:tc>
        <w:tc>
          <w:tcPr>
            <w:tcW w:w="2552" w:type="dxa"/>
            <w:tcBorders>
              <w:top w:val="nil"/>
              <w:bottom w:val="nil"/>
            </w:tcBorders>
          </w:tcPr>
          <w:p w:rsidR="00000000" w:rsidRDefault="00000000">
            <w:pPr>
              <w:jc w:val="center"/>
            </w:pPr>
            <w:r>
              <w:t>34 175</w:t>
            </w:r>
          </w:p>
        </w:tc>
        <w:tc>
          <w:tcPr>
            <w:tcW w:w="3685" w:type="dxa"/>
            <w:tcBorders>
              <w:top w:val="nil"/>
              <w:bottom w:val="nil"/>
            </w:tcBorders>
          </w:tcPr>
          <w:p w:rsidR="00000000" w:rsidRDefault="00000000">
            <w:pPr>
              <w:jc w:val="center"/>
            </w:pPr>
            <w:r>
              <w:t>48.97</w:t>
            </w:r>
          </w:p>
        </w:tc>
      </w:tr>
      <w:tr w:rsidR="00000000">
        <w:tblPrEx>
          <w:tblCellMar>
            <w:top w:w="0" w:type="dxa"/>
            <w:bottom w:w="0" w:type="dxa"/>
          </w:tblCellMar>
        </w:tblPrEx>
        <w:tc>
          <w:tcPr>
            <w:tcW w:w="1276" w:type="dxa"/>
            <w:tcBorders>
              <w:top w:val="nil"/>
            </w:tcBorders>
          </w:tcPr>
          <w:p w:rsidR="00000000" w:rsidRDefault="00000000">
            <w:pPr>
              <w:jc w:val="center"/>
            </w:pPr>
            <w:r>
              <w:t>1999</w:t>
            </w:r>
          </w:p>
        </w:tc>
        <w:tc>
          <w:tcPr>
            <w:tcW w:w="2552" w:type="dxa"/>
            <w:tcBorders>
              <w:top w:val="nil"/>
            </w:tcBorders>
          </w:tcPr>
          <w:p w:rsidR="00000000" w:rsidRDefault="00000000">
            <w:pPr>
              <w:jc w:val="center"/>
            </w:pPr>
            <w:r>
              <w:t>38 176</w:t>
            </w:r>
          </w:p>
        </w:tc>
        <w:tc>
          <w:tcPr>
            <w:tcW w:w="3685" w:type="dxa"/>
            <w:tcBorders>
              <w:top w:val="nil"/>
            </w:tcBorders>
          </w:tcPr>
          <w:p w:rsidR="00000000" w:rsidRDefault="00000000">
            <w:pPr>
              <w:jc w:val="center"/>
            </w:pPr>
            <w:r>
              <w:t>63.86</w:t>
            </w:r>
          </w:p>
        </w:tc>
      </w:tr>
    </w:tbl>
    <w:p w:rsidR="00000000" w:rsidRDefault="00000000"/>
    <w:p w:rsidR="00000000" w:rsidRDefault="00000000">
      <w:r>
        <w:tab/>
      </w:r>
      <w:r>
        <w:rPr>
          <w:u w:val="single"/>
        </w:rPr>
        <w:t>Source</w:t>
      </w:r>
      <w:r>
        <w:t xml:space="preserve">:  </w:t>
      </w:r>
      <w:r>
        <w:rPr>
          <w:u w:val="single"/>
        </w:rPr>
        <w:t>Social Security Statistics Yearbook</w:t>
      </w:r>
      <w:r>
        <w:t xml:space="preserve"> and </w:t>
      </w:r>
      <w:r>
        <w:rPr>
          <w:u w:val="single"/>
        </w:rPr>
        <w:t>Social Security Statistics Bulletin</w:t>
      </w:r>
      <w:r>
        <w:t>.</w:t>
      </w:r>
    </w:p>
    <w:p w:rsidR="00000000" w:rsidRDefault="00000000"/>
    <w:p w:rsidR="00000000" w:rsidRDefault="00000000">
      <w:pPr>
        <w:pStyle w:val="ParaNo"/>
        <w:tabs>
          <w:tab w:val="clear" w:pos="360"/>
          <w:tab w:val="clear" w:pos="737"/>
        </w:tabs>
        <w:rPr>
          <w:lang w:val="en-GB"/>
        </w:rPr>
      </w:pPr>
      <w:r>
        <w:rPr>
          <w:lang w:val="en-GB"/>
        </w:rPr>
        <w:t>According to the Brazilian legal system, all working women are entitled to maternity protection in the terms explained above.  In practice, however, those who do not have an employee’s registration card (informal market) often have this right violated.  This happens because there is no record of their registration as employed women who contribute to social security, which facilitates non</w:t>
      </w:r>
      <w:r>
        <w:rPr>
          <w:lang w:val="en-GB"/>
        </w:rPr>
        <w:noBreakHyphen/>
        <w:t>compliance with coverage norms.  The Government is developing supervisory mechanisms to address this situation.  One way of preventing this practice is to regularize the working woman’s situation, bringing her into the formal market (record on her worker’s card).  Should this attempt fail, her employer can be sued and subjected to the payment of a fine (administrative fine).</w:t>
      </w:r>
    </w:p>
    <w:p w:rsidR="00000000" w:rsidRDefault="00000000"/>
    <w:p w:rsidR="00000000" w:rsidRDefault="00000000">
      <w:pPr>
        <w:pStyle w:val="ParaNo"/>
        <w:tabs>
          <w:tab w:val="clear" w:pos="360"/>
          <w:tab w:val="clear" w:pos="737"/>
        </w:tabs>
        <w:rPr>
          <w:lang w:val="en-GB"/>
        </w:rPr>
      </w:pPr>
      <w:r>
        <w:rPr>
          <w:lang w:val="en-GB"/>
        </w:rPr>
        <w:t>Health coverage is extended to all Brazilian women.  Coverage related to work, though, is limited to working women who contribute to social security.</w:t>
      </w:r>
    </w:p>
    <w:p w:rsidR="00000000" w:rsidRDefault="00000000"/>
    <w:p w:rsidR="00000000" w:rsidRDefault="00000000">
      <w:pPr>
        <w:pStyle w:val="ParaNo"/>
        <w:tabs>
          <w:tab w:val="clear" w:pos="360"/>
          <w:tab w:val="clear" w:pos="737"/>
        </w:tabs>
        <w:rPr>
          <w:lang w:val="en-GB"/>
        </w:rPr>
      </w:pPr>
      <w:r>
        <w:rPr>
          <w:lang w:val="en-GB"/>
        </w:rPr>
        <w:t>At this point, the Committee’s guidelines request that States address the issue of child labour  In this respect, the Brazilian Government wishes to point out that combating child labour </w:t>
      </w:r>
      <w:r>
        <w:rPr>
          <w:lang w:val="en-GB"/>
        </w:rPr>
        <w:noBreakHyphen/>
        <w:t xml:space="preserve"> as well as irregular adolescent labour </w:t>
      </w:r>
      <w:r>
        <w:rPr>
          <w:lang w:val="en-GB"/>
        </w:rPr>
        <w:noBreakHyphen/>
        <w:t xml:space="preserve"> is a priority on the Government’s agenda, particularly as regards so</w:t>
      </w:r>
      <w:r>
        <w:rPr>
          <w:lang w:val="en-GB"/>
        </w:rPr>
        <w:noBreakHyphen/>
        <w:t>called intolerable forms of labour that affect the health, security and moral development of children and young people.</w:t>
      </w:r>
    </w:p>
    <w:p w:rsidR="00000000" w:rsidRDefault="00000000"/>
    <w:p w:rsidR="00000000" w:rsidRDefault="00000000">
      <w:pPr>
        <w:pStyle w:val="ParaNo"/>
        <w:tabs>
          <w:tab w:val="clear" w:pos="360"/>
          <w:tab w:val="clear" w:pos="737"/>
        </w:tabs>
        <w:rPr>
          <w:lang w:val="en-GB"/>
        </w:rPr>
      </w:pPr>
      <w:r>
        <w:rPr>
          <w:lang w:val="en-GB"/>
        </w:rPr>
        <w:t xml:space="preserve">This topic is on Brazil’s social policy agenda and poses a challenge to Government and society alike.  But the Government recognizes that it shoulders the major responsibility for designing policies, legislation, strategies and actions aimed at eliminating child labour, particularly and above all in its intolerable manifestations, as it is not consistent with the ethics of a democratic society determined to ensure fairness and equal opportunities for all its citizens.  </w:t>
      </w:r>
    </w:p>
    <w:p w:rsidR="00000000" w:rsidRDefault="00000000"/>
    <w:p w:rsidR="00000000" w:rsidRDefault="00000000">
      <w:pPr>
        <w:pStyle w:val="ParaNo"/>
        <w:tabs>
          <w:tab w:val="clear" w:pos="360"/>
          <w:tab w:val="clear" w:pos="737"/>
        </w:tabs>
        <w:rPr>
          <w:lang w:val="en-GB"/>
        </w:rPr>
      </w:pPr>
      <w:r>
        <w:rPr>
          <w:lang w:val="en-GB"/>
        </w:rPr>
        <w:t>Still, child labour is a complex issue.  In a country with Brazil’s characteristics, several factors must be taken into account in analysing this problem.  Its occurrence is certainly associated with poverty, inequality and social exclusion; with factors of a cultural and economic nature and with the social organization of production; with the often regionally differentiated culture vis</w:t>
      </w:r>
      <w:r>
        <w:rPr>
          <w:lang w:val="en-GB"/>
        </w:rPr>
        <w:noBreakHyphen/>
        <w:t>à</w:t>
      </w:r>
      <w:r>
        <w:rPr>
          <w:lang w:val="en-GB"/>
        </w:rPr>
        <w:noBreakHyphen/>
        <w:t>vis the valuation of work, whereby children are drafted into the work force as a way to draw them away from idleness or possible delinquency; with factors linked to traditional and familiar forms of economic organization, particularly in the case of small</w:t>
      </w:r>
      <w:r>
        <w:rPr>
          <w:lang w:val="en-GB"/>
        </w:rPr>
        <w:noBreakHyphen/>
        <w:t>scale farming.</w:t>
      </w:r>
      <w:r>
        <w:rPr>
          <w:rStyle w:val="EndnoteReference"/>
          <w:lang w:val="en-GB"/>
        </w:rPr>
        <w:endnoteReference w:id="16"/>
      </w:r>
    </w:p>
    <w:p w:rsidR="00000000" w:rsidRDefault="00000000"/>
    <w:p w:rsidR="00000000" w:rsidRDefault="00000000">
      <w:pPr>
        <w:pStyle w:val="ParaNo"/>
        <w:tabs>
          <w:tab w:val="clear" w:pos="360"/>
          <w:tab w:val="clear" w:pos="737"/>
        </w:tabs>
        <w:rPr>
          <w:lang w:val="en-GB"/>
        </w:rPr>
      </w:pPr>
      <w:r>
        <w:rPr>
          <w:lang w:val="en-GB"/>
        </w:rPr>
        <w:t>Admitting the existence of this problem in Brazil and the problem’s complexity, the Government has endeavoured to develop, in close association with society, instruments, institutions and programmes to combat all forms of child labour.  Important in this respect are not only the figures showing the premature entry of children into the work force but also the nature of the work, particularly in view of the working conditions, dangers and abuses to which these working children are subjected.</w:t>
      </w:r>
    </w:p>
    <w:p w:rsidR="00000000" w:rsidRDefault="00000000"/>
    <w:p w:rsidR="00000000" w:rsidRDefault="00000000">
      <w:pPr>
        <w:pStyle w:val="ParaNo"/>
        <w:tabs>
          <w:tab w:val="clear" w:pos="360"/>
          <w:tab w:val="clear" w:pos="737"/>
        </w:tabs>
        <w:rPr>
          <w:lang w:val="en-GB"/>
        </w:rPr>
      </w:pPr>
      <w:r>
        <w:rPr>
          <w:lang w:val="en-GB"/>
        </w:rPr>
        <w:t>In Brazil’s case, high</w:t>
      </w:r>
      <w:r>
        <w:rPr>
          <w:lang w:val="en-GB"/>
        </w:rPr>
        <w:noBreakHyphen/>
        <w:t>risk child labour occurs in the rural areas, in charcoal kilns, quarries, sisal processing, sugar cane agribusiness and salt extraction.  In urban areas, it occurs in the informal sector and in some formal activities, such as shoe manufacturing in certain areas.  Children also participate in illegal, anti</w:t>
      </w:r>
      <w:r>
        <w:rPr>
          <w:lang w:val="en-GB"/>
        </w:rPr>
        <w:noBreakHyphen/>
        <w:t>social, high</w:t>
      </w:r>
      <w:r>
        <w:rPr>
          <w:lang w:val="en-GB"/>
        </w:rPr>
        <w:noBreakHyphen/>
        <w:t>risk activities such as prostitution and drug trafficking.</w:t>
      </w:r>
    </w:p>
    <w:p w:rsidR="00000000" w:rsidRDefault="00000000"/>
    <w:p w:rsidR="00000000" w:rsidRDefault="00000000">
      <w:pPr>
        <w:pStyle w:val="ParaNo"/>
        <w:tabs>
          <w:tab w:val="clear" w:pos="360"/>
          <w:tab w:val="clear" w:pos="737"/>
        </w:tabs>
        <w:rPr>
          <w:lang w:val="en-GB"/>
        </w:rPr>
      </w:pPr>
      <w:r>
        <w:rPr>
          <w:lang w:val="en-GB"/>
        </w:rPr>
        <w:t>The United Nations Children’s Fund</w:t>
      </w:r>
      <w:r>
        <w:rPr>
          <w:lang w:val="en-GB"/>
        </w:rPr>
        <w:noBreakHyphen/>
        <w:t>UNICEF lists the following characteristics that, singly or together, make too</w:t>
      </w:r>
      <w:r>
        <w:rPr>
          <w:lang w:val="en-GB"/>
        </w:rPr>
        <w:noBreakHyphen/>
        <w:t>early work harmful to the educational, psychological, and social development of children:  (i) full time work at an early age; (ii) long workdays; (iii) work leading to situations of physical, social or psychological stress or harmful to the child’s full psychological and social development; (iv) work on the streets under hazardous conditions for the child’s health and physical and moral integrity: (v) work that interferes with school attendance; (vi) work entailing excessive responsibility for the child’s age; (vii) work that compromises or threatens the child’s dignity and self</w:t>
      </w:r>
      <w:r>
        <w:rPr>
          <w:lang w:val="en-GB"/>
        </w:rPr>
        <w:noBreakHyphen/>
        <w:t>esteem, particularly work entailing forced labour and sexual exploitation; and (viii) underpaid work.</w:t>
      </w:r>
    </w:p>
    <w:p w:rsidR="00000000" w:rsidRDefault="00000000"/>
    <w:p w:rsidR="00000000" w:rsidRDefault="00000000">
      <w:pPr>
        <w:pStyle w:val="ParaNo"/>
        <w:tabs>
          <w:tab w:val="clear" w:pos="360"/>
          <w:tab w:val="clear" w:pos="737"/>
        </w:tabs>
        <w:rPr>
          <w:lang w:val="en-GB"/>
        </w:rPr>
      </w:pPr>
      <w:r>
        <w:rPr>
          <w:lang w:val="en-GB"/>
        </w:rPr>
        <w:t>The question of child labour in Brazil must also be viewed from the perspective of family activity.  Not even the most recent data obtained through the 1999 National Household Sample Survey cover family child labour.  However, given the importance of this phenomenon, the Brazilian Geographical and Statistical Institute is carrying out research in this area.</w:t>
      </w:r>
    </w:p>
    <w:p w:rsidR="00000000" w:rsidRDefault="00000000"/>
    <w:p w:rsidR="00000000" w:rsidRDefault="00000000">
      <w:pPr>
        <w:pStyle w:val="ParaNo"/>
        <w:tabs>
          <w:tab w:val="clear" w:pos="360"/>
          <w:tab w:val="clear" w:pos="737"/>
        </w:tabs>
        <w:rPr>
          <w:lang w:val="en-GB"/>
        </w:rPr>
      </w:pPr>
      <w:r>
        <w:rPr>
          <w:lang w:val="en-GB"/>
        </w:rPr>
        <w:t>In many cases it is difficult to establish the occurrence of child labour, as employers in general do not hire children directly.  For example, parents may be hired to do a job related to clothing, say, or to the assembling or manufacturing of parts.  As they must fill a production quota, these parents put the whole family to work at home, where control is practically impossible.</w:t>
      </w:r>
    </w:p>
    <w:p w:rsidR="00000000" w:rsidRDefault="00000000"/>
    <w:p w:rsidR="00000000" w:rsidRDefault="00000000">
      <w:pPr>
        <w:pStyle w:val="ParaNo"/>
        <w:tabs>
          <w:tab w:val="clear" w:pos="360"/>
          <w:tab w:val="clear" w:pos="737"/>
        </w:tabs>
        <w:rPr>
          <w:lang w:val="en-GB"/>
        </w:rPr>
      </w:pPr>
      <w:r>
        <w:rPr>
          <w:lang w:val="en-GB"/>
        </w:rPr>
        <w:t>The 1988 Constitution sets the minimum working age at 14.  Between 12 and 14, children may work only as apprentices.  But the Brazilian Government has sent the National Congress a constitutional amendment proposal making work by children under 14 illegal, even if they work as apprentices.  The 1999 Child and Adolescent Statute</w:t>
      </w:r>
      <w:r>
        <w:rPr>
          <w:lang w:val="en-GB"/>
        </w:rPr>
        <w:noBreakHyphen/>
        <w:t>ECA incorporated some of the principles of ILO Convention No. 138, which sets the minimum age for entering the labour market and places some restrictions on work by children under 14.</w:t>
      </w:r>
      <w:r>
        <w:rPr>
          <w:lang w:val="en-GB"/>
        </w:rPr>
        <w:cr/>
      </w:r>
    </w:p>
    <w:p w:rsidR="00000000" w:rsidRDefault="00000000">
      <w:pPr>
        <w:pStyle w:val="ParaNo"/>
        <w:tabs>
          <w:tab w:val="clear" w:pos="360"/>
          <w:tab w:val="clear" w:pos="737"/>
        </w:tabs>
        <w:rPr>
          <w:lang w:val="en-GB"/>
        </w:rPr>
      </w:pPr>
      <w:r>
        <w:rPr>
          <w:lang w:val="en-GB"/>
        </w:rPr>
        <w:t>As to governmental measures to eliminate child labour, it should be noted that in recent years a legal framework has been put in place.  In each state, a State Commission against Child Labour has been established under the Ministry of Labour.  A National Child and Adolescent Rights Council</w:t>
      </w:r>
      <w:r>
        <w:rPr>
          <w:lang w:val="en-GB"/>
        </w:rPr>
        <w:noBreakHyphen/>
        <w:t>CONANDA has been set up at the Ministry of Justice.  Also under the Ministry of Justice, Child and Adolescent Rights Councils and Custodian Councils have been created at the State and municipal levels.</w:t>
      </w:r>
    </w:p>
    <w:p w:rsidR="00000000" w:rsidRDefault="00000000">
      <w:pPr>
        <w:pStyle w:val="ParaNo"/>
        <w:tabs>
          <w:tab w:val="clear" w:pos="360"/>
          <w:tab w:val="clear" w:pos="737"/>
        </w:tabs>
        <w:rPr>
          <w:lang w:val="en-GB"/>
        </w:rPr>
      </w:pPr>
      <w:r>
        <w:rPr>
          <w:lang w:val="en-GB"/>
        </w:rPr>
        <w:t>To integrate its initiatives in this area, the Federal Government has established a Forced Child Labour Repression Group</w:t>
      </w:r>
      <w:r>
        <w:rPr>
          <w:lang w:val="en-GB"/>
        </w:rPr>
        <w:noBreakHyphen/>
        <w:t>GERTRAF, consisting of seven ministries and coordinated by the Ministry of Labour.  The major effort aimed at integrating governmental and societal initiatives is undertaken by the National Forum for the Prevention and Elimination of Child Labour, which has the support of UNICEF and ILO.  The Forum has drawn up an Integrated Action Plan</w:t>
      </w:r>
      <w:r>
        <w:rPr>
          <w:lang w:val="en-GB"/>
        </w:rPr>
        <w:noBreakHyphen/>
        <w:t>PAI, under which scholarships are granted to families that take away their children from child labour and keep them in school.</w:t>
      </w:r>
    </w:p>
    <w:p w:rsidR="00000000" w:rsidRDefault="00000000"/>
    <w:p w:rsidR="00000000" w:rsidRDefault="00000000">
      <w:pPr>
        <w:pStyle w:val="ParaNo"/>
        <w:tabs>
          <w:tab w:val="clear" w:pos="360"/>
          <w:tab w:val="clear" w:pos="737"/>
        </w:tabs>
        <w:rPr>
          <w:lang w:val="en-GB"/>
        </w:rPr>
      </w:pPr>
      <w:r>
        <w:rPr>
          <w:lang w:val="en-GB"/>
        </w:rPr>
        <w:t>The realization of the problem and the forms whereby the Government and society are addressing it have been put on record in national and international forums and the documents devoted to the issue of child labour.  Despite progress in understanding the problem and in the implementation of initiatives, there is still much to be done, with respect not only to the devising of new strategies but also to the institutional coordination within and outside the various government sectors to expand activities aimed at combating child labour.</w:t>
      </w:r>
    </w:p>
    <w:p w:rsidR="00000000" w:rsidRDefault="00000000"/>
    <w:p w:rsidR="00000000" w:rsidRDefault="00000000">
      <w:pPr>
        <w:pStyle w:val="ParaNo"/>
        <w:tabs>
          <w:tab w:val="clear" w:pos="360"/>
          <w:tab w:val="clear" w:pos="737"/>
        </w:tabs>
        <w:rPr>
          <w:lang w:val="en-GB"/>
        </w:rPr>
      </w:pPr>
      <w:r>
        <w:rPr>
          <w:lang w:val="en-GB"/>
        </w:rPr>
        <w:t>A description follows of the characteristics of child labour in Brazil.  This analysis, done in the second half of the 1990s, reflects data gathered by the Brazilian Geographical and Statistical Institute.</w:t>
      </w:r>
      <w:r>
        <w:rPr>
          <w:rStyle w:val="EndnoteReference"/>
          <w:lang w:val="en-GB"/>
        </w:rPr>
        <w:endnoteReference w:id="17"/>
      </w:r>
      <w:r>
        <w:rPr>
          <w:lang w:val="en-GB"/>
        </w:rPr>
        <w:t xml:space="preserve">  It should be noted that improved surveys and more thorough analyses done since have identified a declining trend.  This can be gathered from the 1999 National Household Sample Survey, which showed that the percentage of working children aged 5 to 14 has dropped from 11 per cent in 1995 to 9 per cent.  Of the 2,908,341 working children and adolescents, 87.1 per cent (2,532,965) were in the 10</w:t>
      </w:r>
      <w:r>
        <w:rPr>
          <w:lang w:val="en-GB"/>
        </w:rPr>
        <w:noBreakHyphen/>
        <w:t>14 age bracket while 12.9 per cent were in the 5</w:t>
      </w:r>
      <w:r>
        <w:rPr>
          <w:lang w:val="en-GB"/>
        </w:rPr>
        <w:noBreakHyphen/>
        <w:t>9</w:t>
      </w:r>
      <w:r>
        <w:rPr>
          <w:lang w:val="en-GB"/>
        </w:rPr>
        <w:noBreakHyphen/>
        <w:t>age bracket.  The number of working children and adolescents of both sexes aged 5</w:t>
      </w:r>
      <w:r>
        <w:rPr>
          <w:lang w:val="en-GB"/>
        </w:rPr>
        <w:noBreakHyphen/>
        <w:t>14 has dropped in relation to 1995.  This breaks down according to gender as follows: girls, from 14.5 per cent to 11.8 per cent; boys, from 7.8 per cent to 6.0 per cent.</w:t>
      </w:r>
    </w:p>
    <w:p w:rsidR="00000000" w:rsidRDefault="00000000"/>
    <w:p w:rsidR="00000000" w:rsidRDefault="00000000">
      <w:pPr>
        <w:pStyle w:val="ParaNo"/>
        <w:tabs>
          <w:tab w:val="clear" w:pos="360"/>
          <w:tab w:val="clear" w:pos="737"/>
        </w:tabs>
        <w:rPr>
          <w:lang w:val="en-GB"/>
        </w:rPr>
      </w:pPr>
      <w:r>
        <w:rPr>
          <w:u w:val="single"/>
          <w:lang w:val="en-GB"/>
        </w:rPr>
        <w:t>Children aged 5</w:t>
      </w:r>
      <w:r>
        <w:rPr>
          <w:u w:val="single"/>
          <w:lang w:val="en-GB"/>
        </w:rPr>
        <w:noBreakHyphen/>
        <w:t>9</w:t>
      </w:r>
      <w:r>
        <w:rPr>
          <w:lang w:val="en-GB"/>
        </w:rPr>
        <w:t>.  The 1995 National Household Sample Survey showed that 3.6 per cent (581,300) of children aged 5</w:t>
      </w:r>
      <w:r>
        <w:rPr>
          <w:lang w:val="en-GB"/>
        </w:rPr>
        <w:noBreakHyphen/>
        <w:t>9 were working an average of 16.2 hours weekly.  Most of the work (79.2 per cent) was typical agricultural chores, particularly in small</w:t>
      </w:r>
      <w:r>
        <w:rPr>
          <w:lang w:val="en-GB"/>
        </w:rPr>
        <w:noBreakHyphen/>
        <w:t>scale family farming.  Thus, 63.2 per cent of the children were working on their own.  In a consistent pattern, 75 per cent of working children in this age bracket came from families whose head was occupied in farming.  It should be noted that 61 per cent of the household heads in households where child labour was recorded are self</w:t>
      </w:r>
      <w:r>
        <w:rPr>
          <w:lang w:val="en-GB"/>
        </w:rPr>
        <w:noBreakHyphen/>
        <w:t>employed and involved in farming activities.  Of the working children in this age group, 51.7 per cent lived in north</w:t>
      </w:r>
      <w:r>
        <w:rPr>
          <w:lang w:val="en-GB"/>
        </w:rPr>
        <w:noBreakHyphen/>
        <w:t>eastern States and did work related to family farming.  The demographic and economic characteristics of family heads show that in households where children aged 5</w:t>
      </w:r>
      <w:r>
        <w:rPr>
          <w:lang w:val="en-GB"/>
        </w:rPr>
        <w:noBreakHyphen/>
        <w:t>9 worked, 92 per cent of the family heads were men; 57.8 per cent were mulatto; 37 per cent were white; 35.4 per cent earned up to Cr$ 100 monthly; and 56 per cent could read and write.  Moreover, 91 per cent of working children came from two</w:t>
      </w:r>
      <w:r>
        <w:rPr>
          <w:lang w:val="en-GB"/>
        </w:rPr>
        <w:noBreakHyphen/>
        <w:t>parent homes.  Thus, the data on the 5</w:t>
      </w:r>
      <w:r>
        <w:rPr>
          <w:lang w:val="en-GB"/>
        </w:rPr>
        <w:noBreakHyphen/>
        <w:t>9 age bracket show that child labour is not very significant, as far as the number of hours is concerned.  The work is of an agricultural nature, localized mostly in the north</w:t>
      </w:r>
      <w:r>
        <w:rPr>
          <w:lang w:val="en-GB"/>
        </w:rPr>
        <w:noBreakHyphen/>
        <w:t>east, predominantly independent, and typical of poor families with a low educational level.</w:t>
      </w:r>
    </w:p>
    <w:p w:rsidR="00000000" w:rsidRDefault="00000000"/>
    <w:p w:rsidR="00000000" w:rsidRDefault="00000000">
      <w:pPr>
        <w:pStyle w:val="ParaNo"/>
        <w:tabs>
          <w:tab w:val="clear" w:pos="360"/>
          <w:tab w:val="clear" w:pos="737"/>
        </w:tabs>
        <w:rPr>
          <w:lang w:val="en-GB"/>
        </w:rPr>
      </w:pPr>
      <w:r>
        <w:rPr>
          <w:lang w:val="en-GB"/>
        </w:rPr>
        <w:t>A declining trend in the number of working children aged 5</w:t>
      </w:r>
      <w:r>
        <w:rPr>
          <w:lang w:val="en-GB"/>
        </w:rPr>
        <w:noBreakHyphen/>
        <w:t>9 has been detected from 1995 to 1999, as the total dropped from 519,000 to 375,000.</w:t>
      </w:r>
    </w:p>
    <w:p w:rsidR="00000000" w:rsidRDefault="00000000"/>
    <w:p w:rsidR="00000000" w:rsidRDefault="00000000">
      <w:pPr>
        <w:pStyle w:val="ParaNo"/>
        <w:tabs>
          <w:tab w:val="clear" w:pos="360"/>
          <w:tab w:val="clear" w:pos="737"/>
        </w:tabs>
        <w:rPr>
          <w:lang w:val="en-GB"/>
        </w:rPr>
      </w:pPr>
      <w:r>
        <w:rPr>
          <w:u w:val="single"/>
          <w:lang w:val="en-GB"/>
        </w:rPr>
        <w:t>Children aged 10</w:t>
      </w:r>
      <w:r>
        <w:rPr>
          <w:u w:val="single"/>
          <w:lang w:val="en-GB"/>
        </w:rPr>
        <w:noBreakHyphen/>
        <w:t>14</w:t>
      </w:r>
      <w:r>
        <w:rPr>
          <w:lang w:val="en-GB"/>
        </w:rPr>
        <w:t>.  The percentage of working children in the 10</w:t>
      </w:r>
      <w:r>
        <w:rPr>
          <w:lang w:val="en-GB"/>
        </w:rPr>
        <w:noBreakHyphen/>
        <w:t>14 age bracket has risen substantially.  Of a total of about 17.6 million children in this group, 18.7 per cent (3.3 million) were working.  Child labour in this group is predominantly male (87.4 per cent).  Approximately 57.3 per cent were black or mulatto and 41.7 per cent were white.  Some 54.6 per cent of these children lived in the rural areas.  A breakdown by region shows that 47.5 per cent of these working children are in the north</w:t>
      </w:r>
      <w:r>
        <w:rPr>
          <w:lang w:val="en-GB"/>
        </w:rPr>
        <w:noBreakHyphen/>
        <w:t>east and 23.8 per cent in the south</w:t>
      </w:r>
      <w:r>
        <w:rPr>
          <w:lang w:val="en-GB"/>
        </w:rPr>
        <w:noBreakHyphen/>
        <w:t>east.  The percentage of working children in this age bracket in the north</w:t>
      </w:r>
      <w:r>
        <w:rPr>
          <w:lang w:val="en-GB"/>
        </w:rPr>
        <w:noBreakHyphen/>
        <w:t>east is higher than the region’s share of the total working population (28.7 per cent).  Of the 1,480,000 children in this age group living in urban settings, 34.1 per cent lived in the north</w:t>
      </w:r>
      <w:r>
        <w:rPr>
          <w:lang w:val="en-GB"/>
        </w:rPr>
        <w:noBreakHyphen/>
        <w:t>east and 33.1 per cent in the south, a similar proportion.  It should be noted that of the 1,780,000 living in the rural area, the percentage living in the north</w:t>
      </w:r>
      <w:r>
        <w:rPr>
          <w:lang w:val="en-GB"/>
        </w:rPr>
        <w:noBreakHyphen/>
        <w:t>east was high (58.6 per cent), well above that of the south (16 per cent).  Thus, the data point to a significant participation of working children in the rural areas in the north</w:t>
      </w:r>
      <w:r>
        <w:rPr>
          <w:lang w:val="en-GB"/>
        </w:rPr>
        <w:noBreakHyphen/>
        <w:t>east, and a smaller participation in the country’s southern region.  These children’s main occupation was agriculture and animal husbandry (58.3 per cent), followed by commerce (12.4 per cent), and industry and services (11.2 per cent).  Indeed, the figures showed that 53.8 per cent worked on farms and various types of smallholdings, while 23.1 per cent worked in shops, workshops, factories and offices.  At the time of the survey, the children worked on small rural properties that functioned on the basis of family economy, such as in tobacco growing.  Parents working outside the small family concern, such as on sugarcane plantations and on charcoal production, used their children’s work to ensure production quotas.  That means that the early entry of these children into the labour force was decided by the family as a way of increasing its production quotas to supplement family income.  Although it has an immediate economic rationale as a means of ensuring the family’s survival, this approach has a high social cost in the long run, as it perpetuates poverty and inequality within and between generations.  Child labour in the 10</w:t>
      </w:r>
      <w:r>
        <w:rPr>
          <w:lang w:val="en-GB"/>
        </w:rPr>
        <w:noBreakHyphen/>
        <w:t>14 age group also occurred outside the family context and away from parental protection in workshops, small businesses and domestic service.  The informal sector also absorbed child labour, as, for example, in activities carried out on the streets (street vendors, car washers and car watchers, bootblacks, etc.).  The 1995 data showed that 56.6 per cent of working children were not paid for their work; of those receiving some sort of pay, 88.8 per cent earned up to one minimum salary; about 58 per cent worked from 15 to 39 hours a week, the average being 26.5 hours.  The data identified the following characteristics of the heads of the families of working children:  (i) 87.4 per cent of families were headed by a man; (ii) 52.2 per cent were mulatto and 41.7 per cent were white; (iii) 39.8 per cent could not read or write; (iv) 56.1 per cent were self</w:t>
      </w:r>
      <w:r>
        <w:rPr>
          <w:lang w:val="en-GB"/>
        </w:rPr>
        <w:noBreakHyphen/>
        <w:t>employed; and (v) 34.5 per cent earned up to one minimum monthly salary.  The same aspects were evidenced for the 10</w:t>
      </w:r>
      <w:r>
        <w:rPr>
          <w:lang w:val="en-GB"/>
        </w:rPr>
        <w:noBreakHyphen/>
        <w:t>14 age group as for the 5</w:t>
      </w:r>
      <w:r>
        <w:rPr>
          <w:lang w:val="en-GB"/>
        </w:rPr>
        <w:noBreakHyphen/>
        <w:t>9 age group: these working children come from poor families with a low educational level; for the most part their parents work on their own on family farming and, to a large extent, they lived in the north</w:t>
      </w:r>
      <w:r>
        <w:rPr>
          <w:lang w:val="en-GB"/>
        </w:rPr>
        <w:noBreakHyphen/>
        <w:t>east.  However, besides forming a much larger contingent, the 10</w:t>
      </w:r>
      <w:r>
        <w:rPr>
          <w:lang w:val="en-GB"/>
        </w:rPr>
        <w:noBreakHyphen/>
        <w:t>14 group works in a much wider range of activities, particularly in typically urban occupations, in which they are often subject to risky and abusive conditions.</w:t>
      </w:r>
    </w:p>
    <w:p w:rsidR="00000000" w:rsidRDefault="00000000"/>
    <w:p w:rsidR="00000000" w:rsidRDefault="00000000">
      <w:pPr>
        <w:pStyle w:val="ParaNo"/>
        <w:tabs>
          <w:tab w:val="clear" w:pos="360"/>
          <w:tab w:val="clear" w:pos="737"/>
        </w:tabs>
        <w:rPr>
          <w:lang w:val="en-GB"/>
        </w:rPr>
      </w:pPr>
      <w:r>
        <w:rPr>
          <w:lang w:val="en-GB"/>
        </w:rPr>
        <w:t>The same declining trend was observed in the 10</w:t>
      </w:r>
      <w:r>
        <w:rPr>
          <w:lang w:val="en-GB"/>
        </w:rPr>
        <w:noBreakHyphen/>
        <w:t>14 age bracket during 1995</w:t>
      </w:r>
      <w:r>
        <w:rPr>
          <w:lang w:val="en-GB"/>
        </w:rPr>
        <w:noBreakHyphen/>
        <w:t>1999: the total number of working children dropped from 3.3 million to 2.5 million.</w:t>
      </w:r>
    </w:p>
    <w:p w:rsidR="00000000" w:rsidRDefault="00000000"/>
    <w:p w:rsidR="00000000" w:rsidRDefault="00000000">
      <w:pPr>
        <w:pStyle w:val="ParaNo"/>
        <w:tabs>
          <w:tab w:val="clear" w:pos="360"/>
          <w:tab w:val="clear" w:pos="737"/>
        </w:tabs>
        <w:rPr>
          <w:lang w:val="en-GB"/>
        </w:rPr>
      </w:pPr>
      <w:r>
        <w:rPr>
          <w:lang w:val="en-GB"/>
        </w:rPr>
        <w:br w:type="page"/>
        <w:t>Another important datum is the percentage of children out of school.  The 1999 National Household Sample Survey showed a drop in the number of children aged 7</w:t>
      </w:r>
      <w:r>
        <w:rPr>
          <w:lang w:val="en-GB"/>
        </w:rPr>
        <w:noBreakHyphen/>
        <w:t>14 who do not attend school as compared with 1998.  In 1998, 5.3 per cent of children in this age bracket did not attend school; in 1999, this figure dropped to 4.3 per cent.</w:t>
      </w:r>
    </w:p>
    <w:p w:rsidR="00000000" w:rsidRDefault="00000000"/>
    <w:p w:rsidR="00000000" w:rsidRDefault="00000000">
      <w:pPr>
        <w:pStyle w:val="ParaNo"/>
        <w:tabs>
          <w:tab w:val="clear" w:pos="360"/>
          <w:tab w:val="clear" w:pos="737"/>
        </w:tabs>
        <w:rPr>
          <w:lang w:val="en-GB"/>
        </w:rPr>
      </w:pPr>
      <w:r>
        <w:rPr>
          <w:lang w:val="en-GB"/>
        </w:rPr>
        <w:t>The Brazilian Government wishes to point out to the Committee on Economic, Social and Cultural Rights the main features of each instrument available in Brazil for combating child labour.</w:t>
      </w:r>
    </w:p>
    <w:p w:rsidR="00000000" w:rsidRDefault="00000000"/>
    <w:p w:rsidR="00000000" w:rsidRDefault="00000000">
      <w:pPr>
        <w:pStyle w:val="ParaNo"/>
        <w:tabs>
          <w:tab w:val="clear" w:pos="360"/>
          <w:tab w:val="clear" w:pos="737"/>
        </w:tabs>
        <w:rPr>
          <w:lang w:val="en-GB"/>
        </w:rPr>
      </w:pPr>
      <w:r>
        <w:rPr>
          <w:lang w:val="en-GB"/>
        </w:rPr>
        <w:t>From a historical point of view, the Brazilian child labour legislation goes back to 1891, when Decree No. 1313 determined that female minors aged 12</w:t>
      </w:r>
      <w:r>
        <w:rPr>
          <w:lang w:val="en-GB"/>
        </w:rPr>
        <w:noBreakHyphen/>
        <w:t>15 and male minors aged 12</w:t>
      </w:r>
      <w:r>
        <w:rPr>
          <w:lang w:val="en-GB"/>
        </w:rPr>
        <w:noBreakHyphen/>
        <w:t>14 would have a workday of a maximum of 7 hours, while male minors aged 14</w:t>
      </w:r>
      <w:r>
        <w:rPr>
          <w:lang w:val="en-GB"/>
        </w:rPr>
        <w:noBreakHyphen/>
        <w:t>15 would have a workday of a maximum of 9 hours.  Up to the adoption of the Consolidated Labour Legislation</w:t>
      </w:r>
      <w:r>
        <w:rPr>
          <w:lang w:val="en-GB"/>
        </w:rPr>
        <w:noBreakHyphen/>
        <w:t>CLT in 1943, several instruments regulated the minimum working age, such as the 1927 First Latin American Minors Code, which prohibited child labour under age 12 and night work for minors under 18.  The CLT addressed this issue in a comprehensive manner, set the minimum work age at 12, and defined the conditions in which work was allowed.</w:t>
      </w:r>
    </w:p>
    <w:p w:rsidR="00000000" w:rsidRDefault="00000000"/>
    <w:p w:rsidR="00000000" w:rsidRDefault="00000000">
      <w:pPr>
        <w:pStyle w:val="ParaNo"/>
        <w:tabs>
          <w:tab w:val="clear" w:pos="360"/>
          <w:tab w:val="clear" w:pos="737"/>
        </w:tabs>
        <w:rPr>
          <w:lang w:val="en-GB"/>
        </w:rPr>
      </w:pPr>
      <w:r>
        <w:rPr>
          <w:lang w:val="en-GB"/>
        </w:rPr>
        <w:t xml:space="preserve">The Federal Constitution, in various provisions, provides for the protection of child and adolescent rights.  Worth noting is article 227, which states that it is the duty of the family, society and the State to ensure </w:t>
      </w:r>
      <w:r>
        <w:rPr>
          <w:lang w:val="en-GB"/>
        </w:rPr>
        <w:noBreakHyphen/>
        <w:t xml:space="preserve"> on an absolute priority basis </w:t>
      </w:r>
      <w:r>
        <w:rPr>
          <w:lang w:val="en-GB"/>
        </w:rPr>
        <w:noBreakHyphen/>
        <w:t xml:space="preserve"> the child’s and the adolescent’s right to life, health, food, education, leisure, vocational training, culture, dignity, respect, liberty, and family and community life, as well as providing protection from negligence, discrimination, exploitation, violence, cruelty and oppression.  The State’s commitment to promote child and adolescent rights is clearly expressed in the Constitution’s provision that “…the State shall promote programmes to provide full assistance to the health of children and adolescents and to this end the participation of non</w:t>
      </w:r>
      <w:r>
        <w:rPr>
          <w:lang w:val="en-GB"/>
        </w:rPr>
        <w:noBreakHyphen/>
        <w:t>governmental organizations shall be permitted.”  Article 203 asserts that this assistance shall be accorded to anyone who may need it, irrespective of any contribution to social security, and states that emphasis shall be given to assisting destitute children and adolescents.</w:t>
      </w:r>
    </w:p>
    <w:p w:rsidR="00000000" w:rsidRDefault="00000000"/>
    <w:p w:rsidR="00000000" w:rsidRDefault="00000000">
      <w:pPr>
        <w:pStyle w:val="ParaNo"/>
        <w:tabs>
          <w:tab w:val="clear" w:pos="360"/>
          <w:tab w:val="clear" w:pos="737"/>
        </w:tabs>
        <w:rPr>
          <w:lang w:val="en-GB"/>
        </w:rPr>
      </w:pPr>
      <w:r>
        <w:rPr>
          <w:lang w:val="en-GB"/>
        </w:rPr>
        <w:t xml:space="preserve">The same provision sets at 14 the minimum age for being admitted to work, with the proviso set forth in article 7, </w:t>
      </w:r>
      <w:r>
        <w:rPr>
          <w:i/>
          <w:iCs/>
          <w:lang w:val="en-GB"/>
        </w:rPr>
        <w:t>xviii</w:t>
      </w:r>
      <w:r>
        <w:rPr>
          <w:lang w:val="en-GB"/>
        </w:rPr>
        <w:t>, which bars minors under 18 from night, hazardous, or unhealthy work and minors under 14 from any kind of work, except as apprentices.</w:t>
      </w:r>
    </w:p>
    <w:p w:rsidR="00000000" w:rsidRDefault="00000000"/>
    <w:p w:rsidR="00000000" w:rsidRDefault="00000000">
      <w:pPr>
        <w:pStyle w:val="ParaNo"/>
        <w:tabs>
          <w:tab w:val="clear" w:pos="360"/>
          <w:tab w:val="clear" w:pos="737"/>
        </w:tabs>
        <w:rPr>
          <w:lang w:val="en-GB"/>
        </w:rPr>
      </w:pPr>
      <w:r>
        <w:rPr>
          <w:lang w:val="en-GB"/>
        </w:rPr>
        <w:t>Article 405 of the Consolidated Labour Legislation</w:t>
      </w:r>
      <w:r>
        <w:rPr>
          <w:lang w:val="en-GB"/>
        </w:rPr>
        <w:noBreakHyphen/>
        <w:t xml:space="preserve">CLT bars adolescents from working not only in hazardous or insalubrious locations (tables identifying these conditions are prepared by the Ministry of Labour and Employment), but also in locations and on jobs harmful to a minor’s moral development (art. 405, </w:t>
      </w:r>
      <w:r>
        <w:rPr>
          <w:i/>
          <w:iCs/>
          <w:lang w:val="en-GB"/>
        </w:rPr>
        <w:t>ii</w:t>
      </w:r>
      <w:r>
        <w:rPr>
          <w:lang w:val="en-GB"/>
        </w:rPr>
        <w:t xml:space="preserve">).  Article 405, paragraph 3, lists the following types of work as being harmful to a minor’s morals: (a) work in revue theatres, nightclubs, casinos, dance halls and similar establishments; (b) work in a circus, as an acrobat, mountebank, gymnast and the like; (c) work in the production, composition, delivery or sale of writings, printed matter, posters, drawings, pictures, paintings, emblems, images, and any other object that might, in the competent authority’s view, be harmful to the minor’s moral development; (d) retail sale of alcoholic beverages.  Paragraph 2 refers to work done on the streets, squares and other public </w:t>
      </w:r>
    </w:p>
    <w:p w:rsidR="00000000" w:rsidRDefault="00000000">
      <w:r>
        <w:br w:type="page"/>
        <w:t>places, determining that this type of work shall require previous authorization from the Juvenile Court, on which it is incumbent to determine if such work is essential to the minor’s own subsistence or that of his parents, grandparents, or siblings and as such might not result in harm to his moral development.</w:t>
      </w:r>
    </w:p>
    <w:p w:rsidR="00000000" w:rsidRDefault="00000000"/>
    <w:p w:rsidR="00000000" w:rsidRDefault="00000000">
      <w:pPr>
        <w:pStyle w:val="ParaNo"/>
        <w:tabs>
          <w:tab w:val="clear" w:pos="360"/>
          <w:tab w:val="clear" w:pos="737"/>
        </w:tabs>
        <w:rPr>
          <w:lang w:val="en-GB"/>
        </w:rPr>
      </w:pPr>
      <w:r>
        <w:rPr>
          <w:lang w:val="en-GB"/>
        </w:rPr>
        <w:t>Article 407 of the CLT further specifies that, should it be determined that the work done by a minor is harmful to his health, physical development, or morals, the competent authority may order the minor to quit the work and the enterprise shall make every effort to shift the minor to another activity.</w:t>
      </w:r>
    </w:p>
    <w:p w:rsidR="00000000" w:rsidRDefault="00000000"/>
    <w:p w:rsidR="00000000" w:rsidRDefault="00000000">
      <w:pPr>
        <w:pStyle w:val="ParaNo"/>
        <w:tabs>
          <w:tab w:val="clear" w:pos="360"/>
          <w:tab w:val="clear" w:pos="737"/>
        </w:tabs>
        <w:rPr>
          <w:lang w:val="en-GB"/>
        </w:rPr>
      </w:pPr>
      <w:r>
        <w:rPr>
          <w:lang w:val="en-GB"/>
        </w:rPr>
        <w:t>With respect to the table in article 405, it should be noted that the Ministry of Labour and Employment, through Directive 06/2000, has updated the list of jobs and locations considered insalubrious or hazardous.  This updating was important particularly because it included some activities that, although posing a health or safety risk to adolescents, were not on the previous listing, which left many without legal protection.</w:t>
      </w:r>
    </w:p>
    <w:p w:rsidR="00000000" w:rsidRDefault="00000000"/>
    <w:p w:rsidR="00000000" w:rsidRDefault="00000000">
      <w:pPr>
        <w:pStyle w:val="ParaNo"/>
        <w:tabs>
          <w:tab w:val="clear" w:pos="360"/>
          <w:tab w:val="clear" w:pos="737"/>
        </w:tabs>
        <w:rPr>
          <w:lang w:val="en-GB"/>
        </w:rPr>
      </w:pPr>
      <w:r>
        <w:rPr>
          <w:lang w:val="en-GB"/>
        </w:rPr>
        <w:t>As defined by article 404 of the CLL, night work, prohibited to adolescents (those under 18), is work done between 10 p.m. and 5 a.m.</w:t>
      </w:r>
    </w:p>
    <w:p w:rsidR="00000000" w:rsidRDefault="00000000"/>
    <w:p w:rsidR="00000000" w:rsidRDefault="00000000">
      <w:pPr>
        <w:pStyle w:val="ParaNo"/>
        <w:tabs>
          <w:tab w:val="clear" w:pos="360"/>
          <w:tab w:val="clear" w:pos="737"/>
        </w:tabs>
        <w:rPr>
          <w:lang w:val="en-GB"/>
        </w:rPr>
      </w:pPr>
      <w:r>
        <w:rPr>
          <w:lang w:val="en-GB"/>
        </w:rPr>
        <w:t>The Child and Adolescent Statute (Law 8069/90) also provides special protection to the adolescent apprentice aged 14</w:t>
      </w:r>
      <w:r>
        <w:rPr>
          <w:lang w:val="en-GB"/>
        </w:rPr>
        <w:noBreakHyphen/>
        <w:t>18.  The following types of work are definitely prohibited for them:  (a) night work; (b) hazardous, unhealthy, or painful work; (c) work done at locations harmful to their upbringing and to their physical, psychic, moral and social development; and (d) work done at a time and at a location that prevent a minor from attending school.</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As regards the child labour issue, the main change of a legislative nature occurred in 1990 with Constitutional Amendment No. 20, which raised from 14 to 16 the age for entering the work force.  The same thing happened with respect to apprenticeship, for which adolescents now must be 14 and no longer 12, as before.</w:t>
      </w:r>
    </w:p>
    <w:p w:rsidR="00000000" w:rsidRDefault="00000000"/>
    <w:p w:rsidR="00000000" w:rsidRDefault="00000000">
      <w:pPr>
        <w:pStyle w:val="ParaNo"/>
        <w:tabs>
          <w:tab w:val="clear" w:pos="360"/>
          <w:tab w:val="clear" w:pos="737"/>
        </w:tabs>
        <w:rPr>
          <w:lang w:val="en-GB"/>
        </w:rPr>
      </w:pPr>
      <w:r>
        <w:rPr>
          <w:lang w:val="en-GB"/>
        </w:rPr>
        <w:t>In addition to making constitutional changes, Brazil has deposited the instruments of ratification of two ILO conventions: Convention No. 138 (minimum age) and Convention No. 182 (worst forms of child labour).  With respect to Convention No. 138, Brazil has set the minimum age for entry into the work force at 16, thereby holding, at the international level, to the same commitment made internally under the Federal Constitution.  With respect to Convention No. 182, the Ministry of Labour and Employment has set up a tripartite commission for studying and determining the types of work to be considered the worst types of child labour in Brazil.  Accordingly, all the government sectors will be able, in the short run, to give priority to actions aimed at the thorough elimination of the worst forms of child labour, without detriment to the continuity of the actions aimed at eliminating all forms of child labour.</w:t>
      </w:r>
    </w:p>
    <w:p w:rsidR="00000000" w:rsidRDefault="00000000"/>
    <w:p w:rsidR="00000000" w:rsidRDefault="00000000">
      <w:pPr>
        <w:pStyle w:val="ParaNo"/>
        <w:tabs>
          <w:tab w:val="clear" w:pos="360"/>
          <w:tab w:val="clear" w:pos="737"/>
        </w:tabs>
        <w:rPr>
          <w:lang w:val="en-GB"/>
        </w:rPr>
      </w:pPr>
      <w:r>
        <w:rPr>
          <w:lang w:val="en-GB"/>
        </w:rPr>
        <w:t>Labour Inspection, under the Ministry of Labour and Employment, is one of the main tools for combating child labour in Brazil.  Inspection involves the entire Auditor</w:t>
      </w:r>
      <w:r>
        <w:rPr>
          <w:lang w:val="en-GB"/>
        </w:rPr>
        <w:noBreakHyphen/>
        <w:t>Inspector corps (about 3,200 auditor</w:t>
      </w:r>
      <w:r>
        <w:rPr>
          <w:lang w:val="en-GB"/>
        </w:rPr>
        <w:noBreakHyphen/>
        <w:t>inspectors, from doctors and work engineers to legal inspectors).  Given its size and political</w:t>
      </w:r>
      <w:r>
        <w:rPr>
          <w:lang w:val="en-GB"/>
        </w:rPr>
        <w:noBreakHyphen/>
        <w:t>administrative organization, the Ministry of Labour and Employment has units in all the Brazilian States.  Each unit has a Special Group for Combating Child Labour and Protecting Adolescent Workers</w:t>
      </w:r>
      <w:r>
        <w:rPr>
          <w:lang w:val="en-GB"/>
        </w:rPr>
        <w:noBreakHyphen/>
        <w:t xml:space="preserve">GECTIPA.  These groups were set up for the sole purpose of repressing and preventing all forms of illegal child and adolescent labour.  The GECTIPAs work according to an operational plan they draw up at the beginning of each fiscal year, which specifies the locations and activities they will inspect that year, without prejudice to their taking up any case that may be reported.  The planning usually takes into account the work done the previous year, which is published periodically by the Labour Inspection Secretariat, under the title </w:t>
      </w:r>
      <w:r>
        <w:rPr>
          <w:u w:val="single"/>
          <w:lang w:val="en-GB"/>
        </w:rPr>
        <w:t>Child and Adolescent Indicators Map</w:t>
      </w:r>
      <w:r>
        <w:rPr>
          <w:lang w:val="en-GB"/>
        </w:rPr>
        <w:t>.</w:t>
      </w:r>
    </w:p>
    <w:p w:rsidR="00000000" w:rsidRDefault="00000000"/>
    <w:p w:rsidR="00000000" w:rsidRDefault="00000000">
      <w:pPr>
        <w:pStyle w:val="ParaNo"/>
        <w:tabs>
          <w:tab w:val="clear" w:pos="360"/>
          <w:tab w:val="clear" w:pos="737"/>
        </w:tabs>
        <w:rPr>
          <w:lang w:val="en-GB"/>
        </w:rPr>
      </w:pPr>
      <w:r>
        <w:rPr>
          <w:lang w:val="en-GB"/>
        </w:rPr>
        <w:t>In 1999 Labour Inspection covered 455,048 establishments.  Of these, 52,204 were visited during specific actions aimed at combating child labour and protecting adolescent workers (figures provided by the Federal Labour Inspection System</w:t>
      </w:r>
      <w:r>
        <w:rPr>
          <w:lang w:val="en-GB"/>
        </w:rPr>
        <w:noBreakHyphen/>
        <w:t>SFIT).</w:t>
      </w:r>
    </w:p>
    <w:p w:rsidR="00000000" w:rsidRDefault="00000000"/>
    <w:p w:rsidR="00000000" w:rsidRDefault="00000000">
      <w:pPr>
        <w:pStyle w:val="ParaNo"/>
        <w:tabs>
          <w:tab w:val="clear" w:pos="360"/>
          <w:tab w:val="clear" w:pos="737"/>
        </w:tabs>
        <w:rPr>
          <w:lang w:val="en-GB"/>
        </w:rPr>
      </w:pPr>
      <w:r>
        <w:rPr>
          <w:lang w:val="en-GB"/>
        </w:rPr>
        <w:t>Besides carrying out such inspections, the Ministry of Labour and Employment also cooperates with the Social Welfare Secretariat</w:t>
      </w:r>
      <w:r>
        <w:rPr>
          <w:lang w:val="en-GB"/>
        </w:rPr>
        <w:noBreakHyphen/>
        <w:t>SEAS of the Ministry of Social Security and Welfare</w:t>
      </w:r>
      <w:r>
        <w:rPr>
          <w:lang w:val="en-GB"/>
        </w:rPr>
        <w:noBreakHyphen/>
        <w:t>MPAS on the Elimination of Child Labour Programme</w:t>
      </w:r>
      <w:r>
        <w:rPr>
          <w:lang w:val="en-GB"/>
        </w:rPr>
        <w:noBreakHyphen/>
        <w:t xml:space="preserve">PETI, one of the major government programmes under </w:t>
      </w:r>
      <w:r>
        <w:rPr>
          <w:u w:val="single"/>
          <w:lang w:val="en-GB"/>
        </w:rPr>
        <w:t>Avança, Brazil</w:t>
      </w:r>
      <w:r>
        <w:rPr>
          <w:lang w:val="en-GB"/>
        </w:rPr>
        <w:t xml:space="preserve"> (Forward, Brazil) project.  Actions under PETI range from the granting of scholarships to families so they can take their children away from work and keep them in school to expanded school hours and related activities.  Labour Inspection not only provides data for selecting locations and activities to be included in the programme but also oversees the programme’s implementation.  Since it was launched in 1996, PETI has grown steadily and covers an ever</w:t>
      </w:r>
      <w:r>
        <w:rPr>
          <w:lang w:val="en-GB"/>
        </w:rPr>
        <w:noBreakHyphen/>
        <w:t>larger number of children and adolescents, as shown by the table below.</w:t>
      </w:r>
    </w:p>
    <w:p w:rsidR="00000000" w:rsidRDefault="00000000"/>
    <w:p w:rsidR="00000000" w:rsidRDefault="00000000">
      <w:pPr>
        <w:pStyle w:val="Heading1"/>
      </w:pPr>
      <w:r>
        <w:t>Table 43</w:t>
      </w:r>
    </w:p>
    <w:p w:rsidR="00000000" w:rsidRDefault="00000000">
      <w:pPr>
        <w:pStyle w:val="Heading1"/>
      </w:pPr>
    </w:p>
    <w:p w:rsidR="00000000" w:rsidRDefault="00000000">
      <w:pPr>
        <w:pStyle w:val="Heading1"/>
      </w:pPr>
      <w:r>
        <w:t>Coverage of the Elimination of Child Labour Programme (PETI), 1996</w:t>
      </w:r>
      <w:r>
        <w:noBreakHyphen/>
        <w:t>2000</w:t>
      </w:r>
    </w:p>
    <w:p w:rsidR="00000000" w:rsidRDefault="00000000"/>
    <w:tbl>
      <w:tblPr>
        <w:tblW w:w="0" w:type="auto"/>
        <w:tblInd w:w="8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8"/>
        <w:gridCol w:w="1985"/>
        <w:gridCol w:w="2268"/>
        <w:gridCol w:w="2268"/>
      </w:tblGrid>
      <w:tr w:rsidR="00000000">
        <w:tblPrEx>
          <w:tblCellMar>
            <w:top w:w="0" w:type="dxa"/>
            <w:bottom w:w="0" w:type="dxa"/>
          </w:tblCellMar>
        </w:tblPrEx>
        <w:trPr>
          <w:tblHeader/>
        </w:trPr>
        <w:tc>
          <w:tcPr>
            <w:tcW w:w="1418" w:type="dxa"/>
            <w:tcBorders>
              <w:bottom w:val="single" w:sz="4" w:space="0" w:color="auto"/>
            </w:tcBorders>
          </w:tcPr>
          <w:p w:rsidR="00000000" w:rsidRDefault="00000000">
            <w:r>
              <w:t>Year</w:t>
            </w:r>
          </w:p>
        </w:tc>
        <w:tc>
          <w:tcPr>
            <w:tcW w:w="1985" w:type="dxa"/>
            <w:tcBorders>
              <w:bottom w:val="single" w:sz="4" w:space="0" w:color="auto"/>
            </w:tcBorders>
          </w:tcPr>
          <w:p w:rsidR="00000000" w:rsidRDefault="00000000">
            <w:pPr>
              <w:jc w:val="center"/>
            </w:pPr>
            <w:r>
              <w:t>Number of municipalities</w:t>
            </w:r>
          </w:p>
        </w:tc>
        <w:tc>
          <w:tcPr>
            <w:tcW w:w="2268" w:type="dxa"/>
            <w:tcBorders>
              <w:bottom w:val="single" w:sz="4" w:space="0" w:color="auto"/>
            </w:tcBorders>
          </w:tcPr>
          <w:p w:rsidR="00000000" w:rsidRDefault="00000000">
            <w:pPr>
              <w:jc w:val="center"/>
            </w:pPr>
            <w:r>
              <w:t>Number of children and adolescents</w:t>
            </w:r>
          </w:p>
        </w:tc>
        <w:tc>
          <w:tcPr>
            <w:tcW w:w="2268" w:type="dxa"/>
            <w:tcBorders>
              <w:bottom w:val="single" w:sz="4" w:space="0" w:color="auto"/>
            </w:tcBorders>
          </w:tcPr>
          <w:p w:rsidR="00000000" w:rsidRDefault="00000000">
            <w:pPr>
              <w:jc w:val="center"/>
            </w:pPr>
            <w:r>
              <w:t>Funds</w:t>
            </w:r>
          </w:p>
        </w:tc>
      </w:tr>
      <w:tr w:rsidR="00000000">
        <w:tblPrEx>
          <w:tblCellMar>
            <w:top w:w="0" w:type="dxa"/>
            <w:bottom w:w="0" w:type="dxa"/>
          </w:tblCellMar>
        </w:tblPrEx>
        <w:tc>
          <w:tcPr>
            <w:tcW w:w="1418" w:type="dxa"/>
            <w:tcBorders>
              <w:bottom w:val="nil"/>
            </w:tcBorders>
          </w:tcPr>
          <w:p w:rsidR="00000000" w:rsidRDefault="00000000">
            <w:r>
              <w:t>1996</w:t>
            </w:r>
          </w:p>
        </w:tc>
        <w:tc>
          <w:tcPr>
            <w:tcW w:w="1985" w:type="dxa"/>
            <w:tcBorders>
              <w:bottom w:val="nil"/>
            </w:tcBorders>
          </w:tcPr>
          <w:p w:rsidR="00000000" w:rsidRDefault="00000000">
            <w:pPr>
              <w:ind w:right="742"/>
              <w:jc w:val="right"/>
            </w:pPr>
            <w:r>
              <w:t>17</w:t>
            </w:r>
          </w:p>
        </w:tc>
        <w:tc>
          <w:tcPr>
            <w:tcW w:w="2268" w:type="dxa"/>
            <w:tcBorders>
              <w:bottom w:val="nil"/>
            </w:tcBorders>
          </w:tcPr>
          <w:p w:rsidR="00000000" w:rsidRDefault="00000000">
            <w:pPr>
              <w:ind w:right="742"/>
              <w:jc w:val="right"/>
            </w:pPr>
            <w:r>
              <w:t>3 710</w:t>
            </w:r>
          </w:p>
        </w:tc>
        <w:tc>
          <w:tcPr>
            <w:tcW w:w="2268" w:type="dxa"/>
            <w:tcBorders>
              <w:bottom w:val="nil"/>
            </w:tcBorders>
          </w:tcPr>
          <w:p w:rsidR="00000000" w:rsidRDefault="00000000">
            <w:pPr>
              <w:ind w:right="317"/>
              <w:jc w:val="right"/>
            </w:pPr>
            <w:r>
              <w:t>931 500.00</w:t>
            </w:r>
          </w:p>
        </w:tc>
      </w:tr>
      <w:tr w:rsidR="00000000">
        <w:tblPrEx>
          <w:tblCellMar>
            <w:top w:w="0" w:type="dxa"/>
            <w:bottom w:w="0" w:type="dxa"/>
          </w:tblCellMar>
        </w:tblPrEx>
        <w:tc>
          <w:tcPr>
            <w:tcW w:w="1418" w:type="dxa"/>
            <w:tcBorders>
              <w:top w:val="nil"/>
              <w:bottom w:val="nil"/>
            </w:tcBorders>
          </w:tcPr>
          <w:p w:rsidR="00000000" w:rsidRDefault="00000000">
            <w:r>
              <w:t>1997</w:t>
            </w:r>
          </w:p>
        </w:tc>
        <w:tc>
          <w:tcPr>
            <w:tcW w:w="1985" w:type="dxa"/>
            <w:tcBorders>
              <w:top w:val="nil"/>
              <w:bottom w:val="nil"/>
            </w:tcBorders>
          </w:tcPr>
          <w:p w:rsidR="00000000" w:rsidRDefault="00000000">
            <w:pPr>
              <w:ind w:right="742"/>
              <w:jc w:val="right"/>
            </w:pPr>
            <w:r>
              <w:t>48</w:t>
            </w:r>
          </w:p>
        </w:tc>
        <w:tc>
          <w:tcPr>
            <w:tcW w:w="2268" w:type="dxa"/>
            <w:tcBorders>
              <w:top w:val="nil"/>
              <w:bottom w:val="nil"/>
            </w:tcBorders>
          </w:tcPr>
          <w:p w:rsidR="00000000" w:rsidRDefault="00000000">
            <w:pPr>
              <w:ind w:right="742"/>
              <w:jc w:val="right"/>
            </w:pPr>
            <w:r>
              <w:t>37 025</w:t>
            </w:r>
          </w:p>
        </w:tc>
        <w:tc>
          <w:tcPr>
            <w:tcW w:w="2268" w:type="dxa"/>
            <w:tcBorders>
              <w:top w:val="nil"/>
              <w:bottom w:val="nil"/>
            </w:tcBorders>
          </w:tcPr>
          <w:p w:rsidR="00000000" w:rsidRDefault="00000000">
            <w:pPr>
              <w:ind w:right="317"/>
              <w:jc w:val="right"/>
            </w:pPr>
            <w:r>
              <w:t>14 435 888.00</w:t>
            </w:r>
          </w:p>
        </w:tc>
      </w:tr>
      <w:tr w:rsidR="00000000">
        <w:tblPrEx>
          <w:tblCellMar>
            <w:top w:w="0" w:type="dxa"/>
            <w:bottom w:w="0" w:type="dxa"/>
          </w:tblCellMar>
        </w:tblPrEx>
        <w:tc>
          <w:tcPr>
            <w:tcW w:w="1418" w:type="dxa"/>
            <w:tcBorders>
              <w:top w:val="nil"/>
              <w:bottom w:val="nil"/>
            </w:tcBorders>
          </w:tcPr>
          <w:p w:rsidR="00000000" w:rsidRDefault="00000000">
            <w:r>
              <w:t>1998</w:t>
            </w:r>
          </w:p>
        </w:tc>
        <w:tc>
          <w:tcPr>
            <w:tcW w:w="1985" w:type="dxa"/>
            <w:tcBorders>
              <w:top w:val="nil"/>
              <w:bottom w:val="nil"/>
            </w:tcBorders>
          </w:tcPr>
          <w:p w:rsidR="00000000" w:rsidRDefault="00000000">
            <w:pPr>
              <w:ind w:right="742"/>
              <w:jc w:val="right"/>
            </w:pPr>
            <w:r>
              <w:t>140</w:t>
            </w:r>
          </w:p>
        </w:tc>
        <w:tc>
          <w:tcPr>
            <w:tcW w:w="2268" w:type="dxa"/>
            <w:tcBorders>
              <w:top w:val="nil"/>
              <w:bottom w:val="nil"/>
            </w:tcBorders>
          </w:tcPr>
          <w:p w:rsidR="00000000" w:rsidRDefault="00000000">
            <w:pPr>
              <w:ind w:right="742"/>
              <w:jc w:val="right"/>
            </w:pPr>
            <w:r>
              <w:t>117 200</w:t>
            </w:r>
          </w:p>
        </w:tc>
        <w:tc>
          <w:tcPr>
            <w:tcW w:w="2268" w:type="dxa"/>
            <w:tcBorders>
              <w:top w:val="nil"/>
              <w:bottom w:val="nil"/>
            </w:tcBorders>
          </w:tcPr>
          <w:p w:rsidR="00000000" w:rsidRDefault="00000000">
            <w:pPr>
              <w:ind w:right="317"/>
              <w:jc w:val="right"/>
            </w:pPr>
            <w:r>
              <w:t>39 521 432.50</w:t>
            </w:r>
          </w:p>
        </w:tc>
      </w:tr>
      <w:tr w:rsidR="00000000">
        <w:tblPrEx>
          <w:tblCellMar>
            <w:top w:w="0" w:type="dxa"/>
            <w:bottom w:w="0" w:type="dxa"/>
          </w:tblCellMar>
        </w:tblPrEx>
        <w:tc>
          <w:tcPr>
            <w:tcW w:w="1418" w:type="dxa"/>
            <w:tcBorders>
              <w:top w:val="nil"/>
              <w:bottom w:val="nil"/>
            </w:tcBorders>
          </w:tcPr>
          <w:p w:rsidR="00000000" w:rsidRDefault="00000000">
            <w:r>
              <w:t>1999</w:t>
            </w:r>
          </w:p>
        </w:tc>
        <w:tc>
          <w:tcPr>
            <w:tcW w:w="1985" w:type="dxa"/>
            <w:tcBorders>
              <w:top w:val="nil"/>
              <w:bottom w:val="nil"/>
            </w:tcBorders>
          </w:tcPr>
          <w:p w:rsidR="00000000" w:rsidRDefault="00000000">
            <w:pPr>
              <w:ind w:right="742"/>
              <w:jc w:val="right"/>
            </w:pPr>
            <w:r>
              <w:t>230</w:t>
            </w:r>
          </w:p>
        </w:tc>
        <w:tc>
          <w:tcPr>
            <w:tcW w:w="2268" w:type="dxa"/>
            <w:tcBorders>
              <w:top w:val="nil"/>
              <w:bottom w:val="nil"/>
            </w:tcBorders>
          </w:tcPr>
          <w:p w:rsidR="00000000" w:rsidRDefault="00000000">
            <w:pPr>
              <w:ind w:right="742"/>
              <w:jc w:val="right"/>
            </w:pPr>
            <w:r>
              <w:t>145 564</w:t>
            </w:r>
          </w:p>
        </w:tc>
        <w:tc>
          <w:tcPr>
            <w:tcW w:w="2268" w:type="dxa"/>
            <w:tcBorders>
              <w:top w:val="nil"/>
              <w:bottom w:val="nil"/>
            </w:tcBorders>
          </w:tcPr>
          <w:p w:rsidR="00000000" w:rsidRDefault="00000000">
            <w:pPr>
              <w:ind w:right="317"/>
              <w:jc w:val="right"/>
            </w:pPr>
            <w:r>
              <w:t>82 639 388.54</w:t>
            </w:r>
          </w:p>
        </w:tc>
      </w:tr>
      <w:tr w:rsidR="00000000">
        <w:tblPrEx>
          <w:tblCellMar>
            <w:top w:w="0" w:type="dxa"/>
            <w:bottom w:w="0" w:type="dxa"/>
          </w:tblCellMar>
        </w:tblPrEx>
        <w:tc>
          <w:tcPr>
            <w:tcW w:w="1418" w:type="dxa"/>
            <w:tcBorders>
              <w:top w:val="nil"/>
            </w:tcBorders>
          </w:tcPr>
          <w:p w:rsidR="00000000" w:rsidRDefault="00000000">
            <w:r>
              <w:t>2000</w:t>
            </w:r>
          </w:p>
        </w:tc>
        <w:tc>
          <w:tcPr>
            <w:tcW w:w="1985" w:type="dxa"/>
            <w:tcBorders>
              <w:top w:val="nil"/>
            </w:tcBorders>
          </w:tcPr>
          <w:p w:rsidR="00000000" w:rsidRDefault="00000000">
            <w:pPr>
              <w:ind w:right="742"/>
            </w:pPr>
          </w:p>
        </w:tc>
        <w:tc>
          <w:tcPr>
            <w:tcW w:w="2268" w:type="dxa"/>
            <w:tcBorders>
              <w:top w:val="nil"/>
            </w:tcBorders>
          </w:tcPr>
          <w:p w:rsidR="00000000" w:rsidRDefault="00000000">
            <w:pPr>
              <w:ind w:right="742"/>
              <w:jc w:val="right"/>
            </w:pPr>
            <w:r>
              <w:t>*362 000</w:t>
            </w:r>
          </w:p>
        </w:tc>
        <w:tc>
          <w:tcPr>
            <w:tcW w:w="2268" w:type="dxa"/>
            <w:tcBorders>
              <w:top w:val="nil"/>
            </w:tcBorders>
          </w:tcPr>
          <w:p w:rsidR="00000000" w:rsidRDefault="00000000">
            <w:pPr>
              <w:ind w:right="317"/>
              <w:jc w:val="right"/>
            </w:pPr>
            <w:r>
              <w:t>*182 000 000.00</w:t>
            </w:r>
          </w:p>
        </w:tc>
      </w:tr>
    </w:tbl>
    <w:p w:rsidR="00000000" w:rsidRDefault="00000000"/>
    <w:p w:rsidR="00000000" w:rsidRDefault="00000000">
      <w:r>
        <w:tab/>
      </w:r>
      <w:r>
        <w:tab/>
        <w:t>*  Estimates through end 2000.</w:t>
      </w:r>
    </w:p>
    <w:p w:rsidR="00000000" w:rsidRDefault="00000000">
      <w:pPr>
        <w:jc w:val="center"/>
      </w:pPr>
    </w:p>
    <w:p w:rsidR="00000000" w:rsidRDefault="00000000">
      <w:pPr>
        <w:pStyle w:val="ParaNo"/>
        <w:tabs>
          <w:tab w:val="clear" w:pos="360"/>
          <w:tab w:val="clear" w:pos="737"/>
        </w:tabs>
        <w:rPr>
          <w:lang w:val="en-GB"/>
        </w:rPr>
      </w:pPr>
      <w:r>
        <w:rPr>
          <w:lang w:val="en-GB"/>
        </w:rPr>
        <w:t>It should be noted that by leaving the door open as regards the minimum age for the adolescent apprentice, the Constitution allows ordinary legislation to regulate the matter.  However, the understanding among jurists is that 14 is the minimum age for ordinary work and 12 for apprenticeship.  Thus, between ages 12 and 14, work is only acceptable in the context of vocational training, all other types of work done in industrial plants being excluded.  (Convention No. 5, ratified by Brazil, and article 1 of Decree No. 66280 of 27 February 1970.)</w:t>
      </w:r>
    </w:p>
    <w:p w:rsidR="00000000" w:rsidRDefault="00000000"/>
    <w:p w:rsidR="00000000" w:rsidRDefault="00000000">
      <w:pPr>
        <w:pStyle w:val="ParaNo"/>
        <w:tabs>
          <w:tab w:val="clear" w:pos="360"/>
          <w:tab w:val="clear" w:pos="737"/>
        </w:tabs>
        <w:rPr>
          <w:lang w:val="en-GB"/>
        </w:rPr>
      </w:pPr>
      <w:r>
        <w:rPr>
          <w:lang w:val="en-GB"/>
        </w:rPr>
        <w:t>As mentioned earlier, the executive branch has sent to the National Congress Federal Constitution Amendment Bill No. 413/96 deleting the expression “except as an apprentice”.  Approval of this amendment will make work legal in Brazil beginning at age 14, which will make possible the ratification of ILO Convention No. 138.</w:t>
      </w:r>
    </w:p>
    <w:p w:rsidR="00000000" w:rsidRDefault="00000000">
      <w:pPr>
        <w:pStyle w:val="ParaNo"/>
        <w:tabs>
          <w:tab w:val="clear" w:pos="360"/>
          <w:tab w:val="clear" w:pos="737"/>
        </w:tabs>
        <w:rPr>
          <w:lang w:val="en-GB"/>
        </w:rPr>
      </w:pPr>
      <w:r>
        <w:rPr>
          <w:lang w:val="en-GB"/>
        </w:rPr>
        <w:t>As education is a crucial point in any child adolescent policy, the Federal Constitution, in article 228, specifies the duties incumbent on the State, as follows:</w:t>
      </w:r>
    </w:p>
    <w:p w:rsidR="00000000" w:rsidRDefault="00000000"/>
    <w:p w:rsidR="00000000" w:rsidRDefault="00000000">
      <w:pPr>
        <w:ind w:left="1440" w:hanging="720"/>
      </w:pPr>
      <w:r>
        <w:t xml:space="preserve">  “I.</w:t>
      </w:r>
      <w:r>
        <w:tab/>
        <w:t>Compulsory, free</w:t>
      </w:r>
      <w:r>
        <w:noBreakHyphen/>
        <w:t>of</w:t>
      </w:r>
      <w:r>
        <w:noBreakHyphen/>
        <w:t>charge basic education, including for those who had no access to it at the proper age;</w:t>
      </w:r>
    </w:p>
    <w:p w:rsidR="00000000" w:rsidRDefault="00000000">
      <w:pPr>
        <w:ind w:left="720"/>
      </w:pPr>
    </w:p>
    <w:p w:rsidR="00000000" w:rsidRDefault="00000000">
      <w:pPr>
        <w:ind w:left="1440" w:hanging="720"/>
      </w:pPr>
      <w:r>
        <w:t xml:space="preserve"> “II.</w:t>
      </w:r>
      <w:r>
        <w:tab/>
        <w:t>Provision of special education to handicapped, preferentially in the regular school system;</w:t>
      </w:r>
    </w:p>
    <w:p w:rsidR="00000000" w:rsidRDefault="00000000">
      <w:pPr>
        <w:ind w:left="720"/>
      </w:pPr>
    </w:p>
    <w:p w:rsidR="00000000" w:rsidRDefault="00000000">
      <w:pPr>
        <w:ind w:left="720"/>
      </w:pPr>
      <w:r>
        <w:t>“III.</w:t>
      </w:r>
      <w:r>
        <w:tab/>
        <w:t>Attention to children aged 0</w:t>
      </w:r>
      <w:r>
        <w:noBreakHyphen/>
        <w:t>6 in nurseries and kindergartens;</w:t>
      </w:r>
    </w:p>
    <w:p w:rsidR="00000000" w:rsidRDefault="00000000">
      <w:pPr>
        <w:ind w:left="720"/>
      </w:pPr>
    </w:p>
    <w:p w:rsidR="00000000" w:rsidRDefault="00000000">
      <w:pPr>
        <w:ind w:left="720"/>
      </w:pPr>
      <w:r>
        <w:t>“IV.</w:t>
      </w:r>
      <w:r>
        <w:tab/>
        <w:t>Provision of regular night school to fit the student’s circumstances;</w:t>
      </w:r>
    </w:p>
    <w:p w:rsidR="00000000" w:rsidRDefault="00000000">
      <w:pPr>
        <w:ind w:left="720"/>
      </w:pPr>
    </w:p>
    <w:p w:rsidR="00000000" w:rsidRDefault="00000000">
      <w:pPr>
        <w:ind w:left="1440" w:hanging="720"/>
      </w:pPr>
      <w:r>
        <w:t xml:space="preserve"> “V.</w:t>
      </w:r>
      <w:r>
        <w:tab/>
        <w:t>Attention to students at basic education level through supplementary programmes providing didactic and school materials, transportation, nutrition, and health care.”</w:t>
      </w:r>
    </w:p>
    <w:p w:rsidR="00000000" w:rsidRDefault="00000000"/>
    <w:p w:rsidR="00000000" w:rsidRDefault="00000000">
      <w:pPr>
        <w:pStyle w:val="ParaNo"/>
        <w:tabs>
          <w:tab w:val="clear" w:pos="360"/>
          <w:tab w:val="clear" w:pos="737"/>
        </w:tabs>
        <w:rPr>
          <w:lang w:val="en-GB"/>
        </w:rPr>
      </w:pPr>
      <w:r>
        <w:rPr>
          <w:lang w:val="en-GB"/>
        </w:rPr>
        <w:t>In perfect consonance with contemporary international trends in the area of promotion and protection of child and adolescent rights, Brazil adopted, 10 years ago, the Child and Adolescent Statute</w:t>
      </w:r>
      <w:r>
        <w:rPr>
          <w:lang w:val="en-GB"/>
        </w:rPr>
        <w:noBreakHyphen/>
        <w:t>ECA, mentioned earlier.  This statute regulates the achievements embodied in the Federal Constitution with respect to children and adolescents and introduces important innovations in the treatment of this issue as it sums up content, method and management changes.  One of the most relevant content changes has to do with the legal and social defence of children and adolescents.  In terms of methods for more effective action, ECA leans away from the welfare approach prevailing in programmes oriented towards the child and adolescent public, replacing it by an approach of an educational and social development nature, which leads to emancipation.  Moreover, in the area of assistance to children and adolescents living under conditions of personal and social risk, ECA rejects the subjective and discretionary practices of the traditional custodianship law and introduces juridical safeguards.  In this manner, the child and the adolescent are vested with the status of a person with rights vis</w:t>
      </w:r>
      <w:r>
        <w:rPr>
          <w:lang w:val="en-GB"/>
        </w:rPr>
        <w:noBreakHyphen/>
        <w:t>à</w:t>
      </w:r>
      <w:r>
        <w:rPr>
          <w:lang w:val="en-GB"/>
        </w:rPr>
        <w:noBreakHyphen/>
        <w:t>vis the administration of justice system for children and adolescents.</w:t>
      </w:r>
    </w:p>
    <w:p w:rsidR="00000000" w:rsidRDefault="00000000"/>
    <w:p w:rsidR="00000000" w:rsidRDefault="00000000">
      <w:pPr>
        <w:pStyle w:val="ParaNo"/>
        <w:tabs>
          <w:tab w:val="clear" w:pos="360"/>
          <w:tab w:val="clear" w:pos="737"/>
        </w:tabs>
        <w:rPr>
          <w:lang w:val="en-GB"/>
        </w:rPr>
      </w:pPr>
      <w:r>
        <w:rPr>
          <w:lang w:val="en-GB"/>
        </w:rPr>
        <w:t>On the institutional side, ECA has created the Custodian Councils (art. 131) to ensure the efficient implementation of statute recommendations.  These councils are standing, autonomous bodies, not subject to jurisdictional boundaries, which are entrusted by society with the responsibility for the implementation of the rights of children and adolescents.  Whenever these rights are violated by action or omission of the State or society, it is incumbent upon these Custodian Councils to adopt the pertinent protection measures, filing, if necessary, a petition with the judicial authority.</w:t>
      </w:r>
    </w:p>
    <w:p w:rsidR="00000000" w:rsidRDefault="00000000"/>
    <w:p w:rsidR="00000000" w:rsidRDefault="00000000">
      <w:pPr>
        <w:pStyle w:val="ParaNo"/>
        <w:tabs>
          <w:tab w:val="clear" w:pos="360"/>
          <w:tab w:val="clear" w:pos="737"/>
        </w:tabs>
        <w:rPr>
          <w:lang w:val="en-GB"/>
        </w:rPr>
      </w:pPr>
      <w:r>
        <w:rPr>
          <w:lang w:val="en-GB"/>
        </w:rPr>
        <w:t>Pursuant to its “policy whereby attention to the rights of children and adolescents is to be implemented through a coordinated set of governmental and non</w:t>
      </w:r>
      <w:r>
        <w:rPr>
          <w:lang w:val="en-GB"/>
        </w:rPr>
        <w:noBreakHyphen/>
        <w:t xml:space="preserve">governmental actions by the Union, the States, the Federal District, and the municipalities” (art. 86), the ECA, consistent with a decentralized policy, sets up councils at the federal, State and municipal levels for the defence of child and adolescent rights.  These Rights Councils, established on an equal footing by </w:t>
      </w:r>
    </w:p>
    <w:p w:rsidR="00000000" w:rsidRDefault="00000000">
      <w:r>
        <w:br w:type="page"/>
        <w:t>Government and society, act as deliberative bodies that monitor actions related to children and adolescents at all government levels.  The function of these Rights Councils is to define norms and formulate policies; they do not have an executive function, which belongs to the Government.</w:t>
      </w:r>
    </w:p>
    <w:p w:rsidR="00000000" w:rsidRDefault="00000000"/>
    <w:p w:rsidR="00000000" w:rsidRDefault="00000000">
      <w:pPr>
        <w:pStyle w:val="ParaNo"/>
        <w:tabs>
          <w:tab w:val="clear" w:pos="360"/>
          <w:tab w:val="clear" w:pos="737"/>
        </w:tabs>
        <w:rPr>
          <w:lang w:val="en-GB"/>
        </w:rPr>
      </w:pPr>
      <w:r>
        <w:rPr>
          <w:lang w:val="en-GB"/>
        </w:rPr>
        <w:t>Thus, the Statute adheres to the principles of political and administrative decentralization and participation by organizations of society.  Above all, it expands the functions of the municipality and the community, thereby restricting the responsibility of the Federal Government and the States.  On the Federal Government falls the exclusive responsibility for issuing general norms and for the overall coordination of policies.  In this connection, it is worth noting the major role played by the National Child and Adolescent Rights Council</w:t>
      </w:r>
      <w:r>
        <w:rPr>
          <w:lang w:val="en-GB"/>
        </w:rPr>
        <w:noBreakHyphen/>
        <w:t>CONANDA, a deliberative collegium in which Government and society are equally represented, charged with monitoring public policies.</w:t>
      </w:r>
    </w:p>
    <w:p w:rsidR="00000000" w:rsidRDefault="00000000"/>
    <w:p w:rsidR="00000000" w:rsidRDefault="00000000">
      <w:pPr>
        <w:pStyle w:val="ParaNo"/>
        <w:tabs>
          <w:tab w:val="clear" w:pos="360"/>
          <w:tab w:val="clear" w:pos="737"/>
        </w:tabs>
        <w:rPr>
          <w:lang w:val="en-GB"/>
        </w:rPr>
      </w:pPr>
      <w:r>
        <w:rPr>
          <w:lang w:val="en-GB"/>
        </w:rPr>
        <w:t>Besides being an unprecedented legal milestone as regards the issue under review, the ECA seeks to ensure children and adolescents’ full physical, mental, moral, spiritual, and social development under conditions of freedom and dignity.  Throughout the Statute there runs the concept that children and adolescents should enjoy priority in receiving assistance, have precedence as recipients of assistance from public services, be given preference in the formulation and implementation of social policies and, finally, should come first with respect to the destination of appropriations for child and adolescent protection.  Such priority reiterates the constitutional provisions mentioned in the previous section.</w:t>
      </w:r>
    </w:p>
    <w:p w:rsidR="00000000" w:rsidRDefault="00000000"/>
    <w:p w:rsidR="00000000" w:rsidRDefault="00000000">
      <w:pPr>
        <w:pStyle w:val="ParaNo"/>
        <w:tabs>
          <w:tab w:val="clear" w:pos="360"/>
          <w:tab w:val="clear" w:pos="737"/>
        </w:tabs>
        <w:rPr>
          <w:lang w:val="en-GB"/>
        </w:rPr>
      </w:pPr>
      <w:r>
        <w:rPr>
          <w:lang w:val="en-GB"/>
        </w:rPr>
        <w:t>Consistent with fundamental rights, including the right to family and community living, education, culture, sports and leisure, the Statute provides for vocational training and work protection.  In reiteration of constitutional provisions, chapter V prohibits minors under 14 from working, “except as apprentices”.  The encouragement of apprenticeship, in the sense of technical and vocational training, is subject to the guarantee of the adolescent’s access to and compulsory attendance of regular school.  Moreover, the National Congress is evaluating the regulation of educational work as contained in the ECA in regard to adolescents aged 14</w:t>
      </w:r>
      <w:r>
        <w:rPr>
          <w:lang w:val="en-GB"/>
        </w:rPr>
        <w:noBreakHyphen/>
        <w:t xml:space="preserve">18, so that educational activities are conducive to this group’s entry into the labour force.  </w:t>
      </w:r>
    </w:p>
    <w:p w:rsidR="00000000" w:rsidRDefault="00000000"/>
    <w:p w:rsidR="00000000" w:rsidRDefault="00000000">
      <w:pPr>
        <w:pStyle w:val="ParaNo"/>
        <w:tabs>
          <w:tab w:val="clear" w:pos="360"/>
          <w:tab w:val="clear" w:pos="737"/>
        </w:tabs>
        <w:rPr>
          <w:lang w:val="en-GB"/>
        </w:rPr>
      </w:pPr>
      <w:r>
        <w:rPr>
          <w:lang w:val="en-GB"/>
        </w:rPr>
        <w:t>A clarification is in order with respect to activities connected with apprenticeship, which is allowed beginning at age 14.  These activities are permitted only if other requirements established by article 63 of the Child and Adolescent Statute are met, namely: guarantee of access to and compulsory attendance of a regular school; compatibility of these activities with the adolescent’s development; and special hours for the exercise of said activities.</w:t>
      </w:r>
    </w:p>
    <w:p w:rsidR="00000000" w:rsidRDefault="00000000"/>
    <w:p w:rsidR="00000000" w:rsidRDefault="00000000">
      <w:pPr>
        <w:pStyle w:val="ParaNo"/>
        <w:tabs>
          <w:tab w:val="clear" w:pos="360"/>
          <w:tab w:val="clear" w:pos="737"/>
        </w:tabs>
        <w:rPr>
          <w:lang w:val="en-GB"/>
        </w:rPr>
      </w:pPr>
      <w:r>
        <w:rPr>
          <w:lang w:val="en-GB"/>
        </w:rPr>
        <w:t>Another important law is the one on Welfare (Law 8742 of 7 September 1993), which regulates articles 203 and 204 of the Constitution, creates the social protection system directed at the most vulnerable segments of the population, to be ensured through benefits, services, programmes and projects.  Article 2 of the law establishes that welfare objectives include (i) family, childhood and adolescence protection; and (ii) assistance to destitute children and adolescents.</w:t>
      </w:r>
    </w:p>
    <w:p w:rsidR="00000000" w:rsidRDefault="00000000"/>
    <w:p w:rsidR="00000000" w:rsidRDefault="00000000">
      <w:pPr>
        <w:pStyle w:val="ParaNo"/>
        <w:tabs>
          <w:tab w:val="clear" w:pos="360"/>
          <w:tab w:val="clear" w:pos="737"/>
        </w:tabs>
        <w:rPr>
          <w:lang w:val="en-GB"/>
        </w:rPr>
      </w:pPr>
      <w:r>
        <w:rPr>
          <w:lang w:val="en-GB"/>
        </w:rPr>
        <w:t>It should be pointed out that welfare actions are not aimed at the entire child and adolescent population, but to a specific segment thereof that needs them because of poverty, exclusion, or personal and social risk.</w:t>
      </w:r>
    </w:p>
    <w:p w:rsidR="00000000" w:rsidRDefault="00000000"/>
    <w:p w:rsidR="00000000" w:rsidRDefault="00000000">
      <w:pPr>
        <w:pStyle w:val="ParaNo"/>
        <w:tabs>
          <w:tab w:val="clear" w:pos="360"/>
          <w:tab w:val="clear" w:pos="737"/>
        </w:tabs>
        <w:rPr>
          <w:lang w:val="en-GB"/>
        </w:rPr>
      </w:pPr>
      <w:r>
        <w:rPr>
          <w:lang w:val="en-GB"/>
        </w:rPr>
        <w:t>To a large extent, the international agreements and conventions as well as other instruments that provide the basis for the promotion and protection of child and adolescent rights in the context of the United Nations human rights provisions have inspired the legal and institutional apparatus that ensures the implementation of the rights of Brazilian children and adolescents today.  The basic document, the first to be mentioned, is the 1924 Geneva Declaration of the Rights of the Child, adopted by the United Nations General Assembly in 1959.  The conviction that it was essential to ensure special protection of children was first stated in 1924 and recognized later in the Universal Declaration of Human Rights (1948), in the International Covenant on Civil and Political Rights, and in the International Covenant on Economic, Social and Cultural Rights, all signed and ratified by the Brazilian Government.</w:t>
      </w:r>
    </w:p>
    <w:p w:rsidR="00000000" w:rsidRDefault="00000000"/>
    <w:p w:rsidR="00000000" w:rsidRDefault="00000000">
      <w:pPr>
        <w:pStyle w:val="ParaNo"/>
        <w:tabs>
          <w:tab w:val="clear" w:pos="360"/>
          <w:tab w:val="clear" w:pos="737"/>
        </w:tabs>
        <w:rPr>
          <w:lang w:val="en-GB"/>
        </w:rPr>
      </w:pPr>
      <w:r>
        <w:rPr>
          <w:lang w:val="en-GB"/>
        </w:rPr>
        <w:t>Three decades elapsed before the international community adopted the United Nations Convention on the Rights of the Child (November 1989), which embodies the doctrine of full child protection and absolute priority of child rights as well as respect for children’s civil, political, economic, social and cultural rights.  This instrument, signed by the Brazilian Government when it was opened for signature by the Member States of the United Nations, was ratified through Legislative Decree No. 28 of 14 September 1990.  Also in September 1990, Brazil was represented at the World Summit for Children, convened by the United Nations.  On that occasion, 71 presidents and heads of State and representatives of 80 countries signed the World Declaration on Child Survival, Protection and Development and adopted a Plan of Action for the 1990s, thereby committing themselves to implement forthwith the Convention on Child Rights.</w:t>
      </w:r>
    </w:p>
    <w:p w:rsidR="00000000" w:rsidRDefault="00000000"/>
    <w:p w:rsidR="00000000" w:rsidRDefault="00000000">
      <w:pPr>
        <w:pStyle w:val="ParaNo"/>
        <w:tabs>
          <w:tab w:val="clear" w:pos="360"/>
          <w:tab w:val="clear" w:pos="737"/>
        </w:tabs>
        <w:rPr>
          <w:lang w:val="en-GB"/>
        </w:rPr>
      </w:pPr>
      <w:r>
        <w:rPr>
          <w:lang w:val="en-GB"/>
        </w:rPr>
        <w:t>Brazil’s positive right incorporates, in general, the norms of ILO conventions, even though not all of these have been ratified.  Committed to combating child labour, the Brazilian Government has actively participated in international conferences that address this issue from various angles.</w:t>
      </w:r>
    </w:p>
    <w:p w:rsidR="00000000" w:rsidRDefault="00000000"/>
    <w:p w:rsidR="00000000" w:rsidRDefault="00000000">
      <w:pPr>
        <w:pStyle w:val="ParaNo"/>
        <w:tabs>
          <w:tab w:val="clear" w:pos="360"/>
          <w:tab w:val="clear" w:pos="737"/>
        </w:tabs>
        <w:rPr>
          <w:lang w:val="en-GB"/>
        </w:rPr>
      </w:pPr>
      <w:r>
        <w:rPr>
          <w:lang w:val="en-GB"/>
        </w:rPr>
        <w:t>In addition to the legal instruments in force in Brazil to guarantee child and adolescent rights, in 1990 the Brazilian Government set up a federal council, followed by numerous State and municipal councils, whose purpose is child and adolescent protection.  Moreover, the Government has endeavoured to create legal and administrative structures to ensure the joint action of the various levels of government and segments of society aimed at establishing a National Forum for the Prevention and Elimination of Child Labour.</w:t>
      </w:r>
    </w:p>
    <w:p w:rsidR="00000000" w:rsidRDefault="00000000"/>
    <w:p w:rsidR="00000000" w:rsidRDefault="00000000">
      <w:pPr>
        <w:pStyle w:val="ParaNo"/>
        <w:tabs>
          <w:tab w:val="clear" w:pos="360"/>
          <w:tab w:val="clear" w:pos="737"/>
        </w:tabs>
        <w:rPr>
          <w:lang w:val="en-GB"/>
        </w:rPr>
      </w:pPr>
      <w:r>
        <w:rPr>
          <w:lang w:val="en-GB"/>
        </w:rPr>
        <w:t>With respect to actions and programmes aimed at the protection and overall development of children and adolescents in the areas of work, education, health, culture, human rights and social security, the Brazilian Government wishes to stress its enduring concern for coordinating sectoral policies aimed at children and adolescents.</w:t>
      </w:r>
    </w:p>
    <w:p w:rsidR="00000000" w:rsidRDefault="00000000"/>
    <w:p w:rsidR="00000000" w:rsidRDefault="00000000">
      <w:pPr>
        <w:pStyle w:val="ParaNo"/>
        <w:tabs>
          <w:tab w:val="clear" w:pos="360"/>
          <w:tab w:val="clear" w:pos="737"/>
        </w:tabs>
        <w:rPr>
          <w:lang w:val="en-GB"/>
        </w:rPr>
      </w:pPr>
      <w:r>
        <w:rPr>
          <w:lang w:val="en-GB"/>
        </w:rPr>
        <w:br w:type="page"/>
        <w:t>The Brazilian Government gives special attention to international cooperation.  At the various multilateral and regional forums, it has espoused international cooperation as an important channel for the implementation of economic, social and cultural rights through the financing of specific projects and programmes of interest to developing countries.  The Ministry of Labour, for instance, is the formal coordinator in Brazil of the actions under the International Programme on the Elimination of Child Labour</w:t>
      </w:r>
      <w:r>
        <w:rPr>
          <w:lang w:val="en-GB"/>
        </w:rPr>
        <w:noBreakHyphen/>
        <w:t>IPEC of the International Labour Organization.  Launched in 1992 and extended through 2001 through a memorandum of understanding signed by the Brazilian Government and ILO in October 1996, IPEC is oriented primarily towards three vulnerable groups: children doing forced labour; children working at unhealthy and hazardous occupations; and working children under 12.</w:t>
      </w:r>
    </w:p>
    <w:p w:rsidR="00000000" w:rsidRDefault="00000000"/>
    <w:p w:rsidR="00000000" w:rsidRDefault="00000000">
      <w:pPr>
        <w:pStyle w:val="ParaNo"/>
        <w:tabs>
          <w:tab w:val="clear" w:pos="360"/>
          <w:tab w:val="clear" w:pos="737"/>
        </w:tabs>
        <w:rPr>
          <w:lang w:val="en-GB"/>
        </w:rPr>
      </w:pPr>
      <w:r>
        <w:rPr>
          <w:lang w:val="en-GB"/>
        </w:rPr>
        <w:t>IPEC results in Brazil are definitely positive.  Brazil is recognized by the Programme’s Director as one of the countries committed to effective actions to combat child labour for, as he notes, the President of the Republic is personally committed to the elimination of the problem.  In ILO’s assessment, among the results achieved it is worth pointing to the definitive inclusion of child labour on the national agenda and the significant mobilization of civil society.  It is also worth pointing out that the introduction of the innovative concept of the productive chain has led to a greater understanding of the problem and to the involvement of Brazilian businesses in projects aimed at eliminating child labour, particularly in the charcoal, shoes, and orange producing areas.</w:t>
      </w:r>
    </w:p>
    <w:p w:rsidR="00000000" w:rsidRDefault="00000000"/>
    <w:p w:rsidR="00000000" w:rsidRDefault="00000000">
      <w:pPr>
        <w:pStyle w:val="ParaNo"/>
        <w:tabs>
          <w:tab w:val="clear" w:pos="360"/>
          <w:tab w:val="clear" w:pos="737"/>
        </w:tabs>
        <w:rPr>
          <w:lang w:val="en-GB"/>
        </w:rPr>
      </w:pPr>
      <w:r>
        <w:rPr>
          <w:lang w:val="en-GB"/>
        </w:rPr>
        <w:t>For the implementation of IPEC, 19 projects were selected throughout the country, with the following goals: formulation of policies (Government); training of workers (unions); rights guarantee and social mobilization (employers); and direct assistance to minors and education of working children (NGO).  IPEC activities have involved over 15,000 children, 1,315 labour leaders, and 544 educators.</w:t>
      </w:r>
    </w:p>
    <w:p w:rsidR="00000000" w:rsidRDefault="00000000"/>
    <w:p w:rsidR="00000000" w:rsidRDefault="00000000">
      <w:pPr>
        <w:pStyle w:val="Heading1"/>
      </w:pPr>
      <w:r>
        <w:t>Article 11</w:t>
      </w:r>
    </w:p>
    <w:p w:rsidR="00000000" w:rsidRDefault="00000000"/>
    <w:p w:rsidR="00000000" w:rsidRDefault="00000000">
      <w:pPr>
        <w:pStyle w:val="ParaNo"/>
        <w:tabs>
          <w:tab w:val="clear" w:pos="360"/>
          <w:tab w:val="clear" w:pos="737"/>
        </w:tabs>
        <w:rPr>
          <w:lang w:val="en-GB"/>
        </w:rPr>
      </w:pPr>
      <w:r>
        <w:rPr>
          <w:lang w:val="en-GB"/>
        </w:rPr>
        <w:t>A careful look at poverty in Brazil provides important elements for an analysis of the population’s living conditions.  This topic is statistically complex and requires the ongoing, meticulous gathering and processing of data.  The Government has, little by little, sought to meet these requirements so as to be able to arrive at increasingly accurate diagnoses.  The National Census under way will certainly supply new elements concerning the population’s living conditions and permit a re</w:t>
      </w:r>
      <w:r>
        <w:rPr>
          <w:lang w:val="en-GB"/>
        </w:rPr>
        <w:noBreakHyphen/>
        <w:t>evaluation of public policies that have a bearing on them.</w:t>
      </w:r>
    </w:p>
    <w:p w:rsidR="00000000" w:rsidRDefault="00000000"/>
    <w:p w:rsidR="00000000" w:rsidRDefault="00000000">
      <w:pPr>
        <w:pStyle w:val="ParaNo"/>
        <w:tabs>
          <w:tab w:val="clear" w:pos="360"/>
          <w:tab w:val="clear" w:pos="737"/>
        </w:tabs>
        <w:rPr>
          <w:lang w:val="en-GB"/>
        </w:rPr>
      </w:pPr>
      <w:r>
        <w:rPr>
          <w:lang w:val="en-GB"/>
        </w:rPr>
        <w:t>Brazil does not have an official poverty line, but poverty lines based on the Indigence Method Line are commonly used.  This method consists in first defining the amount needed to purchase a given food basket (the value of the extreme poverty line) and then applying a multiplier to this value to obtain the poverty line.</w:t>
      </w:r>
    </w:p>
    <w:p w:rsidR="00000000" w:rsidRDefault="00000000"/>
    <w:p w:rsidR="00000000" w:rsidRDefault="00000000">
      <w:pPr>
        <w:pStyle w:val="ParaNo"/>
        <w:tabs>
          <w:tab w:val="clear" w:pos="360"/>
          <w:tab w:val="clear" w:pos="737"/>
        </w:tabs>
        <w:rPr>
          <w:lang w:val="en-GB"/>
        </w:rPr>
      </w:pPr>
      <w:r>
        <w:rPr>
          <w:lang w:val="en-GB"/>
        </w:rPr>
        <w:t>The food basket is defined as an ensemble of foods needed to ensure an ideal daily amount of calories.  It is determined on the basis of the observed consumption of food among the poorest.  The multiplier for defining the poverty line may be obtained empirically by observing the consumption of other items by the families on the extreme poverty line; however, a value of 2 is usually attributed, as is done at the Economic and Social Commission for Latin America and the Caribbean (ECLAC).</w:t>
      </w:r>
    </w:p>
    <w:p w:rsidR="00000000" w:rsidRDefault="00000000">
      <w:pPr>
        <w:rPr>
          <w:u w:val="single"/>
        </w:rPr>
        <w:sectPr w:rsidR="00000000">
          <w:headerReference w:type="even" r:id="rId30"/>
          <w:headerReference w:type="default" r:id="rId31"/>
          <w:endnotePr>
            <w:numFmt w:val="decimal"/>
          </w:endnotePr>
          <w:type w:val="oddPage"/>
          <w:pgSz w:w="11907" w:h="16840" w:code="9"/>
          <w:pgMar w:top="567" w:right="851" w:bottom="1985" w:left="1701" w:header="851" w:footer="1985" w:gutter="0"/>
          <w:cols w:space="720"/>
        </w:sectPr>
      </w:pPr>
    </w:p>
    <w:p w:rsidR="00000000" w:rsidRDefault="00000000">
      <w:pPr>
        <w:jc w:val="center"/>
        <w:rPr>
          <w:b/>
          <w:bCs/>
        </w:rPr>
      </w:pPr>
      <w:r>
        <w:rPr>
          <w:b/>
          <w:bCs/>
        </w:rPr>
        <w:t>Table 44</w:t>
      </w:r>
    </w:p>
    <w:p w:rsidR="00000000" w:rsidRDefault="00000000">
      <w:pPr>
        <w:jc w:val="center"/>
        <w:rPr>
          <w:b/>
          <w:bCs/>
        </w:rPr>
      </w:pPr>
    </w:p>
    <w:p w:rsidR="00000000" w:rsidRDefault="00000000">
      <w:pPr>
        <w:jc w:val="center"/>
        <w:rPr>
          <w:b/>
          <w:bCs/>
        </w:rPr>
      </w:pPr>
      <w:r>
        <w:rPr>
          <w:b/>
          <w:bCs/>
        </w:rPr>
        <w:t>Poverty in Brazil by individual characteristics</w:t>
      </w:r>
    </w:p>
    <w:p w:rsidR="00000000" w:rsidRDefault="00000000"/>
    <w:tbl>
      <w:tblPr>
        <w:tblW w:w="1272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28" w:type="dxa"/>
        </w:tblCellMar>
        <w:tblLook w:val="0000" w:firstRow="0" w:lastRow="0" w:firstColumn="0" w:lastColumn="0" w:noHBand="0" w:noVBand="0"/>
      </w:tblPr>
      <w:tblGrid>
        <w:gridCol w:w="1701"/>
        <w:gridCol w:w="993"/>
        <w:gridCol w:w="892"/>
        <w:gridCol w:w="709"/>
        <w:gridCol w:w="850"/>
        <w:gridCol w:w="993"/>
        <w:gridCol w:w="708"/>
        <w:gridCol w:w="851"/>
        <w:gridCol w:w="927"/>
        <w:gridCol w:w="23"/>
        <w:gridCol w:w="751"/>
        <w:gridCol w:w="808"/>
        <w:gridCol w:w="892"/>
        <w:gridCol w:w="777"/>
        <w:gridCol w:w="851"/>
      </w:tblGrid>
      <w:tr w:rsidR="00000000">
        <w:tblPrEx>
          <w:tblCellMar>
            <w:top w:w="0" w:type="dxa"/>
            <w:bottom w:w="0" w:type="dxa"/>
          </w:tblCellMar>
        </w:tblPrEx>
        <w:trPr>
          <w:cantSplit/>
        </w:trPr>
        <w:tc>
          <w:tcPr>
            <w:tcW w:w="1701" w:type="dxa"/>
            <w:tcBorders>
              <w:bottom w:val="nil"/>
            </w:tcBorders>
          </w:tcPr>
          <w:p w:rsidR="00000000" w:rsidRDefault="00000000">
            <w:pPr>
              <w:rPr>
                <w:kern w:val="20"/>
                <w:sz w:val="18"/>
              </w:rPr>
            </w:pPr>
          </w:p>
        </w:tc>
        <w:tc>
          <w:tcPr>
            <w:tcW w:w="993" w:type="dxa"/>
            <w:tcBorders>
              <w:bottom w:val="nil"/>
            </w:tcBorders>
          </w:tcPr>
          <w:p w:rsidR="00000000" w:rsidRDefault="00000000">
            <w:pPr>
              <w:jc w:val="center"/>
              <w:rPr>
                <w:kern w:val="20"/>
                <w:sz w:val="18"/>
              </w:rPr>
            </w:pPr>
          </w:p>
        </w:tc>
        <w:tc>
          <w:tcPr>
            <w:tcW w:w="5003" w:type="dxa"/>
            <w:gridSpan w:val="6"/>
          </w:tcPr>
          <w:p w:rsidR="00000000" w:rsidRDefault="00000000">
            <w:pPr>
              <w:jc w:val="center"/>
              <w:rPr>
                <w:kern w:val="20"/>
                <w:sz w:val="18"/>
              </w:rPr>
            </w:pPr>
            <w:r>
              <w:rPr>
                <w:kern w:val="20"/>
                <w:sz w:val="18"/>
              </w:rPr>
              <w:t>Poverty line</w:t>
            </w:r>
          </w:p>
        </w:tc>
        <w:tc>
          <w:tcPr>
            <w:tcW w:w="5029" w:type="dxa"/>
            <w:gridSpan w:val="7"/>
          </w:tcPr>
          <w:p w:rsidR="00000000" w:rsidRDefault="00000000">
            <w:pPr>
              <w:jc w:val="center"/>
              <w:rPr>
                <w:kern w:val="20"/>
                <w:sz w:val="18"/>
              </w:rPr>
            </w:pPr>
            <w:r>
              <w:rPr>
                <w:kern w:val="20"/>
                <w:sz w:val="18"/>
              </w:rPr>
              <w:t>Indigence line</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p>
        </w:tc>
        <w:tc>
          <w:tcPr>
            <w:tcW w:w="993" w:type="dxa"/>
            <w:tcBorders>
              <w:top w:val="nil"/>
              <w:bottom w:val="single" w:sz="4" w:space="0" w:color="auto"/>
            </w:tcBorders>
          </w:tcPr>
          <w:p w:rsidR="00000000" w:rsidRDefault="00000000">
            <w:pPr>
              <w:rPr>
                <w:kern w:val="20"/>
                <w:sz w:val="18"/>
              </w:rPr>
            </w:pPr>
          </w:p>
        </w:tc>
        <w:tc>
          <w:tcPr>
            <w:tcW w:w="2451" w:type="dxa"/>
            <w:gridSpan w:val="3"/>
          </w:tcPr>
          <w:p w:rsidR="00000000" w:rsidRDefault="00000000">
            <w:pPr>
              <w:jc w:val="center"/>
              <w:rPr>
                <w:kern w:val="20"/>
                <w:sz w:val="18"/>
              </w:rPr>
            </w:pPr>
            <w:r>
              <w:rPr>
                <w:kern w:val="20"/>
                <w:sz w:val="18"/>
              </w:rPr>
              <w:t>Incidence of poverty within category</w:t>
            </w:r>
          </w:p>
        </w:tc>
        <w:tc>
          <w:tcPr>
            <w:tcW w:w="2552" w:type="dxa"/>
            <w:gridSpan w:val="3"/>
          </w:tcPr>
          <w:p w:rsidR="00000000" w:rsidRDefault="00000000">
            <w:pPr>
              <w:jc w:val="center"/>
              <w:rPr>
                <w:kern w:val="20"/>
                <w:sz w:val="18"/>
              </w:rPr>
            </w:pPr>
            <w:r>
              <w:rPr>
                <w:kern w:val="20"/>
                <w:sz w:val="18"/>
              </w:rPr>
              <w:t>Distribution of poverty across category</w:t>
            </w:r>
          </w:p>
        </w:tc>
        <w:tc>
          <w:tcPr>
            <w:tcW w:w="2509" w:type="dxa"/>
            <w:gridSpan w:val="4"/>
          </w:tcPr>
          <w:p w:rsidR="00000000" w:rsidRDefault="00000000">
            <w:pPr>
              <w:jc w:val="center"/>
              <w:rPr>
                <w:kern w:val="20"/>
                <w:sz w:val="18"/>
              </w:rPr>
            </w:pPr>
            <w:r>
              <w:rPr>
                <w:kern w:val="20"/>
                <w:sz w:val="18"/>
              </w:rPr>
              <w:t>Incidence of poverty within category</w:t>
            </w:r>
          </w:p>
        </w:tc>
        <w:tc>
          <w:tcPr>
            <w:tcW w:w="2520" w:type="dxa"/>
            <w:gridSpan w:val="3"/>
          </w:tcPr>
          <w:p w:rsidR="00000000" w:rsidRDefault="00000000">
            <w:pPr>
              <w:jc w:val="center"/>
              <w:rPr>
                <w:kern w:val="20"/>
                <w:sz w:val="18"/>
              </w:rPr>
            </w:pPr>
            <w:r>
              <w:rPr>
                <w:kern w:val="20"/>
                <w:sz w:val="18"/>
              </w:rPr>
              <w:t>Distribution of poverty across category</w:t>
            </w:r>
          </w:p>
        </w:tc>
      </w:tr>
      <w:tr w:rsidR="00000000">
        <w:tblPrEx>
          <w:tblCellMar>
            <w:top w:w="0" w:type="dxa"/>
            <w:bottom w:w="0" w:type="dxa"/>
          </w:tblCellMar>
        </w:tblPrEx>
        <w:tc>
          <w:tcPr>
            <w:tcW w:w="1701" w:type="dxa"/>
            <w:tcBorders>
              <w:top w:val="nil"/>
            </w:tcBorders>
          </w:tcPr>
          <w:p w:rsidR="00000000" w:rsidRDefault="00000000">
            <w:pPr>
              <w:rPr>
                <w:kern w:val="20"/>
                <w:sz w:val="18"/>
              </w:rPr>
            </w:pPr>
          </w:p>
        </w:tc>
        <w:tc>
          <w:tcPr>
            <w:tcW w:w="993" w:type="dxa"/>
            <w:tcBorders>
              <w:top w:val="single" w:sz="4" w:space="0" w:color="auto"/>
            </w:tcBorders>
          </w:tcPr>
          <w:p w:rsidR="00000000" w:rsidRDefault="00000000">
            <w:pPr>
              <w:jc w:val="center"/>
              <w:rPr>
                <w:kern w:val="20"/>
                <w:sz w:val="18"/>
              </w:rPr>
            </w:pPr>
            <w:r>
              <w:rPr>
                <w:kern w:val="20"/>
                <w:sz w:val="18"/>
              </w:rPr>
              <w:t>Frequency</w:t>
            </w:r>
          </w:p>
          <w:p w:rsidR="00000000" w:rsidRDefault="00000000">
            <w:pPr>
              <w:jc w:val="center"/>
              <w:rPr>
                <w:kern w:val="20"/>
                <w:sz w:val="18"/>
              </w:rPr>
            </w:pPr>
            <w:r>
              <w:rPr>
                <w:kern w:val="20"/>
                <w:sz w:val="18"/>
              </w:rPr>
              <w:t>in the population</w:t>
            </w:r>
          </w:p>
        </w:tc>
        <w:tc>
          <w:tcPr>
            <w:tcW w:w="892" w:type="dxa"/>
          </w:tcPr>
          <w:p w:rsidR="00000000" w:rsidRDefault="00000000">
            <w:pPr>
              <w:jc w:val="center"/>
              <w:rPr>
                <w:kern w:val="20"/>
                <w:sz w:val="18"/>
              </w:rPr>
            </w:pPr>
            <w:r>
              <w:rPr>
                <w:kern w:val="20"/>
                <w:sz w:val="18"/>
              </w:rPr>
              <w:t>Percentage</w:t>
            </w:r>
          </w:p>
          <w:p w:rsidR="00000000" w:rsidRDefault="00000000">
            <w:pPr>
              <w:jc w:val="center"/>
              <w:rPr>
                <w:kern w:val="20"/>
                <w:sz w:val="18"/>
              </w:rPr>
            </w:pPr>
            <w:r>
              <w:rPr>
                <w:kern w:val="20"/>
                <w:sz w:val="18"/>
              </w:rPr>
              <w:t>of poor</w:t>
            </w:r>
          </w:p>
        </w:tc>
        <w:tc>
          <w:tcPr>
            <w:tcW w:w="709" w:type="dxa"/>
          </w:tcPr>
          <w:p w:rsidR="00000000" w:rsidRDefault="00000000">
            <w:pPr>
              <w:jc w:val="center"/>
              <w:rPr>
                <w:kern w:val="20"/>
                <w:sz w:val="18"/>
              </w:rPr>
            </w:pPr>
            <w:r>
              <w:rPr>
                <w:kern w:val="20"/>
                <w:sz w:val="18"/>
              </w:rPr>
              <w:t>Average income gap</w:t>
            </w:r>
          </w:p>
        </w:tc>
        <w:tc>
          <w:tcPr>
            <w:tcW w:w="850" w:type="dxa"/>
          </w:tcPr>
          <w:p w:rsidR="00000000" w:rsidRDefault="00000000">
            <w:pPr>
              <w:jc w:val="center"/>
              <w:rPr>
                <w:kern w:val="20"/>
                <w:sz w:val="18"/>
              </w:rPr>
            </w:pPr>
            <w:r>
              <w:rPr>
                <w:kern w:val="20"/>
                <w:sz w:val="18"/>
              </w:rPr>
              <w:t>Quadratic average income</w:t>
            </w:r>
          </w:p>
          <w:p w:rsidR="00000000" w:rsidRDefault="00000000">
            <w:pPr>
              <w:jc w:val="center"/>
              <w:rPr>
                <w:kern w:val="20"/>
                <w:sz w:val="18"/>
              </w:rPr>
            </w:pPr>
            <w:r>
              <w:rPr>
                <w:kern w:val="20"/>
                <w:sz w:val="18"/>
              </w:rPr>
              <w:t>gap</w:t>
            </w:r>
          </w:p>
        </w:tc>
        <w:tc>
          <w:tcPr>
            <w:tcW w:w="993" w:type="dxa"/>
          </w:tcPr>
          <w:p w:rsidR="00000000" w:rsidRDefault="00000000">
            <w:pPr>
              <w:jc w:val="center"/>
              <w:rPr>
                <w:kern w:val="20"/>
                <w:sz w:val="18"/>
              </w:rPr>
            </w:pPr>
            <w:r>
              <w:rPr>
                <w:kern w:val="20"/>
                <w:sz w:val="18"/>
              </w:rPr>
              <w:t>Percentage of poor</w:t>
            </w:r>
          </w:p>
        </w:tc>
        <w:tc>
          <w:tcPr>
            <w:tcW w:w="708" w:type="dxa"/>
          </w:tcPr>
          <w:p w:rsidR="00000000" w:rsidRDefault="00000000">
            <w:pPr>
              <w:jc w:val="center"/>
              <w:rPr>
                <w:kern w:val="20"/>
                <w:sz w:val="18"/>
              </w:rPr>
            </w:pPr>
            <w:r>
              <w:rPr>
                <w:kern w:val="20"/>
                <w:sz w:val="18"/>
              </w:rPr>
              <w:t>Average income gap</w:t>
            </w:r>
          </w:p>
        </w:tc>
        <w:tc>
          <w:tcPr>
            <w:tcW w:w="851" w:type="dxa"/>
          </w:tcPr>
          <w:p w:rsidR="00000000" w:rsidRDefault="00000000">
            <w:pPr>
              <w:jc w:val="center"/>
              <w:rPr>
                <w:kern w:val="20"/>
                <w:sz w:val="18"/>
              </w:rPr>
            </w:pPr>
            <w:r>
              <w:rPr>
                <w:kern w:val="20"/>
                <w:sz w:val="18"/>
              </w:rPr>
              <w:t>Quadratic average income</w:t>
            </w:r>
          </w:p>
          <w:p w:rsidR="00000000" w:rsidRDefault="00000000">
            <w:pPr>
              <w:jc w:val="center"/>
              <w:rPr>
                <w:kern w:val="20"/>
                <w:sz w:val="18"/>
              </w:rPr>
            </w:pPr>
            <w:r>
              <w:rPr>
                <w:kern w:val="20"/>
                <w:sz w:val="18"/>
              </w:rPr>
              <w:t>gap</w:t>
            </w:r>
          </w:p>
        </w:tc>
        <w:tc>
          <w:tcPr>
            <w:tcW w:w="927" w:type="dxa"/>
          </w:tcPr>
          <w:p w:rsidR="00000000" w:rsidRDefault="00000000">
            <w:pPr>
              <w:jc w:val="center"/>
              <w:rPr>
                <w:kern w:val="20"/>
                <w:sz w:val="18"/>
              </w:rPr>
            </w:pPr>
            <w:r>
              <w:rPr>
                <w:kern w:val="20"/>
                <w:sz w:val="18"/>
              </w:rPr>
              <w:t>Percentage of poor</w:t>
            </w:r>
          </w:p>
        </w:tc>
        <w:tc>
          <w:tcPr>
            <w:tcW w:w="774" w:type="dxa"/>
            <w:gridSpan w:val="2"/>
          </w:tcPr>
          <w:p w:rsidR="00000000" w:rsidRDefault="00000000">
            <w:pPr>
              <w:jc w:val="center"/>
              <w:rPr>
                <w:kern w:val="20"/>
                <w:sz w:val="18"/>
              </w:rPr>
            </w:pPr>
            <w:r>
              <w:rPr>
                <w:kern w:val="20"/>
                <w:sz w:val="18"/>
              </w:rPr>
              <w:t>Average income gap</w:t>
            </w:r>
          </w:p>
        </w:tc>
        <w:tc>
          <w:tcPr>
            <w:tcW w:w="808" w:type="dxa"/>
          </w:tcPr>
          <w:p w:rsidR="00000000" w:rsidRDefault="00000000">
            <w:pPr>
              <w:jc w:val="center"/>
              <w:rPr>
                <w:kern w:val="20"/>
                <w:sz w:val="18"/>
              </w:rPr>
            </w:pPr>
            <w:r>
              <w:rPr>
                <w:kern w:val="20"/>
                <w:sz w:val="18"/>
              </w:rPr>
              <w:t>Quadratic average income</w:t>
            </w:r>
          </w:p>
          <w:p w:rsidR="00000000" w:rsidRDefault="00000000">
            <w:pPr>
              <w:jc w:val="center"/>
              <w:rPr>
                <w:kern w:val="20"/>
                <w:sz w:val="18"/>
              </w:rPr>
            </w:pPr>
            <w:r>
              <w:rPr>
                <w:kern w:val="20"/>
                <w:sz w:val="18"/>
              </w:rPr>
              <w:t>gap</w:t>
            </w:r>
          </w:p>
        </w:tc>
        <w:tc>
          <w:tcPr>
            <w:tcW w:w="892" w:type="dxa"/>
          </w:tcPr>
          <w:p w:rsidR="00000000" w:rsidRDefault="00000000">
            <w:pPr>
              <w:jc w:val="center"/>
              <w:rPr>
                <w:kern w:val="20"/>
                <w:sz w:val="18"/>
              </w:rPr>
            </w:pPr>
            <w:r>
              <w:rPr>
                <w:kern w:val="20"/>
                <w:sz w:val="18"/>
              </w:rPr>
              <w:t>Percentage of poor</w:t>
            </w:r>
          </w:p>
        </w:tc>
        <w:tc>
          <w:tcPr>
            <w:tcW w:w="777" w:type="dxa"/>
          </w:tcPr>
          <w:p w:rsidR="00000000" w:rsidRDefault="00000000">
            <w:pPr>
              <w:jc w:val="center"/>
              <w:rPr>
                <w:kern w:val="20"/>
                <w:sz w:val="18"/>
              </w:rPr>
            </w:pPr>
            <w:r>
              <w:rPr>
                <w:kern w:val="20"/>
                <w:sz w:val="18"/>
              </w:rPr>
              <w:t>Average income</w:t>
            </w:r>
          </w:p>
          <w:p w:rsidR="00000000" w:rsidRDefault="00000000">
            <w:pPr>
              <w:ind w:right="34"/>
              <w:jc w:val="center"/>
              <w:rPr>
                <w:kern w:val="20"/>
                <w:sz w:val="18"/>
              </w:rPr>
            </w:pPr>
            <w:r>
              <w:rPr>
                <w:kern w:val="20"/>
                <w:sz w:val="18"/>
              </w:rPr>
              <w:t>gap</w:t>
            </w:r>
          </w:p>
        </w:tc>
        <w:tc>
          <w:tcPr>
            <w:tcW w:w="851" w:type="dxa"/>
          </w:tcPr>
          <w:p w:rsidR="00000000" w:rsidRDefault="00000000">
            <w:pPr>
              <w:jc w:val="center"/>
              <w:rPr>
                <w:kern w:val="20"/>
                <w:sz w:val="18"/>
              </w:rPr>
            </w:pPr>
            <w:r>
              <w:rPr>
                <w:kern w:val="20"/>
                <w:sz w:val="18"/>
              </w:rPr>
              <w:t>Quadratic average income gap</w:t>
            </w:r>
          </w:p>
        </w:tc>
      </w:tr>
      <w:tr w:rsidR="00000000">
        <w:tblPrEx>
          <w:tblCellMar>
            <w:top w:w="0" w:type="dxa"/>
            <w:bottom w:w="0" w:type="dxa"/>
          </w:tblCellMar>
        </w:tblPrEx>
        <w:tc>
          <w:tcPr>
            <w:tcW w:w="1701" w:type="dxa"/>
          </w:tcPr>
          <w:p w:rsidR="00000000" w:rsidRDefault="00000000">
            <w:pPr>
              <w:rPr>
                <w:kern w:val="20"/>
                <w:sz w:val="18"/>
              </w:rPr>
            </w:pPr>
            <w:r>
              <w:rPr>
                <w:kern w:val="20"/>
                <w:sz w:val="18"/>
              </w:rPr>
              <w:t>Brazil</w:t>
            </w:r>
          </w:p>
        </w:tc>
        <w:tc>
          <w:tcPr>
            <w:tcW w:w="993" w:type="dxa"/>
          </w:tcPr>
          <w:p w:rsidR="00000000" w:rsidRDefault="00000000">
            <w:pPr>
              <w:rPr>
                <w:kern w:val="20"/>
                <w:sz w:val="18"/>
              </w:rPr>
            </w:pPr>
            <w:r>
              <w:rPr>
                <w:kern w:val="20"/>
                <w:sz w:val="18"/>
              </w:rPr>
              <w:t xml:space="preserve">    100.00</w:t>
            </w:r>
          </w:p>
        </w:tc>
        <w:tc>
          <w:tcPr>
            <w:tcW w:w="892" w:type="dxa"/>
          </w:tcPr>
          <w:p w:rsidR="00000000" w:rsidRDefault="00000000">
            <w:pPr>
              <w:jc w:val="center"/>
              <w:rPr>
                <w:kern w:val="20"/>
                <w:sz w:val="18"/>
              </w:rPr>
            </w:pPr>
            <w:r>
              <w:rPr>
                <w:kern w:val="20"/>
                <w:sz w:val="18"/>
              </w:rPr>
              <w:t>34</w:t>
            </w:r>
          </w:p>
        </w:tc>
        <w:tc>
          <w:tcPr>
            <w:tcW w:w="709" w:type="dxa"/>
          </w:tcPr>
          <w:p w:rsidR="00000000" w:rsidRDefault="00000000">
            <w:pPr>
              <w:rPr>
                <w:kern w:val="20"/>
                <w:sz w:val="18"/>
              </w:rPr>
            </w:pPr>
            <w:r>
              <w:rPr>
                <w:kern w:val="20"/>
                <w:sz w:val="18"/>
              </w:rPr>
              <w:t xml:space="preserve">   0.15</w:t>
            </w:r>
          </w:p>
        </w:tc>
        <w:tc>
          <w:tcPr>
            <w:tcW w:w="850" w:type="dxa"/>
          </w:tcPr>
          <w:p w:rsidR="00000000" w:rsidRDefault="00000000">
            <w:pPr>
              <w:rPr>
                <w:kern w:val="20"/>
                <w:sz w:val="18"/>
              </w:rPr>
            </w:pPr>
            <w:r>
              <w:rPr>
                <w:kern w:val="20"/>
                <w:sz w:val="18"/>
              </w:rPr>
              <w:t xml:space="preserve">     0.09</w:t>
            </w:r>
          </w:p>
        </w:tc>
        <w:tc>
          <w:tcPr>
            <w:tcW w:w="993" w:type="dxa"/>
          </w:tcPr>
          <w:p w:rsidR="00000000" w:rsidRDefault="00000000">
            <w:pPr>
              <w:rPr>
                <w:kern w:val="20"/>
                <w:sz w:val="18"/>
              </w:rPr>
            </w:pPr>
            <w:r>
              <w:rPr>
                <w:kern w:val="20"/>
                <w:sz w:val="18"/>
              </w:rPr>
              <w:t xml:space="preserve">    100.00</w:t>
            </w:r>
          </w:p>
        </w:tc>
        <w:tc>
          <w:tcPr>
            <w:tcW w:w="708" w:type="dxa"/>
          </w:tcPr>
          <w:p w:rsidR="00000000" w:rsidRDefault="00000000">
            <w:pPr>
              <w:rPr>
                <w:kern w:val="20"/>
                <w:sz w:val="18"/>
              </w:rPr>
            </w:pPr>
            <w:r>
              <w:rPr>
                <w:kern w:val="20"/>
                <w:sz w:val="18"/>
              </w:rPr>
              <w:t xml:space="preserve"> 100.00</w:t>
            </w:r>
          </w:p>
        </w:tc>
        <w:tc>
          <w:tcPr>
            <w:tcW w:w="851" w:type="dxa"/>
          </w:tcPr>
          <w:p w:rsidR="00000000" w:rsidRDefault="00000000">
            <w:pPr>
              <w:rPr>
                <w:kern w:val="20"/>
                <w:sz w:val="18"/>
              </w:rPr>
            </w:pPr>
            <w:r>
              <w:rPr>
                <w:kern w:val="20"/>
                <w:sz w:val="18"/>
              </w:rPr>
              <w:t xml:space="preserve">   100.00</w:t>
            </w:r>
          </w:p>
        </w:tc>
        <w:tc>
          <w:tcPr>
            <w:tcW w:w="927" w:type="dxa"/>
          </w:tcPr>
          <w:p w:rsidR="00000000" w:rsidRDefault="00000000">
            <w:pPr>
              <w:rPr>
                <w:kern w:val="20"/>
                <w:sz w:val="18"/>
              </w:rPr>
            </w:pPr>
            <w:r>
              <w:rPr>
                <w:kern w:val="20"/>
                <w:sz w:val="18"/>
              </w:rPr>
              <w:t xml:space="preserve">      15</w:t>
            </w:r>
          </w:p>
        </w:tc>
        <w:tc>
          <w:tcPr>
            <w:tcW w:w="774" w:type="dxa"/>
            <w:gridSpan w:val="2"/>
          </w:tcPr>
          <w:p w:rsidR="00000000" w:rsidRDefault="00000000">
            <w:pPr>
              <w:rPr>
                <w:kern w:val="20"/>
                <w:sz w:val="18"/>
              </w:rPr>
            </w:pPr>
            <w:r>
              <w:rPr>
                <w:kern w:val="20"/>
                <w:sz w:val="18"/>
              </w:rPr>
              <w:t xml:space="preserve">    0.06</w:t>
            </w:r>
          </w:p>
        </w:tc>
        <w:tc>
          <w:tcPr>
            <w:tcW w:w="808" w:type="dxa"/>
          </w:tcPr>
          <w:p w:rsidR="00000000" w:rsidRDefault="00000000">
            <w:pPr>
              <w:rPr>
                <w:kern w:val="20"/>
                <w:sz w:val="18"/>
              </w:rPr>
            </w:pPr>
            <w:r>
              <w:rPr>
                <w:kern w:val="20"/>
                <w:sz w:val="18"/>
              </w:rPr>
              <w:t xml:space="preserve">     0.04</w:t>
            </w:r>
          </w:p>
        </w:tc>
        <w:tc>
          <w:tcPr>
            <w:tcW w:w="892" w:type="dxa"/>
          </w:tcPr>
          <w:p w:rsidR="00000000" w:rsidRDefault="00000000">
            <w:pPr>
              <w:rPr>
                <w:kern w:val="20"/>
                <w:sz w:val="18"/>
              </w:rPr>
            </w:pPr>
            <w:r>
              <w:rPr>
                <w:kern w:val="20"/>
                <w:sz w:val="18"/>
              </w:rPr>
              <w:t xml:space="preserve">    100.00</w:t>
            </w:r>
          </w:p>
        </w:tc>
        <w:tc>
          <w:tcPr>
            <w:tcW w:w="777" w:type="dxa"/>
          </w:tcPr>
          <w:p w:rsidR="00000000" w:rsidRDefault="00000000">
            <w:pPr>
              <w:rPr>
                <w:kern w:val="20"/>
                <w:sz w:val="18"/>
              </w:rPr>
            </w:pPr>
            <w:r>
              <w:rPr>
                <w:kern w:val="20"/>
                <w:sz w:val="18"/>
              </w:rPr>
              <w:t xml:space="preserve">  100.00</w:t>
            </w:r>
          </w:p>
        </w:tc>
        <w:tc>
          <w:tcPr>
            <w:tcW w:w="851" w:type="dxa"/>
          </w:tcPr>
          <w:p w:rsidR="00000000" w:rsidRDefault="00000000">
            <w:pPr>
              <w:rPr>
                <w:kern w:val="20"/>
                <w:sz w:val="18"/>
              </w:rPr>
            </w:pPr>
            <w:r>
              <w:rPr>
                <w:kern w:val="20"/>
                <w:sz w:val="18"/>
              </w:rPr>
              <w:t xml:space="preserve">   100.00</w:t>
            </w:r>
          </w:p>
        </w:tc>
      </w:tr>
      <w:tr w:rsidR="00000000">
        <w:tblPrEx>
          <w:tblCellMar>
            <w:top w:w="0" w:type="dxa"/>
            <w:bottom w:w="0" w:type="dxa"/>
          </w:tblCellMar>
        </w:tblPrEx>
        <w:trPr>
          <w:cantSplit/>
        </w:trPr>
        <w:tc>
          <w:tcPr>
            <w:tcW w:w="1701" w:type="dxa"/>
          </w:tcPr>
          <w:p w:rsidR="00000000" w:rsidRDefault="00000000">
            <w:pPr>
              <w:rPr>
                <w:b/>
                <w:bCs/>
                <w:kern w:val="20"/>
                <w:sz w:val="18"/>
              </w:rPr>
            </w:pPr>
            <w:r>
              <w:rPr>
                <w:b/>
                <w:bCs/>
                <w:kern w:val="20"/>
                <w:sz w:val="18"/>
              </w:rPr>
              <w:t>Characteristics of individuals</w:t>
            </w:r>
          </w:p>
        </w:tc>
        <w:tc>
          <w:tcPr>
            <w:tcW w:w="11025" w:type="dxa"/>
            <w:gridSpan w:val="14"/>
          </w:tcPr>
          <w:p w:rsidR="00000000" w:rsidRDefault="00000000">
            <w:pPr>
              <w:jc w:val="center"/>
              <w:rPr>
                <w:kern w:val="20"/>
                <w:sz w:val="18"/>
              </w:rPr>
            </w:pPr>
          </w:p>
        </w:tc>
      </w:tr>
      <w:tr w:rsidR="00000000">
        <w:tblPrEx>
          <w:tblCellMar>
            <w:top w:w="0" w:type="dxa"/>
            <w:bottom w:w="0" w:type="dxa"/>
          </w:tblCellMar>
        </w:tblPrEx>
        <w:trPr>
          <w:cantSplit/>
        </w:trPr>
        <w:tc>
          <w:tcPr>
            <w:tcW w:w="1701" w:type="dxa"/>
          </w:tcPr>
          <w:p w:rsidR="00000000" w:rsidRDefault="00000000">
            <w:pPr>
              <w:rPr>
                <w:kern w:val="20"/>
                <w:sz w:val="18"/>
              </w:rPr>
            </w:pPr>
            <w:r>
              <w:rPr>
                <w:kern w:val="20"/>
                <w:sz w:val="18"/>
              </w:rPr>
              <w:t>Gender</w:t>
            </w:r>
          </w:p>
        </w:tc>
        <w:tc>
          <w:tcPr>
            <w:tcW w:w="11025" w:type="dxa"/>
            <w:gridSpan w:val="14"/>
          </w:tcPr>
          <w:p w:rsidR="00000000" w:rsidRDefault="00000000">
            <w:pPr>
              <w:rPr>
                <w:kern w:val="20"/>
                <w:sz w:val="18"/>
              </w:rPr>
            </w:pPr>
          </w:p>
        </w:tc>
      </w:tr>
      <w:tr w:rsidR="00000000">
        <w:tblPrEx>
          <w:tblCellMar>
            <w:top w:w="0" w:type="dxa"/>
            <w:bottom w:w="0" w:type="dxa"/>
          </w:tblCellMar>
        </w:tblPrEx>
        <w:tc>
          <w:tcPr>
            <w:tcW w:w="1701" w:type="dxa"/>
            <w:tcBorders>
              <w:bottom w:val="nil"/>
            </w:tcBorders>
          </w:tcPr>
          <w:p w:rsidR="00000000" w:rsidRDefault="00000000">
            <w:pPr>
              <w:rPr>
                <w:kern w:val="20"/>
                <w:sz w:val="18"/>
              </w:rPr>
            </w:pPr>
            <w:r>
              <w:rPr>
                <w:kern w:val="20"/>
                <w:sz w:val="18"/>
              </w:rPr>
              <w:t>Male</w:t>
            </w:r>
          </w:p>
        </w:tc>
        <w:tc>
          <w:tcPr>
            <w:tcW w:w="993" w:type="dxa"/>
            <w:tcBorders>
              <w:bottom w:val="nil"/>
            </w:tcBorders>
          </w:tcPr>
          <w:p w:rsidR="00000000" w:rsidRDefault="00000000">
            <w:pPr>
              <w:rPr>
                <w:kern w:val="20"/>
                <w:sz w:val="18"/>
              </w:rPr>
            </w:pPr>
            <w:r>
              <w:rPr>
                <w:kern w:val="20"/>
                <w:sz w:val="18"/>
              </w:rPr>
              <w:t xml:space="preserve">      49.10</w:t>
            </w:r>
          </w:p>
        </w:tc>
        <w:tc>
          <w:tcPr>
            <w:tcW w:w="892" w:type="dxa"/>
            <w:tcBorders>
              <w:bottom w:val="nil"/>
            </w:tcBorders>
          </w:tcPr>
          <w:p w:rsidR="00000000" w:rsidRDefault="00000000">
            <w:pPr>
              <w:jc w:val="center"/>
              <w:rPr>
                <w:kern w:val="20"/>
                <w:sz w:val="18"/>
              </w:rPr>
            </w:pPr>
            <w:r>
              <w:rPr>
                <w:kern w:val="20"/>
                <w:sz w:val="18"/>
              </w:rPr>
              <w:t>34</w:t>
            </w:r>
          </w:p>
        </w:tc>
        <w:tc>
          <w:tcPr>
            <w:tcW w:w="709" w:type="dxa"/>
            <w:tcBorders>
              <w:bottom w:val="nil"/>
            </w:tcBorders>
          </w:tcPr>
          <w:p w:rsidR="00000000" w:rsidRDefault="00000000">
            <w:pPr>
              <w:rPr>
                <w:kern w:val="20"/>
                <w:sz w:val="18"/>
              </w:rPr>
            </w:pPr>
            <w:r>
              <w:rPr>
                <w:kern w:val="20"/>
                <w:sz w:val="18"/>
              </w:rPr>
              <w:t xml:space="preserve">   0.15</w:t>
            </w:r>
          </w:p>
        </w:tc>
        <w:tc>
          <w:tcPr>
            <w:tcW w:w="850" w:type="dxa"/>
            <w:tcBorders>
              <w:bottom w:val="nil"/>
            </w:tcBorders>
          </w:tcPr>
          <w:p w:rsidR="00000000" w:rsidRDefault="00000000">
            <w:pPr>
              <w:rPr>
                <w:kern w:val="20"/>
                <w:sz w:val="18"/>
              </w:rPr>
            </w:pPr>
            <w:r>
              <w:rPr>
                <w:kern w:val="20"/>
                <w:sz w:val="18"/>
              </w:rPr>
              <w:t xml:space="preserve">     0.10</w:t>
            </w:r>
          </w:p>
        </w:tc>
        <w:tc>
          <w:tcPr>
            <w:tcW w:w="993" w:type="dxa"/>
            <w:tcBorders>
              <w:bottom w:val="nil"/>
            </w:tcBorders>
          </w:tcPr>
          <w:p w:rsidR="00000000" w:rsidRDefault="00000000">
            <w:pPr>
              <w:rPr>
                <w:kern w:val="20"/>
                <w:sz w:val="18"/>
              </w:rPr>
            </w:pPr>
            <w:r>
              <w:rPr>
                <w:kern w:val="20"/>
                <w:sz w:val="18"/>
              </w:rPr>
              <w:t xml:space="preserve">      49.25</w:t>
            </w:r>
          </w:p>
        </w:tc>
        <w:tc>
          <w:tcPr>
            <w:tcW w:w="708" w:type="dxa"/>
            <w:tcBorders>
              <w:bottom w:val="nil"/>
            </w:tcBorders>
          </w:tcPr>
          <w:p w:rsidR="00000000" w:rsidRDefault="00000000">
            <w:pPr>
              <w:rPr>
                <w:kern w:val="20"/>
                <w:sz w:val="18"/>
              </w:rPr>
            </w:pPr>
            <w:r>
              <w:rPr>
                <w:kern w:val="20"/>
                <w:sz w:val="18"/>
              </w:rPr>
              <w:t xml:space="preserve">   49.47</w:t>
            </w:r>
          </w:p>
        </w:tc>
        <w:tc>
          <w:tcPr>
            <w:tcW w:w="851" w:type="dxa"/>
            <w:tcBorders>
              <w:bottom w:val="nil"/>
            </w:tcBorders>
          </w:tcPr>
          <w:p w:rsidR="00000000" w:rsidRDefault="00000000">
            <w:pPr>
              <w:rPr>
                <w:kern w:val="20"/>
                <w:sz w:val="18"/>
              </w:rPr>
            </w:pPr>
            <w:r>
              <w:rPr>
                <w:kern w:val="20"/>
                <w:sz w:val="18"/>
              </w:rPr>
              <w:t xml:space="preserve">    49.73</w:t>
            </w:r>
          </w:p>
        </w:tc>
        <w:tc>
          <w:tcPr>
            <w:tcW w:w="927" w:type="dxa"/>
            <w:tcBorders>
              <w:bottom w:val="nil"/>
            </w:tcBorders>
          </w:tcPr>
          <w:p w:rsidR="00000000" w:rsidRDefault="00000000">
            <w:pPr>
              <w:rPr>
                <w:kern w:val="20"/>
                <w:sz w:val="18"/>
              </w:rPr>
            </w:pPr>
            <w:r>
              <w:rPr>
                <w:kern w:val="20"/>
                <w:sz w:val="18"/>
              </w:rPr>
              <w:t xml:space="preserve">      15</w:t>
            </w:r>
          </w:p>
        </w:tc>
        <w:tc>
          <w:tcPr>
            <w:tcW w:w="774" w:type="dxa"/>
            <w:gridSpan w:val="2"/>
            <w:tcBorders>
              <w:bottom w:val="nil"/>
            </w:tcBorders>
          </w:tcPr>
          <w:p w:rsidR="00000000" w:rsidRDefault="00000000">
            <w:pPr>
              <w:rPr>
                <w:kern w:val="20"/>
                <w:sz w:val="18"/>
              </w:rPr>
            </w:pPr>
            <w:r>
              <w:rPr>
                <w:kern w:val="20"/>
                <w:sz w:val="18"/>
              </w:rPr>
              <w:t xml:space="preserve">    0.06</w:t>
            </w:r>
          </w:p>
        </w:tc>
        <w:tc>
          <w:tcPr>
            <w:tcW w:w="808" w:type="dxa"/>
            <w:tcBorders>
              <w:bottom w:val="nil"/>
            </w:tcBorders>
          </w:tcPr>
          <w:p w:rsidR="00000000" w:rsidRDefault="00000000">
            <w:pPr>
              <w:rPr>
                <w:kern w:val="20"/>
                <w:sz w:val="18"/>
              </w:rPr>
            </w:pPr>
            <w:r>
              <w:rPr>
                <w:kern w:val="20"/>
                <w:sz w:val="18"/>
              </w:rPr>
              <w:t xml:space="preserve">    0.04</w:t>
            </w:r>
          </w:p>
        </w:tc>
        <w:tc>
          <w:tcPr>
            <w:tcW w:w="892" w:type="dxa"/>
            <w:tcBorders>
              <w:bottom w:val="nil"/>
            </w:tcBorders>
          </w:tcPr>
          <w:p w:rsidR="00000000" w:rsidRDefault="00000000">
            <w:pPr>
              <w:rPr>
                <w:kern w:val="20"/>
                <w:sz w:val="18"/>
              </w:rPr>
            </w:pPr>
            <w:r>
              <w:rPr>
                <w:kern w:val="20"/>
                <w:sz w:val="18"/>
              </w:rPr>
              <w:t xml:space="preserve">     49.39</w:t>
            </w:r>
          </w:p>
        </w:tc>
        <w:tc>
          <w:tcPr>
            <w:tcW w:w="777" w:type="dxa"/>
            <w:tcBorders>
              <w:bottom w:val="nil"/>
            </w:tcBorders>
          </w:tcPr>
          <w:p w:rsidR="00000000" w:rsidRDefault="00000000">
            <w:pPr>
              <w:rPr>
                <w:kern w:val="20"/>
                <w:sz w:val="18"/>
              </w:rPr>
            </w:pPr>
            <w:r>
              <w:rPr>
                <w:kern w:val="20"/>
                <w:sz w:val="18"/>
              </w:rPr>
              <w:t xml:space="preserve">    49.49</w:t>
            </w:r>
          </w:p>
        </w:tc>
        <w:tc>
          <w:tcPr>
            <w:tcW w:w="851" w:type="dxa"/>
            <w:tcBorders>
              <w:bottom w:val="nil"/>
            </w:tcBorders>
          </w:tcPr>
          <w:p w:rsidR="00000000" w:rsidRDefault="00000000">
            <w:pPr>
              <w:rPr>
                <w:kern w:val="20"/>
                <w:sz w:val="18"/>
              </w:rPr>
            </w:pPr>
            <w:r>
              <w:rPr>
                <w:kern w:val="20"/>
                <w:sz w:val="18"/>
              </w:rPr>
              <w:t xml:space="preserve">     49.36</w:t>
            </w:r>
          </w:p>
        </w:tc>
      </w:tr>
      <w:tr w:rsidR="00000000">
        <w:tblPrEx>
          <w:tblCellMar>
            <w:top w:w="0" w:type="dxa"/>
            <w:bottom w:w="0" w:type="dxa"/>
          </w:tblCellMar>
        </w:tblPrEx>
        <w:tc>
          <w:tcPr>
            <w:tcW w:w="1701" w:type="dxa"/>
            <w:tcBorders>
              <w:top w:val="nil"/>
            </w:tcBorders>
          </w:tcPr>
          <w:p w:rsidR="00000000" w:rsidRDefault="00000000">
            <w:pPr>
              <w:rPr>
                <w:kern w:val="20"/>
                <w:sz w:val="18"/>
              </w:rPr>
            </w:pPr>
            <w:r>
              <w:rPr>
                <w:kern w:val="20"/>
                <w:sz w:val="18"/>
              </w:rPr>
              <w:t>Female</w:t>
            </w:r>
          </w:p>
        </w:tc>
        <w:tc>
          <w:tcPr>
            <w:tcW w:w="993" w:type="dxa"/>
            <w:tcBorders>
              <w:top w:val="nil"/>
            </w:tcBorders>
          </w:tcPr>
          <w:p w:rsidR="00000000" w:rsidRDefault="00000000">
            <w:pPr>
              <w:rPr>
                <w:kern w:val="20"/>
                <w:sz w:val="18"/>
              </w:rPr>
            </w:pPr>
            <w:r>
              <w:rPr>
                <w:kern w:val="20"/>
                <w:sz w:val="18"/>
              </w:rPr>
              <w:t xml:space="preserve">      50.90</w:t>
            </w:r>
          </w:p>
        </w:tc>
        <w:tc>
          <w:tcPr>
            <w:tcW w:w="892" w:type="dxa"/>
            <w:tcBorders>
              <w:top w:val="nil"/>
            </w:tcBorders>
          </w:tcPr>
          <w:p w:rsidR="00000000" w:rsidRDefault="00000000">
            <w:pPr>
              <w:jc w:val="center"/>
              <w:rPr>
                <w:kern w:val="20"/>
                <w:sz w:val="18"/>
              </w:rPr>
            </w:pPr>
            <w:r>
              <w:rPr>
                <w:kern w:val="20"/>
                <w:sz w:val="18"/>
              </w:rPr>
              <w:t>34</w:t>
            </w:r>
          </w:p>
        </w:tc>
        <w:tc>
          <w:tcPr>
            <w:tcW w:w="709" w:type="dxa"/>
            <w:tcBorders>
              <w:top w:val="nil"/>
            </w:tcBorders>
          </w:tcPr>
          <w:p w:rsidR="00000000" w:rsidRDefault="00000000">
            <w:pPr>
              <w:rPr>
                <w:kern w:val="20"/>
                <w:sz w:val="18"/>
              </w:rPr>
            </w:pPr>
            <w:r>
              <w:rPr>
                <w:kern w:val="20"/>
                <w:sz w:val="18"/>
              </w:rPr>
              <w:t xml:space="preserve">   0.15</w:t>
            </w:r>
          </w:p>
        </w:tc>
        <w:tc>
          <w:tcPr>
            <w:tcW w:w="850" w:type="dxa"/>
            <w:tcBorders>
              <w:top w:val="nil"/>
            </w:tcBorders>
          </w:tcPr>
          <w:p w:rsidR="00000000" w:rsidRDefault="00000000">
            <w:pPr>
              <w:rPr>
                <w:kern w:val="20"/>
                <w:sz w:val="18"/>
              </w:rPr>
            </w:pPr>
            <w:r>
              <w:rPr>
                <w:kern w:val="20"/>
                <w:sz w:val="18"/>
              </w:rPr>
              <w:t xml:space="preserve">     0.09</w:t>
            </w:r>
          </w:p>
        </w:tc>
        <w:tc>
          <w:tcPr>
            <w:tcW w:w="993" w:type="dxa"/>
            <w:tcBorders>
              <w:top w:val="nil"/>
            </w:tcBorders>
          </w:tcPr>
          <w:p w:rsidR="00000000" w:rsidRDefault="00000000">
            <w:pPr>
              <w:rPr>
                <w:kern w:val="20"/>
                <w:sz w:val="18"/>
              </w:rPr>
            </w:pPr>
            <w:r>
              <w:rPr>
                <w:kern w:val="20"/>
                <w:sz w:val="18"/>
              </w:rPr>
              <w:t xml:space="preserve">      50.75</w:t>
            </w:r>
          </w:p>
        </w:tc>
        <w:tc>
          <w:tcPr>
            <w:tcW w:w="708" w:type="dxa"/>
            <w:tcBorders>
              <w:top w:val="nil"/>
            </w:tcBorders>
          </w:tcPr>
          <w:p w:rsidR="00000000" w:rsidRDefault="00000000">
            <w:pPr>
              <w:rPr>
                <w:kern w:val="20"/>
                <w:sz w:val="18"/>
              </w:rPr>
            </w:pPr>
            <w:r>
              <w:rPr>
                <w:kern w:val="20"/>
                <w:sz w:val="18"/>
              </w:rPr>
              <w:t xml:space="preserve">   50.54</w:t>
            </w:r>
          </w:p>
        </w:tc>
        <w:tc>
          <w:tcPr>
            <w:tcW w:w="851" w:type="dxa"/>
            <w:tcBorders>
              <w:top w:val="nil"/>
            </w:tcBorders>
          </w:tcPr>
          <w:p w:rsidR="00000000" w:rsidRDefault="00000000">
            <w:pPr>
              <w:rPr>
                <w:kern w:val="20"/>
                <w:sz w:val="18"/>
              </w:rPr>
            </w:pPr>
            <w:r>
              <w:rPr>
                <w:kern w:val="20"/>
                <w:sz w:val="18"/>
              </w:rPr>
              <w:t xml:space="preserve">    50.27</w:t>
            </w:r>
          </w:p>
        </w:tc>
        <w:tc>
          <w:tcPr>
            <w:tcW w:w="927" w:type="dxa"/>
            <w:tcBorders>
              <w:top w:val="nil"/>
            </w:tcBorders>
          </w:tcPr>
          <w:p w:rsidR="00000000" w:rsidRDefault="00000000">
            <w:pPr>
              <w:rPr>
                <w:kern w:val="20"/>
                <w:sz w:val="18"/>
              </w:rPr>
            </w:pPr>
            <w:r>
              <w:rPr>
                <w:kern w:val="20"/>
                <w:sz w:val="18"/>
              </w:rPr>
              <w:t xml:space="preserve">      15</w:t>
            </w:r>
          </w:p>
        </w:tc>
        <w:tc>
          <w:tcPr>
            <w:tcW w:w="774" w:type="dxa"/>
            <w:gridSpan w:val="2"/>
            <w:tcBorders>
              <w:top w:val="nil"/>
            </w:tcBorders>
          </w:tcPr>
          <w:p w:rsidR="00000000" w:rsidRDefault="00000000">
            <w:pPr>
              <w:rPr>
                <w:kern w:val="20"/>
                <w:sz w:val="18"/>
              </w:rPr>
            </w:pPr>
            <w:r>
              <w:rPr>
                <w:kern w:val="20"/>
                <w:sz w:val="18"/>
              </w:rPr>
              <w:t xml:space="preserve">    0.06</w:t>
            </w:r>
          </w:p>
        </w:tc>
        <w:tc>
          <w:tcPr>
            <w:tcW w:w="808" w:type="dxa"/>
            <w:tcBorders>
              <w:top w:val="nil"/>
            </w:tcBorders>
          </w:tcPr>
          <w:p w:rsidR="00000000" w:rsidRDefault="00000000">
            <w:pPr>
              <w:rPr>
                <w:kern w:val="20"/>
                <w:sz w:val="18"/>
              </w:rPr>
            </w:pPr>
            <w:r>
              <w:rPr>
                <w:kern w:val="20"/>
                <w:sz w:val="18"/>
              </w:rPr>
              <w:t xml:space="preserve">    0.04</w:t>
            </w:r>
          </w:p>
        </w:tc>
        <w:tc>
          <w:tcPr>
            <w:tcW w:w="892" w:type="dxa"/>
            <w:tcBorders>
              <w:top w:val="nil"/>
            </w:tcBorders>
          </w:tcPr>
          <w:p w:rsidR="00000000" w:rsidRDefault="00000000">
            <w:pPr>
              <w:rPr>
                <w:kern w:val="20"/>
                <w:sz w:val="18"/>
              </w:rPr>
            </w:pPr>
            <w:r>
              <w:rPr>
                <w:kern w:val="20"/>
                <w:sz w:val="18"/>
              </w:rPr>
              <w:t xml:space="preserve">     50.60</w:t>
            </w:r>
          </w:p>
        </w:tc>
        <w:tc>
          <w:tcPr>
            <w:tcW w:w="777" w:type="dxa"/>
            <w:tcBorders>
              <w:top w:val="nil"/>
            </w:tcBorders>
          </w:tcPr>
          <w:p w:rsidR="00000000" w:rsidRDefault="00000000">
            <w:pPr>
              <w:rPr>
                <w:kern w:val="20"/>
                <w:sz w:val="18"/>
              </w:rPr>
            </w:pPr>
            <w:r>
              <w:rPr>
                <w:kern w:val="20"/>
                <w:sz w:val="18"/>
              </w:rPr>
              <w:t xml:space="preserve">    50.51</w:t>
            </w:r>
          </w:p>
        </w:tc>
        <w:tc>
          <w:tcPr>
            <w:tcW w:w="851" w:type="dxa"/>
            <w:tcBorders>
              <w:top w:val="nil"/>
            </w:tcBorders>
          </w:tcPr>
          <w:p w:rsidR="00000000" w:rsidRDefault="00000000">
            <w:pPr>
              <w:rPr>
                <w:kern w:val="20"/>
                <w:sz w:val="18"/>
              </w:rPr>
            </w:pPr>
            <w:r>
              <w:rPr>
                <w:kern w:val="20"/>
                <w:sz w:val="18"/>
              </w:rPr>
              <w:t xml:space="preserve">     50.64</w:t>
            </w:r>
          </w:p>
        </w:tc>
      </w:tr>
      <w:tr w:rsidR="00000000">
        <w:tblPrEx>
          <w:tblCellMar>
            <w:top w:w="0" w:type="dxa"/>
            <w:bottom w:w="0" w:type="dxa"/>
          </w:tblCellMar>
        </w:tblPrEx>
        <w:trPr>
          <w:cantSplit/>
        </w:trPr>
        <w:tc>
          <w:tcPr>
            <w:tcW w:w="1701" w:type="dxa"/>
          </w:tcPr>
          <w:p w:rsidR="00000000" w:rsidRDefault="00000000">
            <w:pPr>
              <w:rPr>
                <w:kern w:val="20"/>
                <w:sz w:val="18"/>
              </w:rPr>
            </w:pPr>
            <w:r>
              <w:rPr>
                <w:kern w:val="20"/>
                <w:sz w:val="18"/>
              </w:rPr>
              <w:t>Schooling</w:t>
            </w:r>
          </w:p>
        </w:tc>
        <w:tc>
          <w:tcPr>
            <w:tcW w:w="11025" w:type="dxa"/>
            <w:gridSpan w:val="14"/>
          </w:tcPr>
          <w:p w:rsidR="00000000" w:rsidRDefault="00000000">
            <w:pPr>
              <w:rPr>
                <w:kern w:val="20"/>
                <w:sz w:val="18"/>
              </w:rPr>
            </w:pPr>
          </w:p>
        </w:tc>
      </w:tr>
      <w:tr w:rsidR="00000000">
        <w:tblPrEx>
          <w:tblCellMar>
            <w:top w:w="0" w:type="dxa"/>
            <w:bottom w:w="0" w:type="dxa"/>
          </w:tblCellMar>
        </w:tblPrEx>
        <w:tc>
          <w:tcPr>
            <w:tcW w:w="1701" w:type="dxa"/>
            <w:tcBorders>
              <w:bottom w:val="nil"/>
            </w:tcBorders>
          </w:tcPr>
          <w:p w:rsidR="00000000" w:rsidRDefault="00000000">
            <w:pPr>
              <w:rPr>
                <w:kern w:val="20"/>
                <w:sz w:val="18"/>
              </w:rPr>
            </w:pPr>
            <w:r>
              <w:rPr>
                <w:kern w:val="20"/>
                <w:sz w:val="18"/>
              </w:rPr>
              <w:t>0 years of school</w:t>
            </w:r>
          </w:p>
        </w:tc>
        <w:tc>
          <w:tcPr>
            <w:tcW w:w="993" w:type="dxa"/>
            <w:tcBorders>
              <w:bottom w:val="nil"/>
            </w:tcBorders>
          </w:tcPr>
          <w:p w:rsidR="00000000" w:rsidRDefault="00000000">
            <w:pPr>
              <w:rPr>
                <w:kern w:val="20"/>
                <w:sz w:val="18"/>
              </w:rPr>
            </w:pPr>
            <w:r>
              <w:rPr>
                <w:kern w:val="20"/>
                <w:sz w:val="18"/>
              </w:rPr>
              <w:t xml:space="preserve">      29.20</w:t>
            </w:r>
          </w:p>
        </w:tc>
        <w:tc>
          <w:tcPr>
            <w:tcW w:w="892" w:type="dxa"/>
            <w:tcBorders>
              <w:bottom w:val="nil"/>
            </w:tcBorders>
          </w:tcPr>
          <w:p w:rsidR="00000000" w:rsidRDefault="00000000">
            <w:pPr>
              <w:jc w:val="center"/>
              <w:rPr>
                <w:kern w:val="20"/>
                <w:sz w:val="18"/>
              </w:rPr>
            </w:pPr>
            <w:r>
              <w:rPr>
                <w:kern w:val="20"/>
                <w:sz w:val="18"/>
              </w:rPr>
              <w:t>52</w:t>
            </w:r>
          </w:p>
        </w:tc>
        <w:tc>
          <w:tcPr>
            <w:tcW w:w="709" w:type="dxa"/>
            <w:tcBorders>
              <w:bottom w:val="nil"/>
            </w:tcBorders>
          </w:tcPr>
          <w:p w:rsidR="00000000" w:rsidRDefault="00000000">
            <w:pPr>
              <w:rPr>
                <w:kern w:val="20"/>
                <w:sz w:val="18"/>
              </w:rPr>
            </w:pPr>
            <w:r>
              <w:rPr>
                <w:kern w:val="20"/>
                <w:sz w:val="18"/>
              </w:rPr>
              <w:t xml:space="preserve">   0.25</w:t>
            </w:r>
          </w:p>
        </w:tc>
        <w:tc>
          <w:tcPr>
            <w:tcW w:w="850" w:type="dxa"/>
            <w:tcBorders>
              <w:bottom w:val="nil"/>
            </w:tcBorders>
          </w:tcPr>
          <w:p w:rsidR="00000000" w:rsidRDefault="00000000">
            <w:pPr>
              <w:rPr>
                <w:kern w:val="20"/>
                <w:sz w:val="18"/>
              </w:rPr>
            </w:pPr>
            <w:r>
              <w:rPr>
                <w:kern w:val="20"/>
                <w:sz w:val="18"/>
              </w:rPr>
              <w:t xml:space="preserve">     0.16</w:t>
            </w:r>
          </w:p>
        </w:tc>
        <w:tc>
          <w:tcPr>
            <w:tcW w:w="993" w:type="dxa"/>
            <w:tcBorders>
              <w:bottom w:val="nil"/>
            </w:tcBorders>
          </w:tcPr>
          <w:p w:rsidR="00000000" w:rsidRDefault="00000000">
            <w:pPr>
              <w:rPr>
                <w:kern w:val="20"/>
                <w:sz w:val="18"/>
              </w:rPr>
            </w:pPr>
            <w:r>
              <w:rPr>
                <w:kern w:val="20"/>
                <w:sz w:val="18"/>
              </w:rPr>
              <w:t xml:space="preserve">      44.55</w:t>
            </w:r>
          </w:p>
        </w:tc>
        <w:tc>
          <w:tcPr>
            <w:tcW w:w="708" w:type="dxa"/>
            <w:tcBorders>
              <w:bottom w:val="nil"/>
            </w:tcBorders>
          </w:tcPr>
          <w:p w:rsidR="00000000" w:rsidRDefault="00000000">
            <w:pPr>
              <w:rPr>
                <w:kern w:val="20"/>
                <w:sz w:val="18"/>
              </w:rPr>
            </w:pPr>
            <w:r>
              <w:rPr>
                <w:kern w:val="20"/>
                <w:sz w:val="18"/>
              </w:rPr>
              <w:t xml:space="preserve">   48.17</w:t>
            </w:r>
          </w:p>
        </w:tc>
        <w:tc>
          <w:tcPr>
            <w:tcW w:w="851" w:type="dxa"/>
            <w:tcBorders>
              <w:bottom w:val="nil"/>
            </w:tcBorders>
          </w:tcPr>
          <w:p w:rsidR="00000000" w:rsidRDefault="00000000">
            <w:pPr>
              <w:rPr>
                <w:kern w:val="20"/>
                <w:sz w:val="18"/>
              </w:rPr>
            </w:pPr>
            <w:r>
              <w:rPr>
                <w:kern w:val="20"/>
                <w:sz w:val="18"/>
              </w:rPr>
              <w:t xml:space="preserve">    49.97</w:t>
            </w:r>
          </w:p>
        </w:tc>
        <w:tc>
          <w:tcPr>
            <w:tcW w:w="927" w:type="dxa"/>
            <w:tcBorders>
              <w:bottom w:val="nil"/>
            </w:tcBorders>
          </w:tcPr>
          <w:p w:rsidR="00000000" w:rsidRDefault="00000000">
            <w:pPr>
              <w:rPr>
                <w:kern w:val="20"/>
                <w:sz w:val="18"/>
              </w:rPr>
            </w:pPr>
            <w:r>
              <w:rPr>
                <w:kern w:val="20"/>
                <w:sz w:val="18"/>
              </w:rPr>
              <w:t xml:space="preserve">      26</w:t>
            </w:r>
          </w:p>
        </w:tc>
        <w:tc>
          <w:tcPr>
            <w:tcW w:w="774" w:type="dxa"/>
            <w:gridSpan w:val="2"/>
            <w:tcBorders>
              <w:bottom w:val="nil"/>
            </w:tcBorders>
          </w:tcPr>
          <w:p w:rsidR="00000000" w:rsidRDefault="00000000">
            <w:pPr>
              <w:rPr>
                <w:kern w:val="20"/>
                <w:sz w:val="18"/>
              </w:rPr>
            </w:pPr>
            <w:r>
              <w:rPr>
                <w:kern w:val="20"/>
                <w:sz w:val="18"/>
              </w:rPr>
              <w:t xml:space="preserve">    0.11</w:t>
            </w:r>
          </w:p>
        </w:tc>
        <w:tc>
          <w:tcPr>
            <w:tcW w:w="808" w:type="dxa"/>
            <w:tcBorders>
              <w:bottom w:val="nil"/>
            </w:tcBorders>
          </w:tcPr>
          <w:p w:rsidR="00000000" w:rsidRDefault="00000000">
            <w:pPr>
              <w:rPr>
                <w:kern w:val="20"/>
                <w:sz w:val="18"/>
              </w:rPr>
            </w:pPr>
            <w:r>
              <w:rPr>
                <w:kern w:val="20"/>
                <w:sz w:val="18"/>
              </w:rPr>
              <w:t xml:space="preserve">    0.07</w:t>
            </w:r>
          </w:p>
        </w:tc>
        <w:tc>
          <w:tcPr>
            <w:tcW w:w="892" w:type="dxa"/>
            <w:tcBorders>
              <w:bottom w:val="nil"/>
            </w:tcBorders>
          </w:tcPr>
          <w:p w:rsidR="00000000" w:rsidRDefault="00000000">
            <w:pPr>
              <w:rPr>
                <w:kern w:val="20"/>
                <w:sz w:val="18"/>
              </w:rPr>
            </w:pPr>
            <w:r>
              <w:rPr>
                <w:kern w:val="20"/>
                <w:sz w:val="18"/>
              </w:rPr>
              <w:t xml:space="preserve">     51.11</w:t>
            </w:r>
          </w:p>
        </w:tc>
        <w:tc>
          <w:tcPr>
            <w:tcW w:w="777" w:type="dxa"/>
            <w:tcBorders>
              <w:bottom w:val="nil"/>
            </w:tcBorders>
          </w:tcPr>
          <w:p w:rsidR="00000000" w:rsidRDefault="00000000">
            <w:pPr>
              <w:rPr>
                <w:kern w:val="20"/>
                <w:sz w:val="18"/>
              </w:rPr>
            </w:pPr>
            <w:r>
              <w:rPr>
                <w:kern w:val="20"/>
                <w:sz w:val="18"/>
              </w:rPr>
              <w:t xml:space="preserve">    52.27</w:t>
            </w:r>
          </w:p>
        </w:tc>
        <w:tc>
          <w:tcPr>
            <w:tcW w:w="851" w:type="dxa"/>
            <w:tcBorders>
              <w:bottom w:val="nil"/>
            </w:tcBorders>
          </w:tcPr>
          <w:p w:rsidR="00000000" w:rsidRDefault="00000000">
            <w:pPr>
              <w:rPr>
                <w:kern w:val="20"/>
                <w:sz w:val="18"/>
              </w:rPr>
            </w:pPr>
            <w:r>
              <w:rPr>
                <w:kern w:val="20"/>
                <w:sz w:val="18"/>
              </w:rPr>
              <w:t xml:space="preserve">     51.65</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1</w:t>
            </w:r>
            <w:r>
              <w:rPr>
                <w:kern w:val="20"/>
                <w:sz w:val="18"/>
              </w:rPr>
              <w:noBreakHyphen/>
              <w:t>3 years of school</w:t>
            </w:r>
          </w:p>
        </w:tc>
        <w:tc>
          <w:tcPr>
            <w:tcW w:w="993" w:type="dxa"/>
            <w:tcBorders>
              <w:top w:val="nil"/>
              <w:bottom w:val="nil"/>
            </w:tcBorders>
          </w:tcPr>
          <w:p w:rsidR="00000000" w:rsidRDefault="00000000">
            <w:pPr>
              <w:rPr>
                <w:kern w:val="20"/>
                <w:sz w:val="18"/>
              </w:rPr>
            </w:pPr>
            <w:r>
              <w:rPr>
                <w:kern w:val="20"/>
                <w:sz w:val="18"/>
              </w:rPr>
              <w:t xml:space="preserve">      18.90</w:t>
            </w:r>
          </w:p>
        </w:tc>
        <w:tc>
          <w:tcPr>
            <w:tcW w:w="892" w:type="dxa"/>
            <w:tcBorders>
              <w:top w:val="nil"/>
              <w:bottom w:val="nil"/>
            </w:tcBorders>
          </w:tcPr>
          <w:p w:rsidR="00000000" w:rsidRDefault="00000000">
            <w:pPr>
              <w:jc w:val="center"/>
              <w:rPr>
                <w:kern w:val="20"/>
                <w:sz w:val="18"/>
              </w:rPr>
            </w:pPr>
            <w:r>
              <w:rPr>
                <w:kern w:val="20"/>
                <w:sz w:val="18"/>
              </w:rPr>
              <w:t>45</w:t>
            </w:r>
          </w:p>
        </w:tc>
        <w:tc>
          <w:tcPr>
            <w:tcW w:w="709" w:type="dxa"/>
            <w:tcBorders>
              <w:top w:val="nil"/>
              <w:bottom w:val="nil"/>
            </w:tcBorders>
          </w:tcPr>
          <w:p w:rsidR="00000000" w:rsidRDefault="00000000">
            <w:pPr>
              <w:rPr>
                <w:kern w:val="20"/>
                <w:sz w:val="18"/>
              </w:rPr>
            </w:pPr>
            <w:r>
              <w:rPr>
                <w:kern w:val="20"/>
                <w:sz w:val="18"/>
              </w:rPr>
              <w:t xml:space="preserve">   0.20</w:t>
            </w:r>
          </w:p>
        </w:tc>
        <w:tc>
          <w:tcPr>
            <w:tcW w:w="850" w:type="dxa"/>
            <w:tcBorders>
              <w:top w:val="nil"/>
              <w:bottom w:val="nil"/>
            </w:tcBorders>
          </w:tcPr>
          <w:p w:rsidR="00000000" w:rsidRDefault="00000000">
            <w:pPr>
              <w:rPr>
                <w:kern w:val="20"/>
                <w:sz w:val="18"/>
              </w:rPr>
            </w:pPr>
            <w:r>
              <w:rPr>
                <w:kern w:val="20"/>
                <w:sz w:val="18"/>
              </w:rPr>
              <w:t xml:space="preserve">     0.12</w:t>
            </w:r>
          </w:p>
        </w:tc>
        <w:tc>
          <w:tcPr>
            <w:tcW w:w="993" w:type="dxa"/>
            <w:tcBorders>
              <w:top w:val="nil"/>
              <w:bottom w:val="nil"/>
            </w:tcBorders>
          </w:tcPr>
          <w:p w:rsidR="00000000" w:rsidRDefault="00000000">
            <w:pPr>
              <w:rPr>
                <w:kern w:val="20"/>
                <w:sz w:val="18"/>
              </w:rPr>
            </w:pPr>
            <w:r>
              <w:rPr>
                <w:kern w:val="20"/>
                <w:sz w:val="18"/>
              </w:rPr>
              <w:t xml:space="preserve">      24.91</w:t>
            </w:r>
          </w:p>
        </w:tc>
        <w:tc>
          <w:tcPr>
            <w:tcW w:w="708" w:type="dxa"/>
            <w:tcBorders>
              <w:top w:val="nil"/>
              <w:bottom w:val="nil"/>
            </w:tcBorders>
          </w:tcPr>
          <w:p w:rsidR="00000000" w:rsidRDefault="00000000">
            <w:pPr>
              <w:rPr>
                <w:kern w:val="20"/>
                <w:sz w:val="18"/>
              </w:rPr>
            </w:pPr>
            <w:r>
              <w:rPr>
                <w:kern w:val="20"/>
                <w:sz w:val="18"/>
              </w:rPr>
              <w:t xml:space="preserve">   25.03</w:t>
            </w:r>
          </w:p>
        </w:tc>
        <w:tc>
          <w:tcPr>
            <w:tcW w:w="851" w:type="dxa"/>
            <w:tcBorders>
              <w:top w:val="nil"/>
              <w:bottom w:val="nil"/>
            </w:tcBorders>
          </w:tcPr>
          <w:p w:rsidR="00000000" w:rsidRDefault="00000000">
            <w:pPr>
              <w:rPr>
                <w:kern w:val="20"/>
                <w:sz w:val="18"/>
              </w:rPr>
            </w:pPr>
            <w:r>
              <w:rPr>
                <w:kern w:val="20"/>
                <w:sz w:val="18"/>
              </w:rPr>
              <w:t xml:space="preserve">    24.76</w:t>
            </w:r>
          </w:p>
        </w:tc>
        <w:tc>
          <w:tcPr>
            <w:tcW w:w="927" w:type="dxa"/>
            <w:tcBorders>
              <w:top w:val="nil"/>
              <w:bottom w:val="nil"/>
            </w:tcBorders>
          </w:tcPr>
          <w:p w:rsidR="00000000" w:rsidRDefault="00000000">
            <w:pPr>
              <w:rPr>
                <w:kern w:val="20"/>
                <w:sz w:val="18"/>
              </w:rPr>
            </w:pPr>
            <w:r>
              <w:rPr>
                <w:kern w:val="20"/>
                <w:sz w:val="18"/>
              </w:rPr>
              <w:t xml:space="preserve">      20</w:t>
            </w:r>
          </w:p>
        </w:tc>
        <w:tc>
          <w:tcPr>
            <w:tcW w:w="774" w:type="dxa"/>
            <w:gridSpan w:val="2"/>
            <w:tcBorders>
              <w:top w:val="nil"/>
              <w:bottom w:val="nil"/>
            </w:tcBorders>
          </w:tcPr>
          <w:p w:rsidR="00000000" w:rsidRDefault="00000000">
            <w:pPr>
              <w:rPr>
                <w:kern w:val="20"/>
                <w:sz w:val="18"/>
              </w:rPr>
            </w:pPr>
            <w:r>
              <w:rPr>
                <w:kern w:val="20"/>
                <w:sz w:val="18"/>
              </w:rPr>
              <w:t xml:space="preserve">    0.08</w:t>
            </w:r>
          </w:p>
        </w:tc>
        <w:tc>
          <w:tcPr>
            <w:tcW w:w="808" w:type="dxa"/>
            <w:tcBorders>
              <w:top w:val="nil"/>
              <w:bottom w:val="nil"/>
            </w:tcBorders>
          </w:tcPr>
          <w:p w:rsidR="00000000" w:rsidRDefault="00000000">
            <w:pPr>
              <w:rPr>
                <w:kern w:val="20"/>
                <w:sz w:val="18"/>
              </w:rPr>
            </w:pPr>
            <w:r>
              <w:rPr>
                <w:kern w:val="20"/>
                <w:sz w:val="18"/>
              </w:rPr>
              <w:t xml:space="preserve">    0.05</w:t>
            </w:r>
          </w:p>
        </w:tc>
        <w:tc>
          <w:tcPr>
            <w:tcW w:w="892" w:type="dxa"/>
            <w:tcBorders>
              <w:top w:val="nil"/>
              <w:bottom w:val="nil"/>
            </w:tcBorders>
          </w:tcPr>
          <w:p w:rsidR="00000000" w:rsidRDefault="00000000">
            <w:pPr>
              <w:rPr>
                <w:kern w:val="20"/>
                <w:sz w:val="18"/>
              </w:rPr>
            </w:pPr>
            <w:r>
              <w:rPr>
                <w:kern w:val="20"/>
                <w:sz w:val="18"/>
              </w:rPr>
              <w:t xml:space="preserve">     25.31</w:t>
            </w:r>
          </w:p>
        </w:tc>
        <w:tc>
          <w:tcPr>
            <w:tcW w:w="777" w:type="dxa"/>
            <w:tcBorders>
              <w:top w:val="nil"/>
              <w:bottom w:val="nil"/>
            </w:tcBorders>
          </w:tcPr>
          <w:p w:rsidR="00000000" w:rsidRDefault="00000000">
            <w:pPr>
              <w:rPr>
                <w:kern w:val="20"/>
                <w:sz w:val="18"/>
              </w:rPr>
            </w:pPr>
            <w:r>
              <w:rPr>
                <w:kern w:val="20"/>
                <w:sz w:val="18"/>
              </w:rPr>
              <w:t xml:space="preserve">    24.24</w:t>
            </w:r>
          </w:p>
        </w:tc>
        <w:tc>
          <w:tcPr>
            <w:tcW w:w="851" w:type="dxa"/>
            <w:tcBorders>
              <w:top w:val="nil"/>
              <w:bottom w:val="nil"/>
            </w:tcBorders>
          </w:tcPr>
          <w:p w:rsidR="00000000" w:rsidRDefault="00000000">
            <w:pPr>
              <w:rPr>
                <w:kern w:val="20"/>
                <w:sz w:val="18"/>
              </w:rPr>
            </w:pPr>
            <w:r>
              <w:rPr>
                <w:kern w:val="20"/>
                <w:sz w:val="18"/>
              </w:rPr>
              <w:t xml:space="preserve">     23.29</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4 years of school</w:t>
            </w:r>
          </w:p>
        </w:tc>
        <w:tc>
          <w:tcPr>
            <w:tcW w:w="993" w:type="dxa"/>
            <w:tcBorders>
              <w:top w:val="nil"/>
              <w:bottom w:val="nil"/>
            </w:tcBorders>
          </w:tcPr>
          <w:p w:rsidR="00000000" w:rsidRDefault="00000000">
            <w:pPr>
              <w:rPr>
                <w:kern w:val="20"/>
                <w:sz w:val="18"/>
              </w:rPr>
            </w:pPr>
            <w:r>
              <w:rPr>
                <w:kern w:val="20"/>
                <w:sz w:val="18"/>
              </w:rPr>
              <w:t xml:space="preserve">      13.80</w:t>
            </w:r>
          </w:p>
        </w:tc>
        <w:tc>
          <w:tcPr>
            <w:tcW w:w="892" w:type="dxa"/>
            <w:tcBorders>
              <w:top w:val="nil"/>
              <w:bottom w:val="nil"/>
            </w:tcBorders>
          </w:tcPr>
          <w:p w:rsidR="00000000" w:rsidRDefault="00000000">
            <w:pPr>
              <w:jc w:val="center"/>
              <w:rPr>
                <w:kern w:val="20"/>
                <w:sz w:val="18"/>
              </w:rPr>
            </w:pPr>
            <w:r>
              <w:rPr>
                <w:kern w:val="20"/>
                <w:sz w:val="18"/>
              </w:rPr>
              <w:t>29</w:t>
            </w:r>
          </w:p>
        </w:tc>
        <w:tc>
          <w:tcPr>
            <w:tcW w:w="709" w:type="dxa"/>
            <w:tcBorders>
              <w:top w:val="nil"/>
              <w:bottom w:val="nil"/>
            </w:tcBorders>
          </w:tcPr>
          <w:p w:rsidR="00000000" w:rsidRDefault="00000000">
            <w:pPr>
              <w:rPr>
                <w:kern w:val="20"/>
                <w:sz w:val="18"/>
              </w:rPr>
            </w:pPr>
            <w:r>
              <w:rPr>
                <w:kern w:val="20"/>
                <w:sz w:val="18"/>
              </w:rPr>
              <w:t xml:space="preserve">   0.12</w:t>
            </w:r>
          </w:p>
        </w:tc>
        <w:tc>
          <w:tcPr>
            <w:tcW w:w="850" w:type="dxa"/>
            <w:tcBorders>
              <w:top w:val="nil"/>
              <w:bottom w:val="nil"/>
            </w:tcBorders>
          </w:tcPr>
          <w:p w:rsidR="00000000" w:rsidRDefault="00000000">
            <w:pPr>
              <w:rPr>
                <w:kern w:val="20"/>
                <w:sz w:val="18"/>
              </w:rPr>
            </w:pPr>
            <w:r>
              <w:rPr>
                <w:kern w:val="20"/>
                <w:sz w:val="18"/>
              </w:rPr>
              <w:t xml:space="preserve">     0.07</w:t>
            </w:r>
          </w:p>
        </w:tc>
        <w:tc>
          <w:tcPr>
            <w:tcW w:w="993" w:type="dxa"/>
            <w:tcBorders>
              <w:top w:val="nil"/>
              <w:bottom w:val="nil"/>
            </w:tcBorders>
          </w:tcPr>
          <w:p w:rsidR="00000000" w:rsidRDefault="00000000">
            <w:pPr>
              <w:rPr>
                <w:kern w:val="20"/>
                <w:sz w:val="18"/>
              </w:rPr>
            </w:pPr>
            <w:r>
              <w:rPr>
                <w:kern w:val="20"/>
                <w:sz w:val="18"/>
              </w:rPr>
              <w:t xml:space="preserve">      11.93</w:t>
            </w:r>
          </w:p>
        </w:tc>
        <w:tc>
          <w:tcPr>
            <w:tcW w:w="708" w:type="dxa"/>
            <w:tcBorders>
              <w:top w:val="nil"/>
              <w:bottom w:val="nil"/>
            </w:tcBorders>
          </w:tcPr>
          <w:p w:rsidR="00000000" w:rsidRDefault="00000000">
            <w:pPr>
              <w:rPr>
                <w:kern w:val="20"/>
                <w:sz w:val="18"/>
              </w:rPr>
            </w:pPr>
            <w:r>
              <w:rPr>
                <w:kern w:val="20"/>
                <w:sz w:val="18"/>
              </w:rPr>
              <w:t xml:space="preserve">   10.85</w:t>
            </w:r>
          </w:p>
        </w:tc>
        <w:tc>
          <w:tcPr>
            <w:tcW w:w="851" w:type="dxa"/>
            <w:tcBorders>
              <w:top w:val="nil"/>
              <w:bottom w:val="nil"/>
            </w:tcBorders>
          </w:tcPr>
          <w:p w:rsidR="00000000" w:rsidRDefault="00000000">
            <w:pPr>
              <w:rPr>
                <w:kern w:val="20"/>
                <w:sz w:val="18"/>
              </w:rPr>
            </w:pPr>
            <w:r>
              <w:rPr>
                <w:kern w:val="20"/>
                <w:sz w:val="18"/>
              </w:rPr>
              <w:t xml:space="preserve">    10.28</w:t>
            </w:r>
          </w:p>
        </w:tc>
        <w:tc>
          <w:tcPr>
            <w:tcW w:w="927" w:type="dxa"/>
            <w:tcBorders>
              <w:top w:val="nil"/>
              <w:bottom w:val="nil"/>
            </w:tcBorders>
          </w:tcPr>
          <w:p w:rsidR="00000000" w:rsidRDefault="00000000">
            <w:pPr>
              <w:rPr>
                <w:kern w:val="20"/>
                <w:sz w:val="18"/>
              </w:rPr>
            </w:pPr>
            <w:r>
              <w:rPr>
                <w:kern w:val="20"/>
                <w:sz w:val="18"/>
              </w:rPr>
              <w:t xml:space="preserve">      11</w:t>
            </w:r>
          </w:p>
        </w:tc>
        <w:tc>
          <w:tcPr>
            <w:tcW w:w="774" w:type="dxa"/>
            <w:gridSpan w:val="2"/>
            <w:tcBorders>
              <w:top w:val="nil"/>
              <w:bottom w:val="nil"/>
            </w:tcBorders>
          </w:tcPr>
          <w:p w:rsidR="00000000" w:rsidRDefault="00000000">
            <w:pPr>
              <w:rPr>
                <w:kern w:val="20"/>
                <w:sz w:val="18"/>
              </w:rPr>
            </w:pPr>
            <w:r>
              <w:rPr>
                <w:kern w:val="20"/>
                <w:sz w:val="18"/>
              </w:rPr>
              <w:t xml:space="preserve">    0.04</w:t>
            </w:r>
          </w:p>
        </w:tc>
        <w:tc>
          <w:tcPr>
            <w:tcW w:w="808" w:type="dxa"/>
            <w:tcBorders>
              <w:top w:val="nil"/>
              <w:bottom w:val="nil"/>
            </w:tcBorders>
          </w:tcPr>
          <w:p w:rsidR="00000000" w:rsidRDefault="00000000">
            <w:pPr>
              <w:rPr>
                <w:kern w:val="20"/>
                <w:sz w:val="18"/>
              </w:rPr>
            </w:pPr>
            <w:r>
              <w:rPr>
                <w:kern w:val="20"/>
                <w:sz w:val="18"/>
              </w:rPr>
              <w:t xml:space="preserve">    0.03</w:t>
            </w:r>
          </w:p>
        </w:tc>
        <w:tc>
          <w:tcPr>
            <w:tcW w:w="892" w:type="dxa"/>
            <w:tcBorders>
              <w:top w:val="nil"/>
              <w:bottom w:val="nil"/>
            </w:tcBorders>
          </w:tcPr>
          <w:p w:rsidR="00000000" w:rsidRDefault="00000000">
            <w:pPr>
              <w:rPr>
                <w:kern w:val="20"/>
                <w:sz w:val="18"/>
              </w:rPr>
            </w:pPr>
            <w:r>
              <w:rPr>
                <w:kern w:val="20"/>
                <w:sz w:val="18"/>
              </w:rPr>
              <w:t xml:space="preserve">       9.95</w:t>
            </w:r>
          </w:p>
        </w:tc>
        <w:tc>
          <w:tcPr>
            <w:tcW w:w="777" w:type="dxa"/>
            <w:tcBorders>
              <w:top w:val="nil"/>
              <w:bottom w:val="nil"/>
            </w:tcBorders>
          </w:tcPr>
          <w:p w:rsidR="00000000" w:rsidRDefault="00000000">
            <w:pPr>
              <w:rPr>
                <w:kern w:val="20"/>
                <w:sz w:val="18"/>
              </w:rPr>
            </w:pPr>
            <w:r>
              <w:rPr>
                <w:kern w:val="20"/>
                <w:sz w:val="18"/>
              </w:rPr>
              <w:t xml:space="preserve">      9.58</w:t>
            </w:r>
          </w:p>
        </w:tc>
        <w:tc>
          <w:tcPr>
            <w:tcW w:w="851" w:type="dxa"/>
            <w:tcBorders>
              <w:top w:val="nil"/>
              <w:bottom w:val="nil"/>
            </w:tcBorders>
          </w:tcPr>
          <w:p w:rsidR="00000000" w:rsidRDefault="00000000">
            <w:pPr>
              <w:rPr>
                <w:kern w:val="20"/>
                <w:sz w:val="18"/>
              </w:rPr>
            </w:pPr>
            <w:r>
              <w:rPr>
                <w:kern w:val="20"/>
                <w:sz w:val="18"/>
              </w:rPr>
              <w:t xml:space="preserve">       9.69</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5</w:t>
            </w:r>
            <w:r>
              <w:rPr>
                <w:kern w:val="20"/>
                <w:sz w:val="18"/>
              </w:rPr>
              <w:noBreakHyphen/>
              <w:t>8 years of school</w:t>
            </w:r>
          </w:p>
        </w:tc>
        <w:tc>
          <w:tcPr>
            <w:tcW w:w="993" w:type="dxa"/>
            <w:tcBorders>
              <w:top w:val="nil"/>
              <w:bottom w:val="nil"/>
            </w:tcBorders>
          </w:tcPr>
          <w:p w:rsidR="00000000" w:rsidRDefault="00000000">
            <w:pPr>
              <w:rPr>
                <w:kern w:val="20"/>
                <w:sz w:val="18"/>
              </w:rPr>
            </w:pPr>
            <w:r>
              <w:rPr>
                <w:kern w:val="20"/>
                <w:sz w:val="18"/>
              </w:rPr>
              <w:t xml:space="preserve">      20.60</w:t>
            </w:r>
          </w:p>
        </w:tc>
        <w:tc>
          <w:tcPr>
            <w:tcW w:w="892" w:type="dxa"/>
            <w:tcBorders>
              <w:top w:val="nil"/>
              <w:bottom w:val="nil"/>
            </w:tcBorders>
          </w:tcPr>
          <w:p w:rsidR="00000000" w:rsidRDefault="00000000">
            <w:pPr>
              <w:jc w:val="center"/>
              <w:rPr>
                <w:kern w:val="20"/>
                <w:sz w:val="18"/>
              </w:rPr>
            </w:pPr>
            <w:r>
              <w:rPr>
                <w:kern w:val="20"/>
                <w:sz w:val="18"/>
              </w:rPr>
              <w:t>24</w:t>
            </w:r>
          </w:p>
        </w:tc>
        <w:tc>
          <w:tcPr>
            <w:tcW w:w="709" w:type="dxa"/>
            <w:tcBorders>
              <w:top w:val="nil"/>
              <w:bottom w:val="nil"/>
            </w:tcBorders>
          </w:tcPr>
          <w:p w:rsidR="00000000" w:rsidRDefault="00000000">
            <w:pPr>
              <w:rPr>
                <w:kern w:val="20"/>
                <w:sz w:val="18"/>
              </w:rPr>
            </w:pPr>
            <w:r>
              <w:rPr>
                <w:kern w:val="20"/>
                <w:sz w:val="18"/>
              </w:rPr>
              <w:t xml:space="preserve">   0.10</w:t>
            </w:r>
          </w:p>
        </w:tc>
        <w:tc>
          <w:tcPr>
            <w:tcW w:w="850" w:type="dxa"/>
            <w:tcBorders>
              <w:top w:val="nil"/>
              <w:bottom w:val="nil"/>
            </w:tcBorders>
          </w:tcPr>
          <w:p w:rsidR="00000000" w:rsidRDefault="00000000">
            <w:pPr>
              <w:rPr>
                <w:kern w:val="20"/>
                <w:sz w:val="18"/>
              </w:rPr>
            </w:pPr>
            <w:r>
              <w:rPr>
                <w:kern w:val="20"/>
                <w:sz w:val="18"/>
              </w:rPr>
              <w:t xml:space="preserve">     0.06</w:t>
            </w:r>
          </w:p>
        </w:tc>
        <w:tc>
          <w:tcPr>
            <w:tcW w:w="993" w:type="dxa"/>
            <w:tcBorders>
              <w:top w:val="nil"/>
              <w:bottom w:val="nil"/>
            </w:tcBorders>
          </w:tcPr>
          <w:p w:rsidR="00000000" w:rsidRDefault="00000000">
            <w:pPr>
              <w:rPr>
                <w:kern w:val="20"/>
                <w:sz w:val="18"/>
              </w:rPr>
            </w:pPr>
            <w:r>
              <w:rPr>
                <w:kern w:val="20"/>
                <w:sz w:val="18"/>
              </w:rPr>
              <w:t xml:space="preserve">      14.86</w:t>
            </w:r>
          </w:p>
        </w:tc>
        <w:tc>
          <w:tcPr>
            <w:tcW w:w="708" w:type="dxa"/>
            <w:tcBorders>
              <w:top w:val="nil"/>
              <w:bottom w:val="nil"/>
            </w:tcBorders>
          </w:tcPr>
          <w:p w:rsidR="00000000" w:rsidRDefault="00000000">
            <w:pPr>
              <w:rPr>
                <w:kern w:val="20"/>
                <w:sz w:val="18"/>
              </w:rPr>
            </w:pPr>
            <w:r>
              <w:rPr>
                <w:kern w:val="20"/>
                <w:sz w:val="18"/>
              </w:rPr>
              <w:t xml:space="preserve">   12.84</w:t>
            </w:r>
          </w:p>
        </w:tc>
        <w:tc>
          <w:tcPr>
            <w:tcW w:w="851" w:type="dxa"/>
            <w:tcBorders>
              <w:top w:val="nil"/>
              <w:bottom w:val="nil"/>
            </w:tcBorders>
          </w:tcPr>
          <w:p w:rsidR="00000000" w:rsidRDefault="00000000">
            <w:pPr>
              <w:rPr>
                <w:kern w:val="20"/>
                <w:sz w:val="18"/>
              </w:rPr>
            </w:pPr>
            <w:r>
              <w:rPr>
                <w:kern w:val="20"/>
                <w:sz w:val="18"/>
              </w:rPr>
              <w:t xml:space="preserve">    11.96</w:t>
            </w:r>
          </w:p>
        </w:tc>
        <w:tc>
          <w:tcPr>
            <w:tcW w:w="927" w:type="dxa"/>
            <w:tcBorders>
              <w:top w:val="nil"/>
              <w:bottom w:val="nil"/>
            </w:tcBorders>
          </w:tcPr>
          <w:p w:rsidR="00000000" w:rsidRDefault="00000000">
            <w:pPr>
              <w:rPr>
                <w:kern w:val="20"/>
                <w:sz w:val="18"/>
              </w:rPr>
            </w:pPr>
            <w:r>
              <w:rPr>
                <w:kern w:val="20"/>
                <w:sz w:val="18"/>
              </w:rPr>
              <w:t xml:space="preserve">        8</w:t>
            </w:r>
          </w:p>
        </w:tc>
        <w:tc>
          <w:tcPr>
            <w:tcW w:w="774" w:type="dxa"/>
            <w:gridSpan w:val="2"/>
            <w:tcBorders>
              <w:top w:val="nil"/>
              <w:bottom w:val="nil"/>
            </w:tcBorders>
          </w:tcPr>
          <w:p w:rsidR="00000000" w:rsidRDefault="00000000">
            <w:pPr>
              <w:rPr>
                <w:kern w:val="20"/>
                <w:sz w:val="18"/>
              </w:rPr>
            </w:pPr>
            <w:r>
              <w:rPr>
                <w:kern w:val="20"/>
                <w:sz w:val="18"/>
              </w:rPr>
              <w:t xml:space="preserve">    0.03</w:t>
            </w:r>
          </w:p>
        </w:tc>
        <w:tc>
          <w:tcPr>
            <w:tcW w:w="808" w:type="dxa"/>
            <w:tcBorders>
              <w:top w:val="nil"/>
              <w:bottom w:val="nil"/>
            </w:tcBorders>
          </w:tcPr>
          <w:p w:rsidR="00000000" w:rsidRDefault="00000000">
            <w:pPr>
              <w:rPr>
                <w:kern w:val="20"/>
                <w:sz w:val="18"/>
              </w:rPr>
            </w:pPr>
            <w:r>
              <w:rPr>
                <w:kern w:val="20"/>
                <w:sz w:val="18"/>
              </w:rPr>
              <w:t xml:space="preserve">    0.02</w:t>
            </w:r>
          </w:p>
        </w:tc>
        <w:tc>
          <w:tcPr>
            <w:tcW w:w="892" w:type="dxa"/>
            <w:tcBorders>
              <w:top w:val="nil"/>
              <w:bottom w:val="nil"/>
            </w:tcBorders>
          </w:tcPr>
          <w:p w:rsidR="00000000" w:rsidRDefault="00000000">
            <w:pPr>
              <w:rPr>
                <w:kern w:val="20"/>
                <w:sz w:val="18"/>
              </w:rPr>
            </w:pPr>
            <w:r>
              <w:rPr>
                <w:kern w:val="20"/>
                <w:sz w:val="18"/>
              </w:rPr>
              <w:t xml:space="preserve">     11.11</w:t>
            </w:r>
          </w:p>
        </w:tc>
        <w:tc>
          <w:tcPr>
            <w:tcW w:w="777" w:type="dxa"/>
            <w:tcBorders>
              <w:top w:val="nil"/>
              <w:bottom w:val="nil"/>
            </w:tcBorders>
          </w:tcPr>
          <w:p w:rsidR="00000000" w:rsidRDefault="00000000">
            <w:pPr>
              <w:rPr>
                <w:kern w:val="20"/>
                <w:sz w:val="18"/>
              </w:rPr>
            </w:pPr>
            <w:r>
              <w:rPr>
                <w:kern w:val="20"/>
                <w:sz w:val="18"/>
              </w:rPr>
              <w:t xml:space="preserve">    10.91</w:t>
            </w:r>
          </w:p>
        </w:tc>
        <w:tc>
          <w:tcPr>
            <w:tcW w:w="851" w:type="dxa"/>
            <w:tcBorders>
              <w:top w:val="nil"/>
              <w:bottom w:val="nil"/>
            </w:tcBorders>
          </w:tcPr>
          <w:p w:rsidR="00000000" w:rsidRDefault="00000000">
            <w:pPr>
              <w:rPr>
                <w:kern w:val="20"/>
                <w:sz w:val="18"/>
              </w:rPr>
            </w:pPr>
            <w:r>
              <w:rPr>
                <w:kern w:val="20"/>
                <w:sz w:val="18"/>
              </w:rPr>
              <w:t xml:space="preserve">     11.55</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9</w:t>
            </w:r>
            <w:r>
              <w:rPr>
                <w:kern w:val="20"/>
                <w:sz w:val="18"/>
              </w:rPr>
              <w:noBreakHyphen/>
              <w:t>11 years of school</w:t>
            </w:r>
          </w:p>
        </w:tc>
        <w:tc>
          <w:tcPr>
            <w:tcW w:w="993" w:type="dxa"/>
            <w:tcBorders>
              <w:top w:val="nil"/>
              <w:bottom w:val="nil"/>
            </w:tcBorders>
          </w:tcPr>
          <w:p w:rsidR="00000000" w:rsidRDefault="00000000">
            <w:pPr>
              <w:rPr>
                <w:kern w:val="20"/>
                <w:sz w:val="18"/>
              </w:rPr>
            </w:pPr>
            <w:r>
              <w:rPr>
                <w:kern w:val="20"/>
                <w:sz w:val="18"/>
              </w:rPr>
              <w:t xml:space="preserve">      12.60</w:t>
            </w:r>
          </w:p>
        </w:tc>
        <w:tc>
          <w:tcPr>
            <w:tcW w:w="892" w:type="dxa"/>
            <w:tcBorders>
              <w:top w:val="nil"/>
              <w:bottom w:val="nil"/>
            </w:tcBorders>
          </w:tcPr>
          <w:p w:rsidR="00000000" w:rsidRDefault="00000000">
            <w:pPr>
              <w:jc w:val="center"/>
              <w:rPr>
                <w:kern w:val="20"/>
                <w:sz w:val="18"/>
              </w:rPr>
            </w:pPr>
            <w:r>
              <w:rPr>
                <w:kern w:val="20"/>
                <w:sz w:val="18"/>
              </w:rPr>
              <w:t>10</w:t>
            </w:r>
          </w:p>
        </w:tc>
        <w:tc>
          <w:tcPr>
            <w:tcW w:w="709" w:type="dxa"/>
            <w:tcBorders>
              <w:top w:val="nil"/>
              <w:bottom w:val="nil"/>
            </w:tcBorders>
          </w:tcPr>
          <w:p w:rsidR="00000000" w:rsidRDefault="00000000">
            <w:pPr>
              <w:rPr>
                <w:kern w:val="20"/>
                <w:sz w:val="18"/>
              </w:rPr>
            </w:pPr>
            <w:r>
              <w:rPr>
                <w:kern w:val="20"/>
                <w:sz w:val="18"/>
              </w:rPr>
              <w:t xml:space="preserve">   0.04</w:t>
            </w:r>
          </w:p>
        </w:tc>
        <w:tc>
          <w:tcPr>
            <w:tcW w:w="850" w:type="dxa"/>
            <w:tcBorders>
              <w:top w:val="nil"/>
              <w:bottom w:val="nil"/>
            </w:tcBorders>
          </w:tcPr>
          <w:p w:rsidR="00000000" w:rsidRDefault="00000000">
            <w:pPr>
              <w:rPr>
                <w:kern w:val="20"/>
                <w:sz w:val="18"/>
              </w:rPr>
            </w:pPr>
            <w:r>
              <w:rPr>
                <w:kern w:val="20"/>
                <w:sz w:val="18"/>
              </w:rPr>
              <w:t xml:space="preserve">     0.02</w:t>
            </w:r>
          </w:p>
        </w:tc>
        <w:tc>
          <w:tcPr>
            <w:tcW w:w="993" w:type="dxa"/>
            <w:tcBorders>
              <w:top w:val="nil"/>
              <w:bottom w:val="nil"/>
            </w:tcBorders>
          </w:tcPr>
          <w:p w:rsidR="00000000" w:rsidRDefault="00000000">
            <w:pPr>
              <w:rPr>
                <w:kern w:val="20"/>
                <w:sz w:val="18"/>
              </w:rPr>
            </w:pPr>
            <w:r>
              <w:rPr>
                <w:kern w:val="20"/>
                <w:sz w:val="18"/>
              </w:rPr>
              <w:t xml:space="preserve">        3.58</w:t>
            </w:r>
          </w:p>
        </w:tc>
        <w:tc>
          <w:tcPr>
            <w:tcW w:w="708" w:type="dxa"/>
            <w:tcBorders>
              <w:top w:val="nil"/>
              <w:bottom w:val="nil"/>
            </w:tcBorders>
          </w:tcPr>
          <w:p w:rsidR="00000000" w:rsidRDefault="00000000">
            <w:pPr>
              <w:rPr>
                <w:kern w:val="20"/>
                <w:sz w:val="18"/>
              </w:rPr>
            </w:pPr>
            <w:r>
              <w:rPr>
                <w:kern w:val="20"/>
                <w:sz w:val="18"/>
              </w:rPr>
              <w:t xml:space="preserve">     2.89</w:t>
            </w:r>
          </w:p>
        </w:tc>
        <w:tc>
          <w:tcPr>
            <w:tcW w:w="851" w:type="dxa"/>
            <w:tcBorders>
              <w:top w:val="nil"/>
              <w:bottom w:val="nil"/>
            </w:tcBorders>
          </w:tcPr>
          <w:p w:rsidR="00000000" w:rsidRDefault="00000000">
            <w:pPr>
              <w:rPr>
                <w:kern w:val="20"/>
                <w:sz w:val="18"/>
              </w:rPr>
            </w:pPr>
            <w:r>
              <w:rPr>
                <w:kern w:val="20"/>
                <w:sz w:val="18"/>
              </w:rPr>
              <w:t xml:space="preserve">      2.72</w:t>
            </w:r>
          </w:p>
        </w:tc>
        <w:tc>
          <w:tcPr>
            <w:tcW w:w="927" w:type="dxa"/>
            <w:tcBorders>
              <w:top w:val="nil"/>
              <w:bottom w:val="nil"/>
            </w:tcBorders>
          </w:tcPr>
          <w:p w:rsidR="00000000" w:rsidRDefault="00000000">
            <w:pPr>
              <w:rPr>
                <w:kern w:val="20"/>
                <w:sz w:val="18"/>
              </w:rPr>
            </w:pPr>
            <w:r>
              <w:rPr>
                <w:kern w:val="20"/>
                <w:sz w:val="18"/>
              </w:rPr>
              <w:t xml:space="preserve">        3</w:t>
            </w:r>
          </w:p>
        </w:tc>
        <w:tc>
          <w:tcPr>
            <w:tcW w:w="774" w:type="dxa"/>
            <w:gridSpan w:val="2"/>
            <w:tcBorders>
              <w:top w:val="nil"/>
              <w:bottom w:val="nil"/>
            </w:tcBorders>
          </w:tcPr>
          <w:p w:rsidR="00000000" w:rsidRDefault="00000000">
            <w:pPr>
              <w:rPr>
                <w:kern w:val="20"/>
                <w:sz w:val="18"/>
              </w:rPr>
            </w:pPr>
            <w:r>
              <w:rPr>
                <w:kern w:val="20"/>
                <w:sz w:val="18"/>
              </w:rPr>
              <w:t xml:space="preserve">    0.01</w:t>
            </w:r>
          </w:p>
        </w:tc>
        <w:tc>
          <w:tcPr>
            <w:tcW w:w="808" w:type="dxa"/>
            <w:tcBorders>
              <w:top w:val="nil"/>
              <w:bottom w:val="nil"/>
            </w:tcBorders>
          </w:tcPr>
          <w:p w:rsidR="00000000" w:rsidRDefault="00000000">
            <w:pPr>
              <w:rPr>
                <w:kern w:val="20"/>
                <w:sz w:val="18"/>
              </w:rPr>
            </w:pPr>
            <w:r>
              <w:rPr>
                <w:kern w:val="20"/>
                <w:sz w:val="18"/>
              </w:rPr>
              <w:t xml:space="preserve">    0.01</w:t>
            </w:r>
          </w:p>
        </w:tc>
        <w:tc>
          <w:tcPr>
            <w:tcW w:w="892" w:type="dxa"/>
            <w:tcBorders>
              <w:top w:val="nil"/>
              <w:bottom w:val="nil"/>
            </w:tcBorders>
          </w:tcPr>
          <w:p w:rsidR="00000000" w:rsidRDefault="00000000">
            <w:pPr>
              <w:rPr>
                <w:kern w:val="20"/>
                <w:sz w:val="18"/>
              </w:rPr>
            </w:pPr>
            <w:r>
              <w:rPr>
                <w:kern w:val="20"/>
                <w:sz w:val="18"/>
              </w:rPr>
              <w:t xml:space="preserve">       2.32</w:t>
            </w:r>
          </w:p>
        </w:tc>
        <w:tc>
          <w:tcPr>
            <w:tcW w:w="777" w:type="dxa"/>
            <w:tcBorders>
              <w:top w:val="nil"/>
              <w:bottom w:val="nil"/>
            </w:tcBorders>
          </w:tcPr>
          <w:p w:rsidR="00000000" w:rsidRDefault="00000000">
            <w:pPr>
              <w:rPr>
                <w:kern w:val="20"/>
                <w:sz w:val="18"/>
              </w:rPr>
            </w:pPr>
            <w:r>
              <w:rPr>
                <w:kern w:val="20"/>
                <w:sz w:val="18"/>
              </w:rPr>
              <w:t xml:space="preserve">      2.56</w:t>
            </w:r>
          </w:p>
        </w:tc>
        <w:tc>
          <w:tcPr>
            <w:tcW w:w="851" w:type="dxa"/>
            <w:tcBorders>
              <w:top w:val="nil"/>
              <w:bottom w:val="nil"/>
            </w:tcBorders>
          </w:tcPr>
          <w:p w:rsidR="00000000" w:rsidRDefault="00000000">
            <w:pPr>
              <w:rPr>
                <w:kern w:val="20"/>
                <w:sz w:val="18"/>
              </w:rPr>
            </w:pPr>
            <w:r>
              <w:rPr>
                <w:kern w:val="20"/>
                <w:sz w:val="18"/>
              </w:rPr>
              <w:t xml:space="preserve">       3.11</w:t>
            </w:r>
          </w:p>
        </w:tc>
      </w:tr>
      <w:tr w:rsidR="00000000">
        <w:tblPrEx>
          <w:tblCellMar>
            <w:top w:w="0" w:type="dxa"/>
            <w:bottom w:w="0" w:type="dxa"/>
          </w:tblCellMar>
        </w:tblPrEx>
        <w:tc>
          <w:tcPr>
            <w:tcW w:w="1701" w:type="dxa"/>
            <w:tcBorders>
              <w:top w:val="nil"/>
              <w:bottom w:val="single" w:sz="4" w:space="0" w:color="auto"/>
            </w:tcBorders>
          </w:tcPr>
          <w:p w:rsidR="00000000" w:rsidRDefault="00000000">
            <w:pPr>
              <w:rPr>
                <w:kern w:val="20"/>
                <w:sz w:val="18"/>
              </w:rPr>
            </w:pPr>
            <w:r>
              <w:rPr>
                <w:kern w:val="20"/>
                <w:sz w:val="18"/>
              </w:rPr>
              <w:t>12+ years of school</w:t>
            </w:r>
          </w:p>
        </w:tc>
        <w:tc>
          <w:tcPr>
            <w:tcW w:w="993" w:type="dxa"/>
            <w:tcBorders>
              <w:top w:val="nil"/>
              <w:bottom w:val="single" w:sz="4" w:space="0" w:color="auto"/>
            </w:tcBorders>
          </w:tcPr>
          <w:p w:rsidR="00000000" w:rsidRDefault="00000000">
            <w:pPr>
              <w:rPr>
                <w:kern w:val="20"/>
                <w:sz w:val="18"/>
              </w:rPr>
            </w:pPr>
            <w:r>
              <w:rPr>
                <w:kern w:val="20"/>
                <w:sz w:val="18"/>
              </w:rPr>
              <w:t xml:space="preserve">        5.00</w:t>
            </w:r>
          </w:p>
        </w:tc>
        <w:tc>
          <w:tcPr>
            <w:tcW w:w="892" w:type="dxa"/>
            <w:tcBorders>
              <w:top w:val="nil"/>
              <w:bottom w:val="single" w:sz="4" w:space="0" w:color="auto"/>
            </w:tcBorders>
          </w:tcPr>
          <w:p w:rsidR="00000000" w:rsidRDefault="00000000">
            <w:pPr>
              <w:jc w:val="center"/>
              <w:rPr>
                <w:kern w:val="20"/>
                <w:sz w:val="18"/>
              </w:rPr>
            </w:pPr>
            <w:r>
              <w:rPr>
                <w:kern w:val="20"/>
                <w:sz w:val="18"/>
              </w:rPr>
              <w:t xml:space="preserve">  2</w:t>
            </w:r>
          </w:p>
        </w:tc>
        <w:tc>
          <w:tcPr>
            <w:tcW w:w="709" w:type="dxa"/>
            <w:tcBorders>
              <w:top w:val="nil"/>
              <w:bottom w:val="single" w:sz="4" w:space="0" w:color="auto"/>
            </w:tcBorders>
          </w:tcPr>
          <w:p w:rsidR="00000000" w:rsidRDefault="00000000">
            <w:pPr>
              <w:rPr>
                <w:kern w:val="20"/>
                <w:sz w:val="18"/>
              </w:rPr>
            </w:pPr>
            <w:r>
              <w:rPr>
                <w:kern w:val="20"/>
                <w:sz w:val="18"/>
              </w:rPr>
              <w:t xml:space="preserve">   0.01</w:t>
            </w:r>
          </w:p>
        </w:tc>
        <w:tc>
          <w:tcPr>
            <w:tcW w:w="850" w:type="dxa"/>
            <w:tcBorders>
              <w:top w:val="nil"/>
              <w:bottom w:val="single" w:sz="4" w:space="0" w:color="auto"/>
            </w:tcBorders>
          </w:tcPr>
          <w:p w:rsidR="00000000" w:rsidRDefault="00000000">
            <w:pPr>
              <w:rPr>
                <w:kern w:val="20"/>
                <w:sz w:val="18"/>
              </w:rPr>
            </w:pPr>
            <w:r>
              <w:rPr>
                <w:kern w:val="20"/>
                <w:sz w:val="18"/>
              </w:rPr>
              <w:t xml:space="preserve">     0.01</w:t>
            </w:r>
          </w:p>
        </w:tc>
        <w:tc>
          <w:tcPr>
            <w:tcW w:w="993" w:type="dxa"/>
            <w:tcBorders>
              <w:top w:val="nil"/>
              <w:bottom w:val="single" w:sz="4" w:space="0" w:color="auto"/>
            </w:tcBorders>
          </w:tcPr>
          <w:p w:rsidR="00000000" w:rsidRDefault="00000000">
            <w:pPr>
              <w:rPr>
                <w:kern w:val="20"/>
                <w:sz w:val="18"/>
              </w:rPr>
            </w:pPr>
            <w:r>
              <w:rPr>
                <w:kern w:val="20"/>
                <w:sz w:val="18"/>
              </w:rPr>
              <w:t xml:space="preserve">        0.24</w:t>
            </w:r>
          </w:p>
        </w:tc>
        <w:tc>
          <w:tcPr>
            <w:tcW w:w="708" w:type="dxa"/>
            <w:tcBorders>
              <w:top w:val="nil"/>
              <w:bottom w:val="single" w:sz="4" w:space="0" w:color="auto"/>
            </w:tcBorders>
          </w:tcPr>
          <w:p w:rsidR="00000000" w:rsidRDefault="00000000">
            <w:pPr>
              <w:rPr>
                <w:kern w:val="20"/>
                <w:sz w:val="18"/>
              </w:rPr>
            </w:pPr>
            <w:r>
              <w:rPr>
                <w:kern w:val="20"/>
                <w:sz w:val="18"/>
              </w:rPr>
              <w:t xml:space="preserve">     0.29</w:t>
            </w:r>
          </w:p>
        </w:tc>
        <w:tc>
          <w:tcPr>
            <w:tcW w:w="851" w:type="dxa"/>
            <w:tcBorders>
              <w:top w:val="nil"/>
              <w:bottom w:val="single" w:sz="4" w:space="0" w:color="auto"/>
            </w:tcBorders>
          </w:tcPr>
          <w:p w:rsidR="00000000" w:rsidRDefault="00000000">
            <w:pPr>
              <w:rPr>
                <w:kern w:val="20"/>
                <w:sz w:val="18"/>
              </w:rPr>
            </w:pPr>
            <w:r>
              <w:rPr>
                <w:kern w:val="20"/>
                <w:sz w:val="18"/>
              </w:rPr>
              <w:t xml:space="preserve">      0.40</w:t>
            </w:r>
          </w:p>
        </w:tc>
        <w:tc>
          <w:tcPr>
            <w:tcW w:w="927" w:type="dxa"/>
            <w:tcBorders>
              <w:top w:val="nil"/>
              <w:bottom w:val="single" w:sz="4" w:space="0" w:color="auto"/>
            </w:tcBorders>
          </w:tcPr>
          <w:p w:rsidR="00000000" w:rsidRDefault="00000000">
            <w:pPr>
              <w:rPr>
                <w:kern w:val="20"/>
                <w:sz w:val="18"/>
              </w:rPr>
            </w:pPr>
            <w:r>
              <w:rPr>
                <w:kern w:val="20"/>
                <w:sz w:val="18"/>
              </w:rPr>
              <w:t xml:space="preserve">        1</w:t>
            </w:r>
          </w:p>
        </w:tc>
        <w:tc>
          <w:tcPr>
            <w:tcW w:w="774" w:type="dxa"/>
            <w:gridSpan w:val="2"/>
            <w:tcBorders>
              <w:top w:val="nil"/>
              <w:bottom w:val="single" w:sz="4" w:space="0" w:color="auto"/>
            </w:tcBorders>
          </w:tcPr>
          <w:p w:rsidR="00000000" w:rsidRDefault="00000000">
            <w:pPr>
              <w:rPr>
                <w:kern w:val="20"/>
                <w:sz w:val="18"/>
              </w:rPr>
            </w:pPr>
            <w:r>
              <w:rPr>
                <w:kern w:val="20"/>
                <w:sz w:val="18"/>
              </w:rPr>
              <w:t xml:space="preserve">    0.01</w:t>
            </w:r>
          </w:p>
        </w:tc>
        <w:tc>
          <w:tcPr>
            <w:tcW w:w="808" w:type="dxa"/>
            <w:tcBorders>
              <w:top w:val="nil"/>
              <w:bottom w:val="single" w:sz="4" w:space="0" w:color="auto"/>
            </w:tcBorders>
          </w:tcPr>
          <w:p w:rsidR="00000000" w:rsidRDefault="00000000">
            <w:pPr>
              <w:rPr>
                <w:kern w:val="20"/>
                <w:sz w:val="18"/>
              </w:rPr>
            </w:pPr>
            <w:r>
              <w:rPr>
                <w:kern w:val="20"/>
                <w:sz w:val="18"/>
              </w:rPr>
              <w:t xml:space="preserve">    0.01</w:t>
            </w:r>
          </w:p>
        </w:tc>
        <w:tc>
          <w:tcPr>
            <w:tcW w:w="892" w:type="dxa"/>
            <w:tcBorders>
              <w:top w:val="nil"/>
              <w:bottom w:val="single" w:sz="4" w:space="0" w:color="auto"/>
            </w:tcBorders>
          </w:tcPr>
          <w:p w:rsidR="00000000" w:rsidRDefault="00000000">
            <w:pPr>
              <w:rPr>
                <w:kern w:val="20"/>
                <w:sz w:val="18"/>
              </w:rPr>
            </w:pPr>
            <w:r>
              <w:rPr>
                <w:kern w:val="20"/>
                <w:sz w:val="18"/>
              </w:rPr>
              <w:t xml:space="preserve">       0.28</w:t>
            </w:r>
          </w:p>
        </w:tc>
        <w:tc>
          <w:tcPr>
            <w:tcW w:w="777" w:type="dxa"/>
            <w:tcBorders>
              <w:top w:val="nil"/>
              <w:bottom w:val="single" w:sz="4" w:space="0" w:color="auto"/>
            </w:tcBorders>
          </w:tcPr>
          <w:p w:rsidR="00000000" w:rsidRDefault="00000000">
            <w:pPr>
              <w:rPr>
                <w:kern w:val="20"/>
                <w:sz w:val="18"/>
              </w:rPr>
            </w:pPr>
            <w:r>
              <w:rPr>
                <w:kern w:val="20"/>
                <w:sz w:val="18"/>
              </w:rPr>
              <w:t xml:space="preserve">      0.53</w:t>
            </w:r>
          </w:p>
        </w:tc>
        <w:tc>
          <w:tcPr>
            <w:tcW w:w="851" w:type="dxa"/>
            <w:tcBorders>
              <w:top w:val="nil"/>
              <w:bottom w:val="single" w:sz="4" w:space="0" w:color="auto"/>
            </w:tcBorders>
          </w:tcPr>
          <w:p w:rsidR="00000000" w:rsidRDefault="00000000">
            <w:pPr>
              <w:rPr>
                <w:kern w:val="20"/>
                <w:sz w:val="18"/>
              </w:rPr>
            </w:pPr>
            <w:r>
              <w:rPr>
                <w:kern w:val="20"/>
                <w:sz w:val="18"/>
              </w:rPr>
              <w:t xml:space="preserve">       0.80</w:t>
            </w:r>
          </w:p>
        </w:tc>
      </w:tr>
      <w:tr w:rsidR="00000000">
        <w:tblPrEx>
          <w:tblCellMar>
            <w:top w:w="0" w:type="dxa"/>
            <w:bottom w:w="0" w:type="dxa"/>
          </w:tblCellMar>
        </w:tblPrEx>
        <w:trPr>
          <w:cantSplit/>
        </w:trPr>
        <w:tc>
          <w:tcPr>
            <w:tcW w:w="1701" w:type="dxa"/>
            <w:tcBorders>
              <w:top w:val="single" w:sz="4" w:space="0" w:color="auto"/>
            </w:tcBorders>
          </w:tcPr>
          <w:p w:rsidR="00000000" w:rsidRDefault="00000000">
            <w:pPr>
              <w:rPr>
                <w:kern w:val="20"/>
                <w:sz w:val="18"/>
              </w:rPr>
            </w:pPr>
            <w:r>
              <w:rPr>
                <w:kern w:val="20"/>
                <w:sz w:val="18"/>
              </w:rPr>
              <w:t>Age</w:t>
            </w:r>
          </w:p>
        </w:tc>
        <w:tc>
          <w:tcPr>
            <w:tcW w:w="11025" w:type="dxa"/>
            <w:gridSpan w:val="14"/>
            <w:tcBorders>
              <w:top w:val="single" w:sz="4" w:space="0" w:color="auto"/>
            </w:tcBorders>
          </w:tcPr>
          <w:p w:rsidR="00000000" w:rsidRDefault="00000000">
            <w:pPr>
              <w:jc w:val="center"/>
              <w:rPr>
                <w:kern w:val="20"/>
                <w:sz w:val="18"/>
              </w:rPr>
            </w:pPr>
          </w:p>
        </w:tc>
      </w:tr>
      <w:tr w:rsidR="00000000">
        <w:tblPrEx>
          <w:tblCellMar>
            <w:top w:w="0" w:type="dxa"/>
            <w:bottom w:w="0" w:type="dxa"/>
          </w:tblCellMar>
        </w:tblPrEx>
        <w:tc>
          <w:tcPr>
            <w:tcW w:w="1701" w:type="dxa"/>
            <w:tcBorders>
              <w:bottom w:val="nil"/>
            </w:tcBorders>
          </w:tcPr>
          <w:p w:rsidR="00000000" w:rsidRDefault="00000000">
            <w:pPr>
              <w:rPr>
                <w:kern w:val="20"/>
                <w:sz w:val="18"/>
              </w:rPr>
            </w:pPr>
            <w:r>
              <w:rPr>
                <w:kern w:val="20"/>
                <w:sz w:val="18"/>
              </w:rPr>
              <w:t>0</w:t>
            </w:r>
            <w:r>
              <w:rPr>
                <w:kern w:val="20"/>
                <w:sz w:val="18"/>
              </w:rPr>
              <w:noBreakHyphen/>
              <w:t>6</w:t>
            </w:r>
          </w:p>
        </w:tc>
        <w:tc>
          <w:tcPr>
            <w:tcW w:w="993" w:type="dxa"/>
            <w:tcBorders>
              <w:bottom w:val="nil"/>
            </w:tcBorders>
          </w:tcPr>
          <w:p w:rsidR="00000000" w:rsidRDefault="00000000">
            <w:pPr>
              <w:rPr>
                <w:kern w:val="20"/>
                <w:sz w:val="18"/>
              </w:rPr>
            </w:pPr>
            <w:r>
              <w:rPr>
                <w:kern w:val="20"/>
                <w:sz w:val="18"/>
              </w:rPr>
              <w:t xml:space="preserve">      13.70</w:t>
            </w:r>
          </w:p>
        </w:tc>
        <w:tc>
          <w:tcPr>
            <w:tcW w:w="892" w:type="dxa"/>
            <w:tcBorders>
              <w:bottom w:val="nil"/>
            </w:tcBorders>
          </w:tcPr>
          <w:p w:rsidR="00000000" w:rsidRDefault="00000000">
            <w:pPr>
              <w:jc w:val="center"/>
              <w:rPr>
                <w:kern w:val="20"/>
                <w:sz w:val="18"/>
              </w:rPr>
            </w:pPr>
            <w:r>
              <w:rPr>
                <w:kern w:val="20"/>
                <w:sz w:val="18"/>
              </w:rPr>
              <w:t>50</w:t>
            </w:r>
          </w:p>
        </w:tc>
        <w:tc>
          <w:tcPr>
            <w:tcW w:w="709" w:type="dxa"/>
            <w:tcBorders>
              <w:bottom w:val="nil"/>
            </w:tcBorders>
          </w:tcPr>
          <w:p w:rsidR="00000000" w:rsidRDefault="00000000">
            <w:pPr>
              <w:rPr>
                <w:kern w:val="20"/>
                <w:sz w:val="18"/>
              </w:rPr>
            </w:pPr>
            <w:r>
              <w:rPr>
                <w:kern w:val="20"/>
                <w:sz w:val="18"/>
              </w:rPr>
              <w:t xml:space="preserve">   0.25</w:t>
            </w:r>
          </w:p>
        </w:tc>
        <w:tc>
          <w:tcPr>
            <w:tcW w:w="850" w:type="dxa"/>
            <w:tcBorders>
              <w:bottom w:val="nil"/>
            </w:tcBorders>
          </w:tcPr>
          <w:p w:rsidR="00000000" w:rsidRDefault="00000000">
            <w:pPr>
              <w:rPr>
                <w:kern w:val="20"/>
                <w:sz w:val="18"/>
              </w:rPr>
            </w:pPr>
            <w:r>
              <w:rPr>
                <w:kern w:val="20"/>
                <w:sz w:val="18"/>
              </w:rPr>
              <w:t xml:space="preserve">     0.16</w:t>
            </w:r>
          </w:p>
        </w:tc>
        <w:tc>
          <w:tcPr>
            <w:tcW w:w="993" w:type="dxa"/>
            <w:tcBorders>
              <w:bottom w:val="nil"/>
            </w:tcBorders>
          </w:tcPr>
          <w:p w:rsidR="00000000" w:rsidRDefault="00000000">
            <w:pPr>
              <w:rPr>
                <w:kern w:val="20"/>
                <w:sz w:val="18"/>
              </w:rPr>
            </w:pPr>
            <w:r>
              <w:rPr>
                <w:kern w:val="20"/>
                <w:sz w:val="18"/>
              </w:rPr>
              <w:t xml:space="preserve">      20.19</w:t>
            </w:r>
          </w:p>
        </w:tc>
        <w:tc>
          <w:tcPr>
            <w:tcW w:w="708" w:type="dxa"/>
            <w:tcBorders>
              <w:bottom w:val="nil"/>
            </w:tcBorders>
          </w:tcPr>
          <w:p w:rsidR="00000000" w:rsidRDefault="00000000">
            <w:pPr>
              <w:rPr>
                <w:kern w:val="20"/>
                <w:sz w:val="18"/>
              </w:rPr>
            </w:pPr>
            <w:r>
              <w:rPr>
                <w:kern w:val="20"/>
                <w:sz w:val="18"/>
              </w:rPr>
              <w:t xml:space="preserve">   21.88</w:t>
            </w:r>
          </w:p>
        </w:tc>
        <w:tc>
          <w:tcPr>
            <w:tcW w:w="851" w:type="dxa"/>
            <w:tcBorders>
              <w:bottom w:val="nil"/>
            </w:tcBorders>
          </w:tcPr>
          <w:p w:rsidR="00000000" w:rsidRDefault="00000000">
            <w:pPr>
              <w:rPr>
                <w:kern w:val="20"/>
                <w:sz w:val="18"/>
              </w:rPr>
            </w:pPr>
            <w:r>
              <w:rPr>
                <w:kern w:val="20"/>
                <w:sz w:val="18"/>
              </w:rPr>
              <w:t xml:space="preserve">    22.74</w:t>
            </w:r>
          </w:p>
        </w:tc>
        <w:tc>
          <w:tcPr>
            <w:tcW w:w="950" w:type="dxa"/>
            <w:gridSpan w:val="2"/>
            <w:tcBorders>
              <w:bottom w:val="nil"/>
            </w:tcBorders>
          </w:tcPr>
          <w:p w:rsidR="00000000" w:rsidRDefault="00000000">
            <w:pPr>
              <w:rPr>
                <w:kern w:val="20"/>
                <w:sz w:val="18"/>
              </w:rPr>
            </w:pPr>
            <w:r>
              <w:rPr>
                <w:kern w:val="20"/>
                <w:sz w:val="18"/>
              </w:rPr>
              <w:t xml:space="preserve">      25</w:t>
            </w:r>
          </w:p>
        </w:tc>
        <w:tc>
          <w:tcPr>
            <w:tcW w:w="751" w:type="dxa"/>
            <w:tcBorders>
              <w:bottom w:val="nil"/>
            </w:tcBorders>
          </w:tcPr>
          <w:p w:rsidR="00000000" w:rsidRDefault="00000000">
            <w:pPr>
              <w:rPr>
                <w:kern w:val="20"/>
                <w:sz w:val="18"/>
              </w:rPr>
            </w:pPr>
            <w:r>
              <w:rPr>
                <w:kern w:val="20"/>
                <w:sz w:val="18"/>
              </w:rPr>
              <w:t xml:space="preserve">   0.11</w:t>
            </w:r>
          </w:p>
        </w:tc>
        <w:tc>
          <w:tcPr>
            <w:tcW w:w="808" w:type="dxa"/>
            <w:tcBorders>
              <w:bottom w:val="nil"/>
            </w:tcBorders>
          </w:tcPr>
          <w:p w:rsidR="00000000" w:rsidRDefault="00000000">
            <w:pPr>
              <w:rPr>
                <w:kern w:val="20"/>
                <w:sz w:val="18"/>
              </w:rPr>
            </w:pPr>
            <w:r>
              <w:rPr>
                <w:kern w:val="20"/>
                <w:sz w:val="18"/>
              </w:rPr>
              <w:t xml:space="preserve">    0.07</w:t>
            </w:r>
          </w:p>
        </w:tc>
        <w:tc>
          <w:tcPr>
            <w:tcW w:w="892" w:type="dxa"/>
            <w:tcBorders>
              <w:bottom w:val="nil"/>
            </w:tcBorders>
          </w:tcPr>
          <w:p w:rsidR="00000000" w:rsidRDefault="00000000">
            <w:pPr>
              <w:rPr>
                <w:kern w:val="20"/>
                <w:sz w:val="18"/>
              </w:rPr>
            </w:pPr>
            <w:r>
              <w:rPr>
                <w:kern w:val="20"/>
                <w:sz w:val="18"/>
              </w:rPr>
              <w:t xml:space="preserve">     23.13</w:t>
            </w:r>
          </w:p>
        </w:tc>
        <w:tc>
          <w:tcPr>
            <w:tcW w:w="777" w:type="dxa"/>
            <w:tcBorders>
              <w:bottom w:val="nil"/>
            </w:tcBorders>
          </w:tcPr>
          <w:p w:rsidR="00000000" w:rsidRDefault="00000000">
            <w:pPr>
              <w:rPr>
                <w:kern w:val="20"/>
                <w:sz w:val="18"/>
              </w:rPr>
            </w:pPr>
            <w:r>
              <w:rPr>
                <w:kern w:val="20"/>
                <w:sz w:val="18"/>
              </w:rPr>
              <w:t xml:space="preserve">    23.80</w:t>
            </w:r>
          </w:p>
        </w:tc>
        <w:tc>
          <w:tcPr>
            <w:tcW w:w="851" w:type="dxa"/>
            <w:tcBorders>
              <w:bottom w:val="nil"/>
            </w:tcBorders>
          </w:tcPr>
          <w:p w:rsidR="00000000" w:rsidRDefault="00000000">
            <w:pPr>
              <w:rPr>
                <w:kern w:val="20"/>
                <w:sz w:val="18"/>
              </w:rPr>
            </w:pPr>
            <w:r>
              <w:rPr>
                <w:kern w:val="20"/>
                <w:sz w:val="18"/>
              </w:rPr>
              <w:t xml:space="preserve">     23.81</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7</w:t>
            </w:r>
            <w:r>
              <w:rPr>
                <w:kern w:val="20"/>
                <w:sz w:val="18"/>
              </w:rPr>
              <w:noBreakHyphen/>
              <w:t>14</w:t>
            </w:r>
          </w:p>
        </w:tc>
        <w:tc>
          <w:tcPr>
            <w:tcW w:w="993" w:type="dxa"/>
            <w:tcBorders>
              <w:top w:val="nil"/>
              <w:bottom w:val="nil"/>
            </w:tcBorders>
          </w:tcPr>
          <w:p w:rsidR="00000000" w:rsidRDefault="00000000">
            <w:pPr>
              <w:rPr>
                <w:kern w:val="20"/>
                <w:sz w:val="18"/>
              </w:rPr>
            </w:pPr>
            <w:r>
              <w:rPr>
                <w:kern w:val="20"/>
                <w:sz w:val="18"/>
              </w:rPr>
              <w:t xml:space="preserve">      17.30</w:t>
            </w:r>
          </w:p>
        </w:tc>
        <w:tc>
          <w:tcPr>
            <w:tcW w:w="892" w:type="dxa"/>
            <w:tcBorders>
              <w:top w:val="nil"/>
              <w:bottom w:val="nil"/>
            </w:tcBorders>
          </w:tcPr>
          <w:p w:rsidR="00000000" w:rsidRDefault="00000000">
            <w:pPr>
              <w:jc w:val="center"/>
              <w:rPr>
                <w:kern w:val="20"/>
                <w:sz w:val="18"/>
              </w:rPr>
            </w:pPr>
            <w:r>
              <w:rPr>
                <w:kern w:val="20"/>
                <w:sz w:val="18"/>
              </w:rPr>
              <w:t>46</w:t>
            </w:r>
          </w:p>
        </w:tc>
        <w:tc>
          <w:tcPr>
            <w:tcW w:w="709" w:type="dxa"/>
            <w:tcBorders>
              <w:top w:val="nil"/>
              <w:bottom w:val="nil"/>
            </w:tcBorders>
          </w:tcPr>
          <w:p w:rsidR="00000000" w:rsidRDefault="00000000">
            <w:pPr>
              <w:rPr>
                <w:kern w:val="20"/>
                <w:sz w:val="18"/>
              </w:rPr>
            </w:pPr>
            <w:r>
              <w:rPr>
                <w:kern w:val="20"/>
                <w:sz w:val="18"/>
              </w:rPr>
              <w:t xml:space="preserve">   0.22</w:t>
            </w:r>
          </w:p>
        </w:tc>
        <w:tc>
          <w:tcPr>
            <w:tcW w:w="850" w:type="dxa"/>
            <w:tcBorders>
              <w:top w:val="nil"/>
              <w:bottom w:val="nil"/>
            </w:tcBorders>
          </w:tcPr>
          <w:p w:rsidR="00000000" w:rsidRDefault="00000000">
            <w:pPr>
              <w:rPr>
                <w:kern w:val="20"/>
                <w:sz w:val="18"/>
              </w:rPr>
            </w:pPr>
            <w:r>
              <w:rPr>
                <w:kern w:val="20"/>
                <w:sz w:val="18"/>
              </w:rPr>
              <w:t xml:space="preserve">     0.14</w:t>
            </w:r>
          </w:p>
        </w:tc>
        <w:tc>
          <w:tcPr>
            <w:tcW w:w="993" w:type="dxa"/>
            <w:tcBorders>
              <w:top w:val="nil"/>
              <w:bottom w:val="nil"/>
            </w:tcBorders>
          </w:tcPr>
          <w:p w:rsidR="00000000" w:rsidRDefault="00000000">
            <w:pPr>
              <w:rPr>
                <w:kern w:val="20"/>
                <w:sz w:val="18"/>
              </w:rPr>
            </w:pPr>
            <w:r>
              <w:rPr>
                <w:kern w:val="20"/>
                <w:sz w:val="18"/>
              </w:rPr>
              <w:t xml:space="preserve">      23.47</w:t>
            </w:r>
          </w:p>
        </w:tc>
        <w:tc>
          <w:tcPr>
            <w:tcW w:w="708" w:type="dxa"/>
            <w:tcBorders>
              <w:top w:val="nil"/>
              <w:bottom w:val="nil"/>
            </w:tcBorders>
          </w:tcPr>
          <w:p w:rsidR="00000000" w:rsidRDefault="00000000">
            <w:pPr>
              <w:rPr>
                <w:kern w:val="20"/>
                <w:sz w:val="18"/>
              </w:rPr>
            </w:pPr>
            <w:r>
              <w:rPr>
                <w:kern w:val="20"/>
                <w:sz w:val="18"/>
              </w:rPr>
              <w:t xml:space="preserve">   24.79</w:t>
            </w:r>
          </w:p>
        </w:tc>
        <w:tc>
          <w:tcPr>
            <w:tcW w:w="851" w:type="dxa"/>
            <w:tcBorders>
              <w:top w:val="nil"/>
              <w:bottom w:val="nil"/>
            </w:tcBorders>
          </w:tcPr>
          <w:p w:rsidR="00000000" w:rsidRDefault="00000000">
            <w:pPr>
              <w:rPr>
                <w:kern w:val="20"/>
                <w:sz w:val="18"/>
              </w:rPr>
            </w:pPr>
            <w:r>
              <w:rPr>
                <w:kern w:val="20"/>
                <w:sz w:val="18"/>
              </w:rPr>
              <w:t xml:space="preserve">    25.31</w:t>
            </w:r>
          </w:p>
        </w:tc>
        <w:tc>
          <w:tcPr>
            <w:tcW w:w="950" w:type="dxa"/>
            <w:gridSpan w:val="2"/>
            <w:tcBorders>
              <w:top w:val="nil"/>
              <w:bottom w:val="nil"/>
            </w:tcBorders>
          </w:tcPr>
          <w:p w:rsidR="00000000" w:rsidRDefault="00000000">
            <w:pPr>
              <w:rPr>
                <w:kern w:val="20"/>
                <w:sz w:val="18"/>
              </w:rPr>
            </w:pPr>
            <w:r>
              <w:rPr>
                <w:kern w:val="20"/>
                <w:sz w:val="18"/>
              </w:rPr>
              <w:t xml:space="preserve">      22</w:t>
            </w:r>
          </w:p>
        </w:tc>
        <w:tc>
          <w:tcPr>
            <w:tcW w:w="751" w:type="dxa"/>
            <w:tcBorders>
              <w:top w:val="nil"/>
              <w:bottom w:val="nil"/>
            </w:tcBorders>
          </w:tcPr>
          <w:p w:rsidR="00000000" w:rsidRDefault="00000000">
            <w:pPr>
              <w:rPr>
                <w:kern w:val="20"/>
                <w:sz w:val="18"/>
              </w:rPr>
            </w:pPr>
            <w:r>
              <w:rPr>
                <w:kern w:val="20"/>
                <w:sz w:val="18"/>
              </w:rPr>
              <w:t xml:space="preserve">   0.09</w:t>
            </w:r>
          </w:p>
        </w:tc>
        <w:tc>
          <w:tcPr>
            <w:tcW w:w="808" w:type="dxa"/>
            <w:tcBorders>
              <w:top w:val="nil"/>
              <w:bottom w:val="nil"/>
            </w:tcBorders>
          </w:tcPr>
          <w:p w:rsidR="00000000" w:rsidRDefault="00000000">
            <w:pPr>
              <w:rPr>
                <w:kern w:val="20"/>
                <w:sz w:val="18"/>
              </w:rPr>
            </w:pPr>
            <w:r>
              <w:rPr>
                <w:kern w:val="20"/>
                <w:sz w:val="18"/>
              </w:rPr>
              <w:t xml:space="preserve">    0.06</w:t>
            </w:r>
          </w:p>
        </w:tc>
        <w:tc>
          <w:tcPr>
            <w:tcW w:w="892" w:type="dxa"/>
            <w:tcBorders>
              <w:top w:val="nil"/>
              <w:bottom w:val="nil"/>
            </w:tcBorders>
          </w:tcPr>
          <w:p w:rsidR="00000000" w:rsidRDefault="00000000">
            <w:pPr>
              <w:rPr>
                <w:kern w:val="20"/>
                <w:sz w:val="18"/>
              </w:rPr>
            </w:pPr>
            <w:r>
              <w:rPr>
                <w:kern w:val="20"/>
                <w:sz w:val="18"/>
              </w:rPr>
              <w:t xml:space="preserve">     25.97</w:t>
            </w:r>
          </w:p>
        </w:tc>
        <w:tc>
          <w:tcPr>
            <w:tcW w:w="777" w:type="dxa"/>
            <w:tcBorders>
              <w:top w:val="nil"/>
              <w:bottom w:val="nil"/>
            </w:tcBorders>
          </w:tcPr>
          <w:p w:rsidR="00000000" w:rsidRDefault="00000000">
            <w:pPr>
              <w:rPr>
                <w:kern w:val="20"/>
                <w:sz w:val="18"/>
              </w:rPr>
            </w:pPr>
            <w:r>
              <w:rPr>
                <w:kern w:val="20"/>
                <w:sz w:val="18"/>
              </w:rPr>
              <w:t xml:space="preserve">    25.95</w:t>
            </w:r>
          </w:p>
        </w:tc>
        <w:tc>
          <w:tcPr>
            <w:tcW w:w="851" w:type="dxa"/>
            <w:tcBorders>
              <w:top w:val="nil"/>
              <w:bottom w:val="nil"/>
            </w:tcBorders>
          </w:tcPr>
          <w:p w:rsidR="00000000" w:rsidRDefault="00000000">
            <w:pPr>
              <w:rPr>
                <w:kern w:val="20"/>
                <w:sz w:val="18"/>
              </w:rPr>
            </w:pPr>
            <w:r>
              <w:rPr>
                <w:kern w:val="20"/>
                <w:sz w:val="18"/>
              </w:rPr>
              <w:t xml:space="preserve">     25.29</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15</w:t>
            </w:r>
            <w:r>
              <w:rPr>
                <w:kern w:val="20"/>
                <w:sz w:val="18"/>
              </w:rPr>
              <w:noBreakHyphen/>
              <w:t>22</w:t>
            </w:r>
          </w:p>
        </w:tc>
        <w:tc>
          <w:tcPr>
            <w:tcW w:w="993" w:type="dxa"/>
            <w:tcBorders>
              <w:top w:val="nil"/>
              <w:bottom w:val="nil"/>
            </w:tcBorders>
          </w:tcPr>
          <w:p w:rsidR="00000000" w:rsidRDefault="00000000">
            <w:pPr>
              <w:rPr>
                <w:kern w:val="20"/>
                <w:sz w:val="18"/>
              </w:rPr>
            </w:pPr>
            <w:r>
              <w:rPr>
                <w:kern w:val="20"/>
                <w:sz w:val="18"/>
              </w:rPr>
              <w:t xml:space="preserve">      19.10</w:t>
            </w:r>
          </w:p>
        </w:tc>
        <w:tc>
          <w:tcPr>
            <w:tcW w:w="892" w:type="dxa"/>
            <w:tcBorders>
              <w:top w:val="nil"/>
              <w:bottom w:val="nil"/>
            </w:tcBorders>
          </w:tcPr>
          <w:p w:rsidR="00000000" w:rsidRDefault="00000000">
            <w:pPr>
              <w:jc w:val="center"/>
              <w:rPr>
                <w:kern w:val="20"/>
                <w:sz w:val="18"/>
              </w:rPr>
            </w:pPr>
            <w:r>
              <w:rPr>
                <w:kern w:val="20"/>
                <w:sz w:val="18"/>
              </w:rPr>
              <w:t>33</w:t>
            </w:r>
          </w:p>
        </w:tc>
        <w:tc>
          <w:tcPr>
            <w:tcW w:w="709" w:type="dxa"/>
            <w:tcBorders>
              <w:top w:val="nil"/>
              <w:bottom w:val="nil"/>
            </w:tcBorders>
          </w:tcPr>
          <w:p w:rsidR="00000000" w:rsidRDefault="00000000">
            <w:pPr>
              <w:rPr>
                <w:kern w:val="20"/>
                <w:sz w:val="18"/>
              </w:rPr>
            </w:pPr>
            <w:r>
              <w:rPr>
                <w:kern w:val="20"/>
                <w:sz w:val="18"/>
              </w:rPr>
              <w:t xml:space="preserve">   0.14</w:t>
            </w:r>
          </w:p>
        </w:tc>
        <w:tc>
          <w:tcPr>
            <w:tcW w:w="850" w:type="dxa"/>
            <w:tcBorders>
              <w:top w:val="nil"/>
              <w:bottom w:val="nil"/>
            </w:tcBorders>
          </w:tcPr>
          <w:p w:rsidR="00000000" w:rsidRDefault="00000000">
            <w:pPr>
              <w:rPr>
                <w:kern w:val="20"/>
                <w:sz w:val="18"/>
              </w:rPr>
            </w:pPr>
            <w:r>
              <w:rPr>
                <w:kern w:val="20"/>
                <w:sz w:val="18"/>
              </w:rPr>
              <w:t xml:space="preserve">     0.08</w:t>
            </w:r>
          </w:p>
        </w:tc>
        <w:tc>
          <w:tcPr>
            <w:tcW w:w="993" w:type="dxa"/>
            <w:tcBorders>
              <w:top w:val="nil"/>
              <w:bottom w:val="nil"/>
            </w:tcBorders>
          </w:tcPr>
          <w:p w:rsidR="00000000" w:rsidRDefault="00000000">
            <w:pPr>
              <w:rPr>
                <w:kern w:val="20"/>
                <w:sz w:val="18"/>
              </w:rPr>
            </w:pPr>
            <w:r>
              <w:rPr>
                <w:kern w:val="20"/>
                <w:sz w:val="18"/>
              </w:rPr>
              <w:t xml:space="preserve">      18.68</w:t>
            </w:r>
          </w:p>
        </w:tc>
        <w:tc>
          <w:tcPr>
            <w:tcW w:w="708" w:type="dxa"/>
            <w:tcBorders>
              <w:top w:val="nil"/>
              <w:bottom w:val="nil"/>
            </w:tcBorders>
          </w:tcPr>
          <w:p w:rsidR="00000000" w:rsidRDefault="00000000">
            <w:pPr>
              <w:rPr>
                <w:kern w:val="20"/>
                <w:sz w:val="18"/>
              </w:rPr>
            </w:pPr>
            <w:r>
              <w:rPr>
                <w:kern w:val="20"/>
                <w:sz w:val="18"/>
              </w:rPr>
              <w:t xml:space="preserve">   17.72</w:t>
            </w:r>
          </w:p>
        </w:tc>
        <w:tc>
          <w:tcPr>
            <w:tcW w:w="851" w:type="dxa"/>
            <w:tcBorders>
              <w:top w:val="nil"/>
              <w:bottom w:val="nil"/>
            </w:tcBorders>
          </w:tcPr>
          <w:p w:rsidR="00000000" w:rsidRDefault="00000000">
            <w:pPr>
              <w:rPr>
                <w:kern w:val="20"/>
                <w:sz w:val="18"/>
              </w:rPr>
            </w:pPr>
            <w:r>
              <w:rPr>
                <w:kern w:val="20"/>
                <w:sz w:val="18"/>
              </w:rPr>
              <w:t xml:space="preserve">   17.00</w:t>
            </w:r>
          </w:p>
        </w:tc>
        <w:tc>
          <w:tcPr>
            <w:tcW w:w="950" w:type="dxa"/>
            <w:gridSpan w:val="2"/>
            <w:tcBorders>
              <w:top w:val="nil"/>
              <w:bottom w:val="nil"/>
            </w:tcBorders>
          </w:tcPr>
          <w:p w:rsidR="00000000" w:rsidRDefault="00000000">
            <w:pPr>
              <w:rPr>
                <w:kern w:val="20"/>
                <w:sz w:val="18"/>
              </w:rPr>
            </w:pPr>
            <w:r>
              <w:rPr>
                <w:kern w:val="20"/>
                <w:sz w:val="18"/>
              </w:rPr>
              <w:t xml:space="preserve">      13</w:t>
            </w:r>
          </w:p>
        </w:tc>
        <w:tc>
          <w:tcPr>
            <w:tcW w:w="751" w:type="dxa"/>
            <w:tcBorders>
              <w:top w:val="nil"/>
              <w:bottom w:val="nil"/>
            </w:tcBorders>
          </w:tcPr>
          <w:p w:rsidR="00000000" w:rsidRDefault="00000000">
            <w:pPr>
              <w:rPr>
                <w:kern w:val="20"/>
                <w:sz w:val="18"/>
              </w:rPr>
            </w:pPr>
            <w:r>
              <w:rPr>
                <w:kern w:val="20"/>
                <w:sz w:val="18"/>
              </w:rPr>
              <w:t xml:space="preserve">   0.05</w:t>
            </w:r>
          </w:p>
        </w:tc>
        <w:tc>
          <w:tcPr>
            <w:tcW w:w="808" w:type="dxa"/>
            <w:tcBorders>
              <w:top w:val="nil"/>
              <w:bottom w:val="nil"/>
            </w:tcBorders>
          </w:tcPr>
          <w:p w:rsidR="00000000" w:rsidRDefault="00000000">
            <w:pPr>
              <w:rPr>
                <w:kern w:val="20"/>
                <w:sz w:val="18"/>
              </w:rPr>
            </w:pPr>
            <w:r>
              <w:rPr>
                <w:kern w:val="20"/>
                <w:sz w:val="18"/>
              </w:rPr>
              <w:t xml:space="preserve">    0.03</w:t>
            </w:r>
          </w:p>
        </w:tc>
        <w:tc>
          <w:tcPr>
            <w:tcW w:w="892" w:type="dxa"/>
            <w:tcBorders>
              <w:top w:val="nil"/>
              <w:bottom w:val="nil"/>
            </w:tcBorders>
          </w:tcPr>
          <w:p w:rsidR="00000000" w:rsidRDefault="00000000">
            <w:pPr>
              <w:rPr>
                <w:kern w:val="20"/>
                <w:sz w:val="18"/>
              </w:rPr>
            </w:pPr>
            <w:r>
              <w:rPr>
                <w:kern w:val="20"/>
                <w:sz w:val="18"/>
              </w:rPr>
              <w:t xml:space="preserve">     16.82</w:t>
            </w:r>
          </w:p>
        </w:tc>
        <w:tc>
          <w:tcPr>
            <w:tcW w:w="777" w:type="dxa"/>
            <w:tcBorders>
              <w:top w:val="nil"/>
              <w:bottom w:val="nil"/>
            </w:tcBorders>
          </w:tcPr>
          <w:p w:rsidR="00000000" w:rsidRDefault="00000000">
            <w:pPr>
              <w:rPr>
                <w:kern w:val="20"/>
                <w:sz w:val="18"/>
              </w:rPr>
            </w:pPr>
            <w:r>
              <w:rPr>
                <w:kern w:val="20"/>
                <w:sz w:val="18"/>
              </w:rPr>
              <w:t xml:space="preserve">    15.98</w:t>
            </w:r>
          </w:p>
        </w:tc>
        <w:tc>
          <w:tcPr>
            <w:tcW w:w="851" w:type="dxa"/>
            <w:tcBorders>
              <w:top w:val="nil"/>
              <w:bottom w:val="nil"/>
            </w:tcBorders>
          </w:tcPr>
          <w:p w:rsidR="00000000" w:rsidRDefault="00000000">
            <w:pPr>
              <w:rPr>
                <w:kern w:val="20"/>
                <w:sz w:val="18"/>
              </w:rPr>
            </w:pPr>
            <w:r>
              <w:rPr>
                <w:kern w:val="20"/>
                <w:sz w:val="18"/>
              </w:rPr>
              <w:t xml:space="preserve">     15.53</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25</w:t>
            </w:r>
            <w:r>
              <w:rPr>
                <w:kern w:val="20"/>
                <w:sz w:val="18"/>
              </w:rPr>
              <w:noBreakHyphen/>
              <w:t xml:space="preserve">34 </w:t>
            </w:r>
          </w:p>
        </w:tc>
        <w:tc>
          <w:tcPr>
            <w:tcW w:w="993" w:type="dxa"/>
            <w:tcBorders>
              <w:top w:val="nil"/>
              <w:bottom w:val="nil"/>
            </w:tcBorders>
          </w:tcPr>
          <w:p w:rsidR="00000000" w:rsidRDefault="00000000">
            <w:pPr>
              <w:rPr>
                <w:kern w:val="20"/>
                <w:sz w:val="18"/>
              </w:rPr>
            </w:pPr>
            <w:r>
              <w:rPr>
                <w:kern w:val="20"/>
                <w:sz w:val="18"/>
              </w:rPr>
              <w:t xml:space="preserve">      44.00</w:t>
            </w:r>
          </w:p>
        </w:tc>
        <w:tc>
          <w:tcPr>
            <w:tcW w:w="892" w:type="dxa"/>
            <w:tcBorders>
              <w:top w:val="nil"/>
              <w:bottom w:val="nil"/>
            </w:tcBorders>
          </w:tcPr>
          <w:p w:rsidR="00000000" w:rsidRDefault="00000000">
            <w:pPr>
              <w:jc w:val="center"/>
              <w:rPr>
                <w:kern w:val="20"/>
                <w:sz w:val="18"/>
              </w:rPr>
            </w:pPr>
            <w:r>
              <w:rPr>
                <w:kern w:val="20"/>
                <w:sz w:val="18"/>
              </w:rPr>
              <w:t>27</w:t>
            </w:r>
          </w:p>
        </w:tc>
        <w:tc>
          <w:tcPr>
            <w:tcW w:w="709" w:type="dxa"/>
            <w:tcBorders>
              <w:top w:val="nil"/>
              <w:bottom w:val="nil"/>
            </w:tcBorders>
          </w:tcPr>
          <w:p w:rsidR="00000000" w:rsidRDefault="00000000">
            <w:pPr>
              <w:rPr>
                <w:kern w:val="20"/>
                <w:sz w:val="18"/>
              </w:rPr>
            </w:pPr>
            <w:r>
              <w:rPr>
                <w:kern w:val="20"/>
                <w:sz w:val="18"/>
              </w:rPr>
              <w:t xml:space="preserve">   0.12</w:t>
            </w:r>
          </w:p>
        </w:tc>
        <w:tc>
          <w:tcPr>
            <w:tcW w:w="850" w:type="dxa"/>
            <w:tcBorders>
              <w:top w:val="nil"/>
              <w:bottom w:val="nil"/>
            </w:tcBorders>
          </w:tcPr>
          <w:p w:rsidR="00000000" w:rsidRDefault="00000000">
            <w:pPr>
              <w:rPr>
                <w:kern w:val="20"/>
                <w:sz w:val="18"/>
              </w:rPr>
            </w:pPr>
            <w:r>
              <w:rPr>
                <w:kern w:val="20"/>
                <w:sz w:val="18"/>
              </w:rPr>
              <w:t xml:space="preserve">     0.07</w:t>
            </w:r>
          </w:p>
        </w:tc>
        <w:tc>
          <w:tcPr>
            <w:tcW w:w="993" w:type="dxa"/>
            <w:tcBorders>
              <w:top w:val="nil"/>
              <w:bottom w:val="nil"/>
            </w:tcBorders>
          </w:tcPr>
          <w:p w:rsidR="00000000" w:rsidRDefault="00000000">
            <w:pPr>
              <w:rPr>
                <w:kern w:val="20"/>
                <w:sz w:val="18"/>
              </w:rPr>
            </w:pPr>
            <w:r>
              <w:rPr>
                <w:kern w:val="20"/>
                <w:sz w:val="18"/>
              </w:rPr>
              <w:t xml:space="preserve">      35.00</w:t>
            </w:r>
          </w:p>
        </w:tc>
        <w:tc>
          <w:tcPr>
            <w:tcW w:w="708" w:type="dxa"/>
            <w:tcBorders>
              <w:top w:val="nil"/>
              <w:bottom w:val="nil"/>
            </w:tcBorders>
          </w:tcPr>
          <w:p w:rsidR="00000000" w:rsidRDefault="00000000">
            <w:pPr>
              <w:rPr>
                <w:kern w:val="20"/>
                <w:sz w:val="18"/>
              </w:rPr>
            </w:pPr>
            <w:r>
              <w:rPr>
                <w:kern w:val="20"/>
                <w:sz w:val="18"/>
              </w:rPr>
              <w:t xml:space="preserve">   33.74</w:t>
            </w:r>
          </w:p>
        </w:tc>
        <w:tc>
          <w:tcPr>
            <w:tcW w:w="851" w:type="dxa"/>
            <w:tcBorders>
              <w:top w:val="nil"/>
              <w:bottom w:val="nil"/>
            </w:tcBorders>
          </w:tcPr>
          <w:p w:rsidR="00000000" w:rsidRDefault="00000000">
            <w:pPr>
              <w:rPr>
                <w:kern w:val="20"/>
                <w:sz w:val="18"/>
              </w:rPr>
            </w:pPr>
            <w:r>
              <w:rPr>
                <w:kern w:val="20"/>
                <w:sz w:val="18"/>
              </w:rPr>
              <w:t xml:space="preserve">   33.43</w:t>
            </w:r>
          </w:p>
        </w:tc>
        <w:tc>
          <w:tcPr>
            <w:tcW w:w="950" w:type="dxa"/>
            <w:gridSpan w:val="2"/>
            <w:tcBorders>
              <w:top w:val="nil"/>
              <w:bottom w:val="nil"/>
            </w:tcBorders>
          </w:tcPr>
          <w:p w:rsidR="00000000" w:rsidRDefault="00000000">
            <w:pPr>
              <w:rPr>
                <w:kern w:val="20"/>
                <w:sz w:val="18"/>
              </w:rPr>
            </w:pPr>
            <w:r>
              <w:rPr>
                <w:kern w:val="20"/>
                <w:sz w:val="18"/>
              </w:rPr>
              <w:t xml:space="preserve">      11</w:t>
            </w:r>
          </w:p>
        </w:tc>
        <w:tc>
          <w:tcPr>
            <w:tcW w:w="751" w:type="dxa"/>
            <w:tcBorders>
              <w:top w:val="nil"/>
              <w:bottom w:val="nil"/>
            </w:tcBorders>
          </w:tcPr>
          <w:p w:rsidR="00000000" w:rsidRDefault="00000000">
            <w:pPr>
              <w:rPr>
                <w:kern w:val="20"/>
                <w:sz w:val="18"/>
              </w:rPr>
            </w:pPr>
            <w:r>
              <w:rPr>
                <w:kern w:val="20"/>
                <w:sz w:val="18"/>
              </w:rPr>
              <w:t xml:space="preserve">   0.05</w:t>
            </w:r>
          </w:p>
        </w:tc>
        <w:tc>
          <w:tcPr>
            <w:tcW w:w="808" w:type="dxa"/>
            <w:tcBorders>
              <w:top w:val="nil"/>
              <w:bottom w:val="nil"/>
            </w:tcBorders>
          </w:tcPr>
          <w:p w:rsidR="00000000" w:rsidRDefault="00000000">
            <w:pPr>
              <w:rPr>
                <w:kern w:val="20"/>
                <w:sz w:val="18"/>
              </w:rPr>
            </w:pPr>
            <w:r>
              <w:rPr>
                <w:kern w:val="20"/>
                <w:sz w:val="18"/>
              </w:rPr>
              <w:t xml:space="preserve">    0.03</w:t>
            </w:r>
          </w:p>
        </w:tc>
        <w:tc>
          <w:tcPr>
            <w:tcW w:w="892" w:type="dxa"/>
            <w:tcBorders>
              <w:top w:val="nil"/>
              <w:bottom w:val="nil"/>
            </w:tcBorders>
          </w:tcPr>
          <w:p w:rsidR="00000000" w:rsidRDefault="00000000">
            <w:pPr>
              <w:rPr>
                <w:kern w:val="20"/>
                <w:sz w:val="18"/>
              </w:rPr>
            </w:pPr>
            <w:r>
              <w:rPr>
                <w:kern w:val="20"/>
                <w:sz w:val="18"/>
              </w:rPr>
              <w:t xml:space="preserve">     32.80</w:t>
            </w:r>
          </w:p>
        </w:tc>
        <w:tc>
          <w:tcPr>
            <w:tcW w:w="777" w:type="dxa"/>
            <w:tcBorders>
              <w:top w:val="nil"/>
              <w:bottom w:val="nil"/>
            </w:tcBorders>
          </w:tcPr>
          <w:p w:rsidR="00000000" w:rsidRDefault="00000000">
            <w:pPr>
              <w:rPr>
                <w:kern w:val="20"/>
                <w:sz w:val="18"/>
              </w:rPr>
            </w:pPr>
            <w:r>
              <w:rPr>
                <w:kern w:val="20"/>
                <w:sz w:val="18"/>
              </w:rPr>
              <w:t xml:space="preserve">    33.13</w:t>
            </w:r>
          </w:p>
        </w:tc>
        <w:tc>
          <w:tcPr>
            <w:tcW w:w="851" w:type="dxa"/>
            <w:tcBorders>
              <w:top w:val="nil"/>
              <w:bottom w:val="nil"/>
            </w:tcBorders>
          </w:tcPr>
          <w:p w:rsidR="00000000" w:rsidRDefault="00000000">
            <w:pPr>
              <w:rPr>
                <w:kern w:val="20"/>
                <w:sz w:val="18"/>
              </w:rPr>
            </w:pPr>
            <w:r>
              <w:rPr>
                <w:kern w:val="20"/>
                <w:sz w:val="18"/>
              </w:rPr>
              <w:t xml:space="preserve">     34.16</w:t>
            </w:r>
          </w:p>
        </w:tc>
      </w:tr>
      <w:tr w:rsidR="00000000">
        <w:tblPrEx>
          <w:tblCellMar>
            <w:top w:w="0" w:type="dxa"/>
            <w:bottom w:w="0" w:type="dxa"/>
          </w:tblCellMar>
        </w:tblPrEx>
        <w:tc>
          <w:tcPr>
            <w:tcW w:w="1701" w:type="dxa"/>
            <w:tcBorders>
              <w:top w:val="nil"/>
            </w:tcBorders>
          </w:tcPr>
          <w:p w:rsidR="00000000" w:rsidRDefault="00000000">
            <w:pPr>
              <w:rPr>
                <w:kern w:val="20"/>
                <w:sz w:val="18"/>
              </w:rPr>
            </w:pPr>
            <w:r>
              <w:rPr>
                <w:kern w:val="20"/>
                <w:sz w:val="18"/>
              </w:rPr>
              <w:t>65+</w:t>
            </w:r>
          </w:p>
        </w:tc>
        <w:tc>
          <w:tcPr>
            <w:tcW w:w="993" w:type="dxa"/>
            <w:tcBorders>
              <w:top w:val="nil"/>
            </w:tcBorders>
          </w:tcPr>
          <w:p w:rsidR="00000000" w:rsidRDefault="00000000">
            <w:pPr>
              <w:rPr>
                <w:kern w:val="20"/>
                <w:sz w:val="18"/>
              </w:rPr>
            </w:pPr>
            <w:r>
              <w:rPr>
                <w:kern w:val="20"/>
                <w:sz w:val="18"/>
              </w:rPr>
              <w:t xml:space="preserve">        5.90</w:t>
            </w:r>
          </w:p>
        </w:tc>
        <w:tc>
          <w:tcPr>
            <w:tcW w:w="892" w:type="dxa"/>
            <w:tcBorders>
              <w:top w:val="nil"/>
            </w:tcBorders>
          </w:tcPr>
          <w:p w:rsidR="00000000" w:rsidRDefault="00000000">
            <w:pPr>
              <w:jc w:val="center"/>
              <w:rPr>
                <w:kern w:val="20"/>
                <w:sz w:val="18"/>
              </w:rPr>
            </w:pPr>
            <w:r>
              <w:rPr>
                <w:kern w:val="20"/>
                <w:sz w:val="18"/>
              </w:rPr>
              <w:t>15</w:t>
            </w:r>
          </w:p>
        </w:tc>
        <w:tc>
          <w:tcPr>
            <w:tcW w:w="709" w:type="dxa"/>
            <w:tcBorders>
              <w:top w:val="nil"/>
            </w:tcBorders>
          </w:tcPr>
          <w:p w:rsidR="00000000" w:rsidRDefault="00000000">
            <w:pPr>
              <w:rPr>
                <w:kern w:val="20"/>
                <w:sz w:val="18"/>
              </w:rPr>
            </w:pPr>
            <w:r>
              <w:rPr>
                <w:kern w:val="20"/>
                <w:sz w:val="18"/>
              </w:rPr>
              <w:t xml:space="preserve">   0.05</w:t>
            </w:r>
          </w:p>
        </w:tc>
        <w:tc>
          <w:tcPr>
            <w:tcW w:w="850" w:type="dxa"/>
            <w:tcBorders>
              <w:top w:val="nil"/>
            </w:tcBorders>
          </w:tcPr>
          <w:p w:rsidR="00000000" w:rsidRDefault="00000000">
            <w:pPr>
              <w:rPr>
                <w:kern w:val="20"/>
                <w:sz w:val="18"/>
              </w:rPr>
            </w:pPr>
            <w:r>
              <w:rPr>
                <w:kern w:val="20"/>
                <w:sz w:val="18"/>
              </w:rPr>
              <w:t xml:space="preserve">     0.02</w:t>
            </w:r>
          </w:p>
        </w:tc>
        <w:tc>
          <w:tcPr>
            <w:tcW w:w="993" w:type="dxa"/>
            <w:tcBorders>
              <w:top w:val="nil"/>
            </w:tcBorders>
          </w:tcPr>
          <w:p w:rsidR="00000000" w:rsidRDefault="00000000">
            <w:pPr>
              <w:rPr>
                <w:kern w:val="20"/>
                <w:sz w:val="18"/>
              </w:rPr>
            </w:pPr>
            <w:r>
              <w:rPr>
                <w:kern w:val="20"/>
                <w:sz w:val="18"/>
              </w:rPr>
              <w:t xml:space="preserve">        2.67</w:t>
            </w:r>
          </w:p>
        </w:tc>
        <w:tc>
          <w:tcPr>
            <w:tcW w:w="708" w:type="dxa"/>
            <w:tcBorders>
              <w:top w:val="nil"/>
            </w:tcBorders>
          </w:tcPr>
          <w:p w:rsidR="00000000" w:rsidRDefault="00000000">
            <w:pPr>
              <w:rPr>
                <w:kern w:val="20"/>
                <w:sz w:val="18"/>
              </w:rPr>
            </w:pPr>
            <w:r>
              <w:rPr>
                <w:kern w:val="20"/>
                <w:sz w:val="18"/>
              </w:rPr>
              <w:t xml:space="preserve">     1.87</w:t>
            </w:r>
          </w:p>
        </w:tc>
        <w:tc>
          <w:tcPr>
            <w:tcW w:w="851" w:type="dxa"/>
            <w:tcBorders>
              <w:top w:val="nil"/>
            </w:tcBorders>
          </w:tcPr>
          <w:p w:rsidR="00000000" w:rsidRDefault="00000000">
            <w:pPr>
              <w:rPr>
                <w:kern w:val="20"/>
                <w:sz w:val="18"/>
              </w:rPr>
            </w:pPr>
            <w:r>
              <w:rPr>
                <w:kern w:val="20"/>
                <w:sz w:val="18"/>
              </w:rPr>
              <w:t xml:space="preserve">     1.52</w:t>
            </w:r>
          </w:p>
        </w:tc>
        <w:tc>
          <w:tcPr>
            <w:tcW w:w="950" w:type="dxa"/>
            <w:gridSpan w:val="2"/>
            <w:tcBorders>
              <w:top w:val="nil"/>
            </w:tcBorders>
          </w:tcPr>
          <w:p w:rsidR="00000000" w:rsidRDefault="00000000">
            <w:pPr>
              <w:rPr>
                <w:kern w:val="20"/>
                <w:sz w:val="18"/>
              </w:rPr>
            </w:pPr>
            <w:r>
              <w:rPr>
                <w:kern w:val="20"/>
                <w:sz w:val="18"/>
              </w:rPr>
              <w:t xml:space="preserve">        3</w:t>
            </w:r>
          </w:p>
        </w:tc>
        <w:tc>
          <w:tcPr>
            <w:tcW w:w="751" w:type="dxa"/>
            <w:tcBorders>
              <w:top w:val="nil"/>
            </w:tcBorders>
          </w:tcPr>
          <w:p w:rsidR="00000000" w:rsidRDefault="00000000">
            <w:pPr>
              <w:rPr>
                <w:kern w:val="20"/>
                <w:sz w:val="18"/>
              </w:rPr>
            </w:pPr>
            <w:r>
              <w:rPr>
                <w:kern w:val="20"/>
                <w:sz w:val="18"/>
              </w:rPr>
              <w:t xml:space="preserve">   0.01</w:t>
            </w:r>
          </w:p>
        </w:tc>
        <w:tc>
          <w:tcPr>
            <w:tcW w:w="808" w:type="dxa"/>
            <w:tcBorders>
              <w:top w:val="nil"/>
            </w:tcBorders>
          </w:tcPr>
          <w:p w:rsidR="00000000" w:rsidRDefault="00000000">
            <w:pPr>
              <w:rPr>
                <w:kern w:val="20"/>
                <w:sz w:val="18"/>
              </w:rPr>
            </w:pPr>
            <w:r>
              <w:rPr>
                <w:kern w:val="20"/>
                <w:sz w:val="18"/>
              </w:rPr>
              <w:t xml:space="preserve">    0.01</w:t>
            </w:r>
          </w:p>
        </w:tc>
        <w:tc>
          <w:tcPr>
            <w:tcW w:w="892" w:type="dxa"/>
            <w:tcBorders>
              <w:top w:val="nil"/>
            </w:tcBorders>
          </w:tcPr>
          <w:p w:rsidR="00000000" w:rsidRDefault="00000000">
            <w:pPr>
              <w:rPr>
                <w:kern w:val="20"/>
                <w:sz w:val="18"/>
              </w:rPr>
            </w:pPr>
            <w:r>
              <w:rPr>
                <w:kern w:val="20"/>
                <w:sz w:val="18"/>
              </w:rPr>
              <w:t xml:space="preserve">       1.27</w:t>
            </w:r>
          </w:p>
        </w:tc>
        <w:tc>
          <w:tcPr>
            <w:tcW w:w="777" w:type="dxa"/>
            <w:tcBorders>
              <w:top w:val="nil"/>
            </w:tcBorders>
          </w:tcPr>
          <w:p w:rsidR="00000000" w:rsidRDefault="00000000">
            <w:pPr>
              <w:rPr>
                <w:kern w:val="20"/>
                <w:sz w:val="18"/>
              </w:rPr>
            </w:pPr>
            <w:r>
              <w:rPr>
                <w:kern w:val="20"/>
                <w:sz w:val="18"/>
              </w:rPr>
              <w:t xml:space="preserve">      1.13</w:t>
            </w:r>
          </w:p>
        </w:tc>
        <w:tc>
          <w:tcPr>
            <w:tcW w:w="851" w:type="dxa"/>
            <w:tcBorders>
              <w:top w:val="nil"/>
            </w:tcBorders>
          </w:tcPr>
          <w:p w:rsidR="00000000" w:rsidRDefault="00000000">
            <w:pPr>
              <w:rPr>
                <w:kern w:val="20"/>
                <w:sz w:val="18"/>
              </w:rPr>
            </w:pPr>
            <w:r>
              <w:rPr>
                <w:kern w:val="20"/>
                <w:sz w:val="18"/>
              </w:rPr>
              <w:t xml:space="preserve">       1.20</w:t>
            </w:r>
          </w:p>
        </w:tc>
      </w:tr>
      <w:tr w:rsidR="00000000">
        <w:tblPrEx>
          <w:tblCellMar>
            <w:top w:w="0" w:type="dxa"/>
            <w:bottom w:w="0" w:type="dxa"/>
          </w:tblCellMar>
        </w:tblPrEx>
        <w:trPr>
          <w:cantSplit/>
        </w:trPr>
        <w:tc>
          <w:tcPr>
            <w:tcW w:w="1701" w:type="dxa"/>
          </w:tcPr>
          <w:p w:rsidR="00000000" w:rsidRDefault="00000000">
            <w:pPr>
              <w:rPr>
                <w:b/>
                <w:bCs/>
                <w:kern w:val="20"/>
                <w:sz w:val="18"/>
              </w:rPr>
            </w:pPr>
            <w:r>
              <w:rPr>
                <w:b/>
                <w:bCs/>
                <w:kern w:val="20"/>
                <w:sz w:val="18"/>
              </w:rPr>
              <w:t>Family structure</w:t>
            </w:r>
          </w:p>
        </w:tc>
        <w:tc>
          <w:tcPr>
            <w:tcW w:w="11025" w:type="dxa"/>
            <w:gridSpan w:val="14"/>
            <w:vMerge w:val="restart"/>
          </w:tcPr>
          <w:p w:rsidR="00000000" w:rsidRDefault="00000000">
            <w:pPr>
              <w:jc w:val="center"/>
              <w:rPr>
                <w:kern w:val="20"/>
                <w:sz w:val="18"/>
              </w:rPr>
            </w:pPr>
          </w:p>
        </w:tc>
      </w:tr>
      <w:tr w:rsidR="00000000">
        <w:tblPrEx>
          <w:tblCellMar>
            <w:top w:w="0" w:type="dxa"/>
            <w:bottom w:w="0" w:type="dxa"/>
          </w:tblCellMar>
        </w:tblPrEx>
        <w:trPr>
          <w:cantSplit/>
        </w:trPr>
        <w:tc>
          <w:tcPr>
            <w:tcW w:w="1701" w:type="dxa"/>
          </w:tcPr>
          <w:p w:rsidR="00000000" w:rsidRDefault="00000000">
            <w:pPr>
              <w:rPr>
                <w:kern w:val="20"/>
                <w:sz w:val="18"/>
              </w:rPr>
            </w:pPr>
            <w:r>
              <w:rPr>
                <w:kern w:val="20"/>
                <w:sz w:val="18"/>
              </w:rPr>
              <w:t>Position in household</w:t>
            </w:r>
          </w:p>
        </w:tc>
        <w:tc>
          <w:tcPr>
            <w:tcW w:w="11025" w:type="dxa"/>
            <w:gridSpan w:val="14"/>
            <w:vMerge/>
          </w:tcPr>
          <w:p w:rsidR="00000000" w:rsidRDefault="00000000">
            <w:pPr>
              <w:jc w:val="center"/>
              <w:rPr>
                <w:kern w:val="20"/>
                <w:sz w:val="18"/>
              </w:rPr>
            </w:pPr>
          </w:p>
        </w:tc>
      </w:tr>
      <w:tr w:rsidR="00000000">
        <w:tblPrEx>
          <w:tblCellMar>
            <w:top w:w="0" w:type="dxa"/>
            <w:bottom w:w="0" w:type="dxa"/>
          </w:tblCellMar>
        </w:tblPrEx>
        <w:tc>
          <w:tcPr>
            <w:tcW w:w="1701" w:type="dxa"/>
            <w:tcBorders>
              <w:bottom w:val="nil"/>
            </w:tcBorders>
          </w:tcPr>
          <w:p w:rsidR="00000000" w:rsidRDefault="00000000">
            <w:pPr>
              <w:rPr>
                <w:kern w:val="20"/>
                <w:sz w:val="18"/>
              </w:rPr>
            </w:pPr>
            <w:r>
              <w:rPr>
                <w:kern w:val="20"/>
                <w:sz w:val="18"/>
              </w:rPr>
              <w:t>Attached</w:t>
            </w:r>
          </w:p>
        </w:tc>
        <w:tc>
          <w:tcPr>
            <w:tcW w:w="993" w:type="dxa"/>
            <w:tcBorders>
              <w:bottom w:val="nil"/>
            </w:tcBorders>
          </w:tcPr>
          <w:p w:rsidR="00000000" w:rsidRDefault="00000000">
            <w:pPr>
              <w:rPr>
                <w:kern w:val="20"/>
                <w:sz w:val="18"/>
              </w:rPr>
            </w:pPr>
            <w:r>
              <w:rPr>
                <w:kern w:val="20"/>
                <w:sz w:val="18"/>
              </w:rPr>
              <w:t xml:space="preserve">        0.40</w:t>
            </w:r>
          </w:p>
        </w:tc>
        <w:tc>
          <w:tcPr>
            <w:tcW w:w="892" w:type="dxa"/>
            <w:tcBorders>
              <w:bottom w:val="nil"/>
            </w:tcBorders>
          </w:tcPr>
          <w:p w:rsidR="00000000" w:rsidRDefault="00000000">
            <w:pPr>
              <w:jc w:val="center"/>
              <w:rPr>
                <w:kern w:val="20"/>
                <w:sz w:val="18"/>
              </w:rPr>
            </w:pPr>
            <w:r>
              <w:rPr>
                <w:kern w:val="20"/>
                <w:sz w:val="18"/>
              </w:rPr>
              <w:t>23</w:t>
            </w:r>
          </w:p>
        </w:tc>
        <w:tc>
          <w:tcPr>
            <w:tcW w:w="709" w:type="dxa"/>
            <w:tcBorders>
              <w:bottom w:val="nil"/>
            </w:tcBorders>
          </w:tcPr>
          <w:p w:rsidR="00000000" w:rsidRDefault="00000000">
            <w:pPr>
              <w:rPr>
                <w:kern w:val="20"/>
                <w:sz w:val="18"/>
              </w:rPr>
            </w:pPr>
            <w:r>
              <w:rPr>
                <w:kern w:val="20"/>
                <w:sz w:val="18"/>
              </w:rPr>
              <w:t xml:space="preserve">   0.09</w:t>
            </w:r>
          </w:p>
        </w:tc>
        <w:tc>
          <w:tcPr>
            <w:tcW w:w="850" w:type="dxa"/>
            <w:tcBorders>
              <w:bottom w:val="nil"/>
            </w:tcBorders>
          </w:tcPr>
          <w:p w:rsidR="00000000" w:rsidRDefault="00000000">
            <w:pPr>
              <w:rPr>
                <w:kern w:val="20"/>
                <w:sz w:val="18"/>
              </w:rPr>
            </w:pPr>
            <w:r>
              <w:rPr>
                <w:kern w:val="20"/>
                <w:sz w:val="18"/>
              </w:rPr>
              <w:t xml:space="preserve">     0.05</w:t>
            </w:r>
          </w:p>
        </w:tc>
        <w:tc>
          <w:tcPr>
            <w:tcW w:w="993" w:type="dxa"/>
            <w:tcBorders>
              <w:bottom w:val="nil"/>
            </w:tcBorders>
          </w:tcPr>
          <w:p w:rsidR="00000000" w:rsidRDefault="00000000">
            <w:pPr>
              <w:rPr>
                <w:kern w:val="20"/>
                <w:sz w:val="18"/>
              </w:rPr>
            </w:pPr>
            <w:r>
              <w:rPr>
                <w:kern w:val="20"/>
                <w:sz w:val="18"/>
              </w:rPr>
              <w:t xml:space="preserve">        0.27</w:t>
            </w:r>
          </w:p>
        </w:tc>
        <w:tc>
          <w:tcPr>
            <w:tcW w:w="708" w:type="dxa"/>
            <w:tcBorders>
              <w:bottom w:val="nil"/>
            </w:tcBorders>
          </w:tcPr>
          <w:p w:rsidR="00000000" w:rsidRDefault="00000000">
            <w:pPr>
              <w:rPr>
                <w:kern w:val="20"/>
                <w:sz w:val="18"/>
              </w:rPr>
            </w:pPr>
            <w:r>
              <w:rPr>
                <w:kern w:val="20"/>
                <w:sz w:val="18"/>
              </w:rPr>
              <w:t xml:space="preserve">     0.22</w:t>
            </w:r>
          </w:p>
        </w:tc>
        <w:tc>
          <w:tcPr>
            <w:tcW w:w="851" w:type="dxa"/>
            <w:tcBorders>
              <w:bottom w:val="nil"/>
            </w:tcBorders>
          </w:tcPr>
          <w:p w:rsidR="00000000" w:rsidRDefault="00000000">
            <w:pPr>
              <w:rPr>
                <w:kern w:val="20"/>
                <w:sz w:val="18"/>
              </w:rPr>
            </w:pPr>
            <w:r>
              <w:rPr>
                <w:kern w:val="20"/>
                <w:sz w:val="18"/>
              </w:rPr>
              <w:t xml:space="preserve">    0.20</w:t>
            </w:r>
          </w:p>
        </w:tc>
        <w:tc>
          <w:tcPr>
            <w:tcW w:w="950" w:type="dxa"/>
            <w:gridSpan w:val="2"/>
            <w:tcBorders>
              <w:bottom w:val="nil"/>
            </w:tcBorders>
          </w:tcPr>
          <w:p w:rsidR="00000000" w:rsidRDefault="00000000">
            <w:pPr>
              <w:rPr>
                <w:kern w:val="20"/>
                <w:sz w:val="18"/>
              </w:rPr>
            </w:pPr>
            <w:r>
              <w:rPr>
                <w:kern w:val="20"/>
                <w:sz w:val="18"/>
              </w:rPr>
              <w:t xml:space="preserve">        7</w:t>
            </w:r>
          </w:p>
        </w:tc>
        <w:tc>
          <w:tcPr>
            <w:tcW w:w="751" w:type="dxa"/>
            <w:tcBorders>
              <w:bottom w:val="nil"/>
            </w:tcBorders>
          </w:tcPr>
          <w:p w:rsidR="00000000" w:rsidRDefault="00000000">
            <w:pPr>
              <w:rPr>
                <w:kern w:val="20"/>
                <w:sz w:val="18"/>
              </w:rPr>
            </w:pPr>
            <w:r>
              <w:rPr>
                <w:kern w:val="20"/>
                <w:sz w:val="18"/>
              </w:rPr>
              <w:t xml:space="preserve">   0.03</w:t>
            </w:r>
          </w:p>
        </w:tc>
        <w:tc>
          <w:tcPr>
            <w:tcW w:w="808" w:type="dxa"/>
            <w:tcBorders>
              <w:bottom w:val="nil"/>
            </w:tcBorders>
          </w:tcPr>
          <w:p w:rsidR="00000000" w:rsidRDefault="00000000">
            <w:pPr>
              <w:rPr>
                <w:kern w:val="20"/>
                <w:sz w:val="18"/>
              </w:rPr>
            </w:pPr>
            <w:r>
              <w:rPr>
                <w:kern w:val="20"/>
                <w:sz w:val="18"/>
              </w:rPr>
              <w:t xml:space="preserve">    0.02</w:t>
            </w:r>
          </w:p>
        </w:tc>
        <w:tc>
          <w:tcPr>
            <w:tcW w:w="892" w:type="dxa"/>
            <w:tcBorders>
              <w:bottom w:val="nil"/>
            </w:tcBorders>
          </w:tcPr>
          <w:p w:rsidR="00000000" w:rsidRDefault="00000000">
            <w:pPr>
              <w:rPr>
                <w:kern w:val="20"/>
                <w:sz w:val="18"/>
              </w:rPr>
            </w:pPr>
            <w:r>
              <w:rPr>
                <w:kern w:val="20"/>
                <w:sz w:val="18"/>
              </w:rPr>
              <w:t xml:space="preserve">       0.19</w:t>
            </w:r>
          </w:p>
        </w:tc>
        <w:tc>
          <w:tcPr>
            <w:tcW w:w="777" w:type="dxa"/>
            <w:tcBorders>
              <w:bottom w:val="nil"/>
            </w:tcBorders>
          </w:tcPr>
          <w:p w:rsidR="00000000" w:rsidRDefault="00000000">
            <w:pPr>
              <w:rPr>
                <w:kern w:val="20"/>
                <w:sz w:val="18"/>
              </w:rPr>
            </w:pPr>
            <w:r>
              <w:rPr>
                <w:kern w:val="20"/>
                <w:sz w:val="18"/>
              </w:rPr>
              <w:t xml:space="preserve">      0.18</w:t>
            </w:r>
          </w:p>
        </w:tc>
        <w:tc>
          <w:tcPr>
            <w:tcW w:w="851" w:type="dxa"/>
            <w:tcBorders>
              <w:bottom w:val="nil"/>
            </w:tcBorders>
          </w:tcPr>
          <w:p w:rsidR="00000000" w:rsidRDefault="00000000">
            <w:pPr>
              <w:rPr>
                <w:kern w:val="20"/>
                <w:sz w:val="18"/>
              </w:rPr>
            </w:pPr>
            <w:r>
              <w:rPr>
                <w:kern w:val="20"/>
                <w:sz w:val="18"/>
              </w:rPr>
              <w:t xml:space="preserve">      0.19</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Spouse</w:t>
            </w:r>
          </w:p>
        </w:tc>
        <w:tc>
          <w:tcPr>
            <w:tcW w:w="993" w:type="dxa"/>
            <w:tcBorders>
              <w:top w:val="nil"/>
              <w:bottom w:val="nil"/>
            </w:tcBorders>
          </w:tcPr>
          <w:p w:rsidR="00000000" w:rsidRDefault="00000000">
            <w:pPr>
              <w:rPr>
                <w:kern w:val="20"/>
                <w:sz w:val="18"/>
              </w:rPr>
            </w:pPr>
            <w:r>
              <w:rPr>
                <w:kern w:val="20"/>
                <w:sz w:val="18"/>
              </w:rPr>
              <w:t xml:space="preserve">      18.90</w:t>
            </w:r>
          </w:p>
        </w:tc>
        <w:tc>
          <w:tcPr>
            <w:tcW w:w="892" w:type="dxa"/>
            <w:tcBorders>
              <w:top w:val="nil"/>
              <w:bottom w:val="nil"/>
            </w:tcBorders>
          </w:tcPr>
          <w:p w:rsidR="00000000" w:rsidRDefault="00000000">
            <w:pPr>
              <w:jc w:val="center"/>
              <w:rPr>
                <w:kern w:val="20"/>
                <w:sz w:val="18"/>
              </w:rPr>
            </w:pPr>
            <w:r>
              <w:rPr>
                <w:kern w:val="20"/>
                <w:sz w:val="18"/>
              </w:rPr>
              <w:t>29</w:t>
            </w:r>
          </w:p>
        </w:tc>
        <w:tc>
          <w:tcPr>
            <w:tcW w:w="709" w:type="dxa"/>
            <w:tcBorders>
              <w:top w:val="nil"/>
              <w:bottom w:val="nil"/>
            </w:tcBorders>
          </w:tcPr>
          <w:p w:rsidR="00000000" w:rsidRDefault="00000000">
            <w:pPr>
              <w:rPr>
                <w:kern w:val="20"/>
                <w:sz w:val="18"/>
              </w:rPr>
            </w:pPr>
            <w:r>
              <w:rPr>
                <w:kern w:val="20"/>
                <w:sz w:val="18"/>
              </w:rPr>
              <w:t xml:space="preserve">   0.13</w:t>
            </w:r>
          </w:p>
        </w:tc>
        <w:tc>
          <w:tcPr>
            <w:tcW w:w="850" w:type="dxa"/>
            <w:tcBorders>
              <w:top w:val="nil"/>
              <w:bottom w:val="nil"/>
            </w:tcBorders>
          </w:tcPr>
          <w:p w:rsidR="00000000" w:rsidRDefault="00000000">
            <w:pPr>
              <w:rPr>
                <w:kern w:val="20"/>
                <w:sz w:val="18"/>
              </w:rPr>
            </w:pPr>
            <w:r>
              <w:rPr>
                <w:kern w:val="20"/>
                <w:sz w:val="18"/>
              </w:rPr>
              <w:t xml:space="preserve">     0.08</w:t>
            </w:r>
          </w:p>
        </w:tc>
        <w:tc>
          <w:tcPr>
            <w:tcW w:w="993" w:type="dxa"/>
            <w:tcBorders>
              <w:top w:val="nil"/>
              <w:bottom w:val="nil"/>
            </w:tcBorders>
          </w:tcPr>
          <w:p w:rsidR="00000000" w:rsidRDefault="00000000">
            <w:pPr>
              <w:rPr>
                <w:kern w:val="20"/>
                <w:sz w:val="18"/>
              </w:rPr>
            </w:pPr>
            <w:r>
              <w:rPr>
                <w:kern w:val="20"/>
                <w:sz w:val="18"/>
              </w:rPr>
              <w:t xml:space="preserve">      16.14</w:t>
            </w:r>
          </w:p>
        </w:tc>
        <w:tc>
          <w:tcPr>
            <w:tcW w:w="708" w:type="dxa"/>
            <w:tcBorders>
              <w:top w:val="nil"/>
              <w:bottom w:val="nil"/>
            </w:tcBorders>
          </w:tcPr>
          <w:p w:rsidR="00000000" w:rsidRDefault="00000000">
            <w:pPr>
              <w:rPr>
                <w:kern w:val="20"/>
                <w:sz w:val="18"/>
              </w:rPr>
            </w:pPr>
            <w:r>
              <w:rPr>
                <w:kern w:val="20"/>
                <w:sz w:val="18"/>
              </w:rPr>
              <w:t xml:space="preserve">   15.69</w:t>
            </w:r>
          </w:p>
        </w:tc>
        <w:tc>
          <w:tcPr>
            <w:tcW w:w="851" w:type="dxa"/>
            <w:tcBorders>
              <w:top w:val="nil"/>
              <w:bottom w:val="nil"/>
            </w:tcBorders>
          </w:tcPr>
          <w:p w:rsidR="00000000" w:rsidRDefault="00000000">
            <w:pPr>
              <w:rPr>
                <w:kern w:val="20"/>
                <w:sz w:val="18"/>
              </w:rPr>
            </w:pPr>
            <w:r>
              <w:rPr>
                <w:kern w:val="20"/>
                <w:sz w:val="18"/>
              </w:rPr>
              <w:t xml:space="preserve">  15.56</w:t>
            </w:r>
          </w:p>
        </w:tc>
        <w:tc>
          <w:tcPr>
            <w:tcW w:w="950" w:type="dxa"/>
            <w:gridSpan w:val="2"/>
            <w:tcBorders>
              <w:top w:val="nil"/>
              <w:bottom w:val="nil"/>
            </w:tcBorders>
          </w:tcPr>
          <w:p w:rsidR="00000000" w:rsidRDefault="00000000">
            <w:pPr>
              <w:rPr>
                <w:kern w:val="20"/>
                <w:sz w:val="18"/>
              </w:rPr>
            </w:pPr>
            <w:r>
              <w:rPr>
                <w:kern w:val="20"/>
                <w:sz w:val="18"/>
              </w:rPr>
              <w:t xml:space="preserve">      12</w:t>
            </w:r>
          </w:p>
        </w:tc>
        <w:tc>
          <w:tcPr>
            <w:tcW w:w="751" w:type="dxa"/>
            <w:tcBorders>
              <w:top w:val="nil"/>
              <w:bottom w:val="nil"/>
            </w:tcBorders>
          </w:tcPr>
          <w:p w:rsidR="00000000" w:rsidRDefault="00000000">
            <w:pPr>
              <w:rPr>
                <w:kern w:val="20"/>
                <w:sz w:val="18"/>
              </w:rPr>
            </w:pPr>
            <w:r>
              <w:rPr>
                <w:kern w:val="20"/>
                <w:sz w:val="18"/>
              </w:rPr>
              <w:t xml:space="preserve">   0.05</w:t>
            </w:r>
          </w:p>
        </w:tc>
        <w:tc>
          <w:tcPr>
            <w:tcW w:w="808" w:type="dxa"/>
            <w:tcBorders>
              <w:top w:val="nil"/>
              <w:bottom w:val="nil"/>
            </w:tcBorders>
          </w:tcPr>
          <w:p w:rsidR="00000000" w:rsidRDefault="00000000">
            <w:pPr>
              <w:rPr>
                <w:kern w:val="20"/>
                <w:sz w:val="18"/>
              </w:rPr>
            </w:pPr>
            <w:r>
              <w:rPr>
                <w:kern w:val="20"/>
                <w:sz w:val="18"/>
              </w:rPr>
              <w:t xml:space="preserve">    0.03</w:t>
            </w:r>
          </w:p>
        </w:tc>
        <w:tc>
          <w:tcPr>
            <w:tcW w:w="892" w:type="dxa"/>
            <w:tcBorders>
              <w:top w:val="nil"/>
              <w:bottom w:val="nil"/>
            </w:tcBorders>
          </w:tcPr>
          <w:p w:rsidR="00000000" w:rsidRDefault="00000000">
            <w:pPr>
              <w:rPr>
                <w:kern w:val="20"/>
                <w:sz w:val="18"/>
              </w:rPr>
            </w:pPr>
            <w:r>
              <w:rPr>
                <w:kern w:val="20"/>
                <w:sz w:val="18"/>
              </w:rPr>
              <w:t xml:space="preserve">     15.41</w:t>
            </w:r>
          </w:p>
        </w:tc>
        <w:tc>
          <w:tcPr>
            <w:tcW w:w="777" w:type="dxa"/>
            <w:tcBorders>
              <w:top w:val="nil"/>
              <w:bottom w:val="nil"/>
            </w:tcBorders>
          </w:tcPr>
          <w:p w:rsidR="00000000" w:rsidRDefault="00000000">
            <w:pPr>
              <w:rPr>
                <w:kern w:val="20"/>
                <w:sz w:val="18"/>
              </w:rPr>
            </w:pPr>
            <w:r>
              <w:rPr>
                <w:kern w:val="20"/>
                <w:sz w:val="18"/>
              </w:rPr>
              <w:t xml:space="preserve">    15.43</w:t>
            </w:r>
          </w:p>
        </w:tc>
        <w:tc>
          <w:tcPr>
            <w:tcW w:w="851" w:type="dxa"/>
            <w:tcBorders>
              <w:top w:val="nil"/>
              <w:bottom w:val="nil"/>
            </w:tcBorders>
          </w:tcPr>
          <w:p w:rsidR="00000000" w:rsidRDefault="00000000">
            <w:pPr>
              <w:rPr>
                <w:kern w:val="20"/>
                <w:sz w:val="18"/>
              </w:rPr>
            </w:pPr>
            <w:r>
              <w:rPr>
                <w:kern w:val="20"/>
                <w:sz w:val="18"/>
              </w:rPr>
              <w:t xml:space="preserve">    15.69</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Other kinship</w:t>
            </w:r>
          </w:p>
        </w:tc>
        <w:tc>
          <w:tcPr>
            <w:tcW w:w="993" w:type="dxa"/>
            <w:tcBorders>
              <w:top w:val="nil"/>
              <w:bottom w:val="nil"/>
            </w:tcBorders>
          </w:tcPr>
          <w:p w:rsidR="00000000" w:rsidRDefault="00000000">
            <w:pPr>
              <w:rPr>
                <w:kern w:val="20"/>
                <w:sz w:val="18"/>
              </w:rPr>
            </w:pPr>
            <w:r>
              <w:rPr>
                <w:kern w:val="20"/>
                <w:sz w:val="18"/>
              </w:rPr>
              <w:t xml:space="preserve">        9.20</w:t>
            </w:r>
          </w:p>
        </w:tc>
        <w:tc>
          <w:tcPr>
            <w:tcW w:w="892" w:type="dxa"/>
            <w:tcBorders>
              <w:top w:val="nil"/>
              <w:bottom w:val="nil"/>
            </w:tcBorders>
          </w:tcPr>
          <w:p w:rsidR="00000000" w:rsidRDefault="00000000">
            <w:pPr>
              <w:jc w:val="center"/>
              <w:rPr>
                <w:kern w:val="20"/>
                <w:sz w:val="18"/>
              </w:rPr>
            </w:pPr>
            <w:r>
              <w:rPr>
                <w:kern w:val="20"/>
                <w:sz w:val="18"/>
              </w:rPr>
              <w:t>35</w:t>
            </w:r>
          </w:p>
        </w:tc>
        <w:tc>
          <w:tcPr>
            <w:tcW w:w="709" w:type="dxa"/>
            <w:tcBorders>
              <w:top w:val="nil"/>
              <w:bottom w:val="nil"/>
            </w:tcBorders>
          </w:tcPr>
          <w:p w:rsidR="00000000" w:rsidRDefault="00000000">
            <w:pPr>
              <w:rPr>
                <w:kern w:val="20"/>
                <w:sz w:val="18"/>
              </w:rPr>
            </w:pPr>
            <w:r>
              <w:rPr>
                <w:kern w:val="20"/>
                <w:sz w:val="18"/>
              </w:rPr>
              <w:t xml:space="preserve">   0.14</w:t>
            </w:r>
          </w:p>
        </w:tc>
        <w:tc>
          <w:tcPr>
            <w:tcW w:w="850" w:type="dxa"/>
            <w:tcBorders>
              <w:top w:val="nil"/>
              <w:bottom w:val="nil"/>
            </w:tcBorders>
          </w:tcPr>
          <w:p w:rsidR="00000000" w:rsidRDefault="00000000">
            <w:pPr>
              <w:rPr>
                <w:kern w:val="20"/>
                <w:sz w:val="18"/>
              </w:rPr>
            </w:pPr>
            <w:r>
              <w:rPr>
                <w:kern w:val="20"/>
                <w:sz w:val="18"/>
              </w:rPr>
              <w:t xml:space="preserve">     0.08</w:t>
            </w:r>
          </w:p>
        </w:tc>
        <w:tc>
          <w:tcPr>
            <w:tcW w:w="993" w:type="dxa"/>
            <w:tcBorders>
              <w:top w:val="nil"/>
              <w:bottom w:val="nil"/>
            </w:tcBorders>
          </w:tcPr>
          <w:p w:rsidR="00000000" w:rsidRDefault="00000000">
            <w:pPr>
              <w:rPr>
                <w:kern w:val="20"/>
                <w:sz w:val="18"/>
              </w:rPr>
            </w:pPr>
            <w:r>
              <w:rPr>
                <w:kern w:val="20"/>
                <w:sz w:val="18"/>
              </w:rPr>
              <w:t xml:space="preserve">        9.41</w:t>
            </w:r>
          </w:p>
        </w:tc>
        <w:tc>
          <w:tcPr>
            <w:tcW w:w="708" w:type="dxa"/>
            <w:tcBorders>
              <w:top w:val="nil"/>
              <w:bottom w:val="nil"/>
            </w:tcBorders>
          </w:tcPr>
          <w:p w:rsidR="00000000" w:rsidRDefault="00000000">
            <w:pPr>
              <w:rPr>
                <w:kern w:val="20"/>
                <w:sz w:val="18"/>
              </w:rPr>
            </w:pPr>
            <w:r>
              <w:rPr>
                <w:kern w:val="20"/>
                <w:sz w:val="18"/>
              </w:rPr>
              <w:t xml:space="preserve">     8.21</w:t>
            </w:r>
          </w:p>
        </w:tc>
        <w:tc>
          <w:tcPr>
            <w:tcW w:w="851" w:type="dxa"/>
            <w:tcBorders>
              <w:top w:val="nil"/>
              <w:bottom w:val="nil"/>
            </w:tcBorders>
          </w:tcPr>
          <w:p w:rsidR="00000000" w:rsidRDefault="00000000">
            <w:pPr>
              <w:rPr>
                <w:kern w:val="20"/>
                <w:sz w:val="18"/>
              </w:rPr>
            </w:pPr>
            <w:r>
              <w:rPr>
                <w:kern w:val="20"/>
                <w:sz w:val="18"/>
              </w:rPr>
              <w:t xml:space="preserve">    7.30</w:t>
            </w:r>
          </w:p>
        </w:tc>
        <w:tc>
          <w:tcPr>
            <w:tcW w:w="950" w:type="dxa"/>
            <w:gridSpan w:val="2"/>
            <w:tcBorders>
              <w:top w:val="nil"/>
              <w:bottom w:val="nil"/>
            </w:tcBorders>
          </w:tcPr>
          <w:p w:rsidR="00000000" w:rsidRDefault="00000000">
            <w:pPr>
              <w:rPr>
                <w:kern w:val="20"/>
                <w:sz w:val="18"/>
              </w:rPr>
            </w:pPr>
            <w:r>
              <w:rPr>
                <w:kern w:val="20"/>
                <w:sz w:val="18"/>
              </w:rPr>
              <w:t xml:space="preserve">      12</w:t>
            </w:r>
          </w:p>
        </w:tc>
        <w:tc>
          <w:tcPr>
            <w:tcW w:w="751" w:type="dxa"/>
            <w:tcBorders>
              <w:top w:val="nil"/>
              <w:bottom w:val="nil"/>
            </w:tcBorders>
          </w:tcPr>
          <w:p w:rsidR="00000000" w:rsidRDefault="00000000">
            <w:pPr>
              <w:rPr>
                <w:kern w:val="20"/>
                <w:sz w:val="18"/>
              </w:rPr>
            </w:pPr>
            <w:r>
              <w:rPr>
                <w:kern w:val="20"/>
                <w:sz w:val="18"/>
              </w:rPr>
              <w:t xml:space="preserve">   0.04</w:t>
            </w:r>
          </w:p>
        </w:tc>
        <w:tc>
          <w:tcPr>
            <w:tcW w:w="808" w:type="dxa"/>
            <w:tcBorders>
              <w:top w:val="nil"/>
              <w:bottom w:val="nil"/>
            </w:tcBorders>
          </w:tcPr>
          <w:p w:rsidR="00000000" w:rsidRDefault="00000000">
            <w:pPr>
              <w:rPr>
                <w:kern w:val="20"/>
                <w:sz w:val="18"/>
              </w:rPr>
            </w:pPr>
            <w:r>
              <w:rPr>
                <w:kern w:val="20"/>
                <w:sz w:val="18"/>
              </w:rPr>
              <w:t xml:space="preserve">    0.02</w:t>
            </w:r>
          </w:p>
        </w:tc>
        <w:tc>
          <w:tcPr>
            <w:tcW w:w="892" w:type="dxa"/>
            <w:tcBorders>
              <w:top w:val="nil"/>
              <w:bottom w:val="nil"/>
            </w:tcBorders>
          </w:tcPr>
          <w:p w:rsidR="00000000" w:rsidRDefault="00000000">
            <w:pPr>
              <w:rPr>
                <w:kern w:val="20"/>
                <w:sz w:val="18"/>
              </w:rPr>
            </w:pPr>
            <w:r>
              <w:rPr>
                <w:kern w:val="20"/>
                <w:sz w:val="18"/>
              </w:rPr>
              <w:t xml:space="preserve">       7.16</w:t>
            </w:r>
          </w:p>
        </w:tc>
        <w:tc>
          <w:tcPr>
            <w:tcW w:w="777" w:type="dxa"/>
            <w:tcBorders>
              <w:top w:val="nil"/>
              <w:bottom w:val="nil"/>
            </w:tcBorders>
          </w:tcPr>
          <w:p w:rsidR="00000000" w:rsidRDefault="00000000">
            <w:pPr>
              <w:rPr>
                <w:kern w:val="20"/>
                <w:sz w:val="18"/>
              </w:rPr>
            </w:pPr>
            <w:r>
              <w:rPr>
                <w:kern w:val="20"/>
                <w:sz w:val="18"/>
              </w:rPr>
              <w:t xml:space="preserve">      6.06</w:t>
            </w:r>
          </w:p>
        </w:tc>
        <w:tc>
          <w:tcPr>
            <w:tcW w:w="851" w:type="dxa"/>
            <w:tcBorders>
              <w:top w:val="nil"/>
              <w:bottom w:val="nil"/>
            </w:tcBorders>
          </w:tcPr>
          <w:p w:rsidR="00000000" w:rsidRDefault="00000000">
            <w:pPr>
              <w:rPr>
                <w:kern w:val="20"/>
                <w:sz w:val="18"/>
              </w:rPr>
            </w:pPr>
            <w:r>
              <w:rPr>
                <w:kern w:val="20"/>
                <w:sz w:val="18"/>
              </w:rPr>
              <w:t xml:space="preserve">      5.37</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Head</w:t>
            </w:r>
          </w:p>
        </w:tc>
        <w:tc>
          <w:tcPr>
            <w:tcW w:w="993" w:type="dxa"/>
            <w:tcBorders>
              <w:top w:val="nil"/>
              <w:bottom w:val="nil"/>
            </w:tcBorders>
          </w:tcPr>
          <w:p w:rsidR="00000000" w:rsidRDefault="00000000">
            <w:pPr>
              <w:rPr>
                <w:kern w:val="20"/>
                <w:sz w:val="18"/>
              </w:rPr>
            </w:pPr>
            <w:r>
              <w:rPr>
                <w:kern w:val="20"/>
                <w:sz w:val="18"/>
              </w:rPr>
              <w:t xml:space="preserve">      26.20</w:t>
            </w:r>
          </w:p>
        </w:tc>
        <w:tc>
          <w:tcPr>
            <w:tcW w:w="892" w:type="dxa"/>
            <w:tcBorders>
              <w:top w:val="nil"/>
              <w:bottom w:val="nil"/>
            </w:tcBorders>
          </w:tcPr>
          <w:p w:rsidR="00000000" w:rsidRDefault="00000000">
            <w:pPr>
              <w:jc w:val="center"/>
              <w:rPr>
                <w:kern w:val="20"/>
                <w:sz w:val="18"/>
              </w:rPr>
            </w:pPr>
            <w:r>
              <w:rPr>
                <w:kern w:val="20"/>
                <w:sz w:val="18"/>
              </w:rPr>
              <w:t>27</w:t>
            </w:r>
          </w:p>
        </w:tc>
        <w:tc>
          <w:tcPr>
            <w:tcW w:w="709" w:type="dxa"/>
            <w:tcBorders>
              <w:top w:val="nil"/>
              <w:bottom w:val="nil"/>
            </w:tcBorders>
          </w:tcPr>
          <w:p w:rsidR="00000000" w:rsidRDefault="00000000">
            <w:pPr>
              <w:rPr>
                <w:kern w:val="20"/>
                <w:sz w:val="18"/>
              </w:rPr>
            </w:pPr>
            <w:r>
              <w:rPr>
                <w:kern w:val="20"/>
                <w:sz w:val="18"/>
              </w:rPr>
              <w:t xml:space="preserve">   0.12</w:t>
            </w:r>
          </w:p>
        </w:tc>
        <w:tc>
          <w:tcPr>
            <w:tcW w:w="850" w:type="dxa"/>
            <w:tcBorders>
              <w:top w:val="nil"/>
              <w:bottom w:val="nil"/>
            </w:tcBorders>
          </w:tcPr>
          <w:p w:rsidR="00000000" w:rsidRDefault="00000000">
            <w:pPr>
              <w:rPr>
                <w:kern w:val="20"/>
                <w:sz w:val="18"/>
              </w:rPr>
            </w:pPr>
            <w:r>
              <w:rPr>
                <w:kern w:val="20"/>
                <w:sz w:val="18"/>
              </w:rPr>
              <w:t xml:space="preserve">     0.07</w:t>
            </w:r>
          </w:p>
        </w:tc>
        <w:tc>
          <w:tcPr>
            <w:tcW w:w="993" w:type="dxa"/>
            <w:tcBorders>
              <w:top w:val="nil"/>
              <w:bottom w:val="nil"/>
            </w:tcBorders>
          </w:tcPr>
          <w:p w:rsidR="00000000" w:rsidRDefault="00000000">
            <w:pPr>
              <w:rPr>
                <w:kern w:val="20"/>
                <w:sz w:val="18"/>
              </w:rPr>
            </w:pPr>
            <w:r>
              <w:rPr>
                <w:kern w:val="20"/>
                <w:sz w:val="18"/>
              </w:rPr>
              <w:t xml:space="preserve">      20.91</w:t>
            </w:r>
          </w:p>
        </w:tc>
        <w:tc>
          <w:tcPr>
            <w:tcW w:w="708" w:type="dxa"/>
            <w:tcBorders>
              <w:top w:val="nil"/>
              <w:bottom w:val="nil"/>
            </w:tcBorders>
          </w:tcPr>
          <w:p w:rsidR="00000000" w:rsidRDefault="00000000">
            <w:pPr>
              <w:rPr>
                <w:kern w:val="20"/>
                <w:sz w:val="18"/>
              </w:rPr>
            </w:pPr>
            <w:r>
              <w:rPr>
                <w:kern w:val="20"/>
                <w:sz w:val="18"/>
              </w:rPr>
              <w:t xml:space="preserve">   20.37</w:t>
            </w:r>
          </w:p>
        </w:tc>
        <w:tc>
          <w:tcPr>
            <w:tcW w:w="851" w:type="dxa"/>
            <w:tcBorders>
              <w:top w:val="nil"/>
              <w:bottom w:val="nil"/>
            </w:tcBorders>
          </w:tcPr>
          <w:p w:rsidR="00000000" w:rsidRDefault="00000000">
            <w:pPr>
              <w:rPr>
                <w:kern w:val="20"/>
                <w:sz w:val="18"/>
              </w:rPr>
            </w:pPr>
            <w:r>
              <w:rPr>
                <w:kern w:val="20"/>
                <w:sz w:val="18"/>
              </w:rPr>
              <w:t xml:space="preserve">  20.50</w:t>
            </w:r>
          </w:p>
        </w:tc>
        <w:tc>
          <w:tcPr>
            <w:tcW w:w="950" w:type="dxa"/>
            <w:gridSpan w:val="2"/>
            <w:tcBorders>
              <w:top w:val="nil"/>
              <w:bottom w:val="nil"/>
            </w:tcBorders>
          </w:tcPr>
          <w:p w:rsidR="00000000" w:rsidRDefault="00000000">
            <w:pPr>
              <w:rPr>
                <w:kern w:val="20"/>
                <w:sz w:val="18"/>
              </w:rPr>
            </w:pPr>
            <w:r>
              <w:rPr>
                <w:kern w:val="20"/>
                <w:sz w:val="18"/>
              </w:rPr>
              <w:t xml:space="preserve">      11</w:t>
            </w:r>
          </w:p>
        </w:tc>
        <w:tc>
          <w:tcPr>
            <w:tcW w:w="751" w:type="dxa"/>
            <w:tcBorders>
              <w:top w:val="nil"/>
              <w:bottom w:val="nil"/>
            </w:tcBorders>
          </w:tcPr>
          <w:p w:rsidR="00000000" w:rsidRDefault="00000000">
            <w:pPr>
              <w:rPr>
                <w:kern w:val="20"/>
                <w:sz w:val="18"/>
              </w:rPr>
            </w:pPr>
            <w:r>
              <w:rPr>
                <w:kern w:val="20"/>
                <w:sz w:val="18"/>
              </w:rPr>
              <w:t xml:space="preserve">   0.05</w:t>
            </w:r>
          </w:p>
        </w:tc>
        <w:tc>
          <w:tcPr>
            <w:tcW w:w="808" w:type="dxa"/>
            <w:tcBorders>
              <w:top w:val="nil"/>
              <w:bottom w:val="nil"/>
            </w:tcBorders>
          </w:tcPr>
          <w:p w:rsidR="00000000" w:rsidRDefault="00000000">
            <w:pPr>
              <w:rPr>
                <w:kern w:val="20"/>
                <w:sz w:val="18"/>
              </w:rPr>
            </w:pPr>
            <w:r>
              <w:rPr>
                <w:kern w:val="20"/>
                <w:sz w:val="18"/>
              </w:rPr>
              <w:t xml:space="preserve">    0.03</w:t>
            </w:r>
          </w:p>
        </w:tc>
        <w:tc>
          <w:tcPr>
            <w:tcW w:w="892" w:type="dxa"/>
            <w:tcBorders>
              <w:top w:val="nil"/>
              <w:bottom w:val="nil"/>
            </w:tcBorders>
          </w:tcPr>
          <w:p w:rsidR="00000000" w:rsidRDefault="00000000">
            <w:pPr>
              <w:rPr>
                <w:kern w:val="20"/>
                <w:sz w:val="18"/>
              </w:rPr>
            </w:pPr>
            <w:r>
              <w:rPr>
                <w:kern w:val="20"/>
                <w:sz w:val="18"/>
              </w:rPr>
              <w:t xml:space="preserve">     19.77</w:t>
            </w:r>
          </w:p>
        </w:tc>
        <w:tc>
          <w:tcPr>
            <w:tcW w:w="777" w:type="dxa"/>
            <w:tcBorders>
              <w:top w:val="nil"/>
              <w:bottom w:val="nil"/>
            </w:tcBorders>
          </w:tcPr>
          <w:p w:rsidR="00000000" w:rsidRDefault="00000000">
            <w:pPr>
              <w:rPr>
                <w:kern w:val="20"/>
                <w:sz w:val="18"/>
              </w:rPr>
            </w:pPr>
            <w:r>
              <w:rPr>
                <w:kern w:val="20"/>
                <w:sz w:val="18"/>
              </w:rPr>
              <w:t xml:space="preserve">    20.74</w:t>
            </w:r>
          </w:p>
        </w:tc>
        <w:tc>
          <w:tcPr>
            <w:tcW w:w="851" w:type="dxa"/>
            <w:tcBorders>
              <w:top w:val="nil"/>
              <w:bottom w:val="nil"/>
            </w:tcBorders>
          </w:tcPr>
          <w:p w:rsidR="00000000" w:rsidRDefault="00000000">
            <w:pPr>
              <w:rPr>
                <w:kern w:val="20"/>
                <w:sz w:val="18"/>
              </w:rPr>
            </w:pPr>
            <w:r>
              <w:rPr>
                <w:kern w:val="20"/>
                <w:sz w:val="18"/>
              </w:rPr>
              <w:t xml:space="preserve">    22.23</w:t>
            </w:r>
          </w:p>
        </w:tc>
      </w:tr>
      <w:tr w:rsidR="00000000">
        <w:tblPrEx>
          <w:tblCellMar>
            <w:top w:w="0" w:type="dxa"/>
            <w:bottom w:w="0" w:type="dxa"/>
          </w:tblCellMar>
        </w:tblPrEx>
        <w:tc>
          <w:tcPr>
            <w:tcW w:w="1701" w:type="dxa"/>
            <w:tcBorders>
              <w:top w:val="nil"/>
            </w:tcBorders>
          </w:tcPr>
          <w:p w:rsidR="00000000" w:rsidRDefault="00000000">
            <w:pPr>
              <w:rPr>
                <w:kern w:val="20"/>
                <w:sz w:val="18"/>
              </w:rPr>
            </w:pPr>
            <w:r>
              <w:rPr>
                <w:kern w:val="20"/>
                <w:sz w:val="18"/>
              </w:rPr>
              <w:t>Child</w:t>
            </w:r>
          </w:p>
        </w:tc>
        <w:tc>
          <w:tcPr>
            <w:tcW w:w="993" w:type="dxa"/>
            <w:tcBorders>
              <w:top w:val="nil"/>
            </w:tcBorders>
          </w:tcPr>
          <w:p w:rsidR="00000000" w:rsidRDefault="00000000">
            <w:pPr>
              <w:rPr>
                <w:kern w:val="20"/>
                <w:sz w:val="18"/>
              </w:rPr>
            </w:pPr>
            <w:r>
              <w:rPr>
                <w:kern w:val="20"/>
                <w:sz w:val="18"/>
              </w:rPr>
              <w:t xml:space="preserve">      45.20</w:t>
            </w:r>
          </w:p>
        </w:tc>
        <w:tc>
          <w:tcPr>
            <w:tcW w:w="892" w:type="dxa"/>
            <w:tcBorders>
              <w:top w:val="nil"/>
            </w:tcBorders>
          </w:tcPr>
          <w:p w:rsidR="00000000" w:rsidRDefault="00000000">
            <w:pPr>
              <w:jc w:val="center"/>
              <w:rPr>
                <w:kern w:val="20"/>
                <w:sz w:val="18"/>
              </w:rPr>
            </w:pPr>
            <w:r>
              <w:rPr>
                <w:kern w:val="20"/>
                <w:sz w:val="18"/>
              </w:rPr>
              <w:t>40</w:t>
            </w:r>
          </w:p>
        </w:tc>
        <w:tc>
          <w:tcPr>
            <w:tcW w:w="709" w:type="dxa"/>
            <w:tcBorders>
              <w:top w:val="nil"/>
            </w:tcBorders>
          </w:tcPr>
          <w:p w:rsidR="00000000" w:rsidRDefault="00000000">
            <w:pPr>
              <w:rPr>
                <w:kern w:val="20"/>
                <w:sz w:val="18"/>
              </w:rPr>
            </w:pPr>
            <w:r>
              <w:rPr>
                <w:kern w:val="20"/>
                <w:sz w:val="18"/>
              </w:rPr>
              <w:t xml:space="preserve">   0.19</w:t>
            </w:r>
          </w:p>
        </w:tc>
        <w:tc>
          <w:tcPr>
            <w:tcW w:w="850" w:type="dxa"/>
            <w:tcBorders>
              <w:top w:val="nil"/>
            </w:tcBorders>
          </w:tcPr>
          <w:p w:rsidR="00000000" w:rsidRDefault="00000000">
            <w:pPr>
              <w:rPr>
                <w:kern w:val="20"/>
                <w:sz w:val="18"/>
              </w:rPr>
            </w:pPr>
            <w:r>
              <w:rPr>
                <w:kern w:val="20"/>
                <w:sz w:val="18"/>
              </w:rPr>
              <w:t xml:space="preserve">     0.12</w:t>
            </w:r>
          </w:p>
        </w:tc>
        <w:tc>
          <w:tcPr>
            <w:tcW w:w="993" w:type="dxa"/>
            <w:tcBorders>
              <w:top w:val="nil"/>
            </w:tcBorders>
          </w:tcPr>
          <w:p w:rsidR="00000000" w:rsidRDefault="00000000">
            <w:pPr>
              <w:rPr>
                <w:kern w:val="20"/>
                <w:sz w:val="18"/>
              </w:rPr>
            </w:pPr>
            <w:r>
              <w:rPr>
                <w:kern w:val="20"/>
                <w:sz w:val="18"/>
              </w:rPr>
              <w:t xml:space="preserve">      53.18</w:t>
            </w:r>
          </w:p>
        </w:tc>
        <w:tc>
          <w:tcPr>
            <w:tcW w:w="708" w:type="dxa"/>
            <w:tcBorders>
              <w:top w:val="nil"/>
            </w:tcBorders>
          </w:tcPr>
          <w:p w:rsidR="00000000" w:rsidRDefault="00000000">
            <w:pPr>
              <w:rPr>
                <w:kern w:val="20"/>
                <w:sz w:val="18"/>
              </w:rPr>
            </w:pPr>
            <w:r>
              <w:rPr>
                <w:kern w:val="20"/>
                <w:sz w:val="18"/>
              </w:rPr>
              <w:t xml:space="preserve">   55.43</w:t>
            </w:r>
          </w:p>
        </w:tc>
        <w:tc>
          <w:tcPr>
            <w:tcW w:w="851" w:type="dxa"/>
            <w:tcBorders>
              <w:top w:val="nil"/>
            </w:tcBorders>
          </w:tcPr>
          <w:p w:rsidR="00000000" w:rsidRDefault="00000000">
            <w:pPr>
              <w:rPr>
                <w:kern w:val="20"/>
                <w:sz w:val="18"/>
              </w:rPr>
            </w:pPr>
            <w:r>
              <w:rPr>
                <w:kern w:val="20"/>
                <w:sz w:val="18"/>
              </w:rPr>
              <w:t xml:space="preserve">  56.35</w:t>
            </w:r>
          </w:p>
        </w:tc>
        <w:tc>
          <w:tcPr>
            <w:tcW w:w="950" w:type="dxa"/>
            <w:gridSpan w:val="2"/>
            <w:tcBorders>
              <w:top w:val="nil"/>
            </w:tcBorders>
          </w:tcPr>
          <w:p w:rsidR="00000000" w:rsidRDefault="00000000">
            <w:pPr>
              <w:rPr>
                <w:kern w:val="20"/>
                <w:sz w:val="18"/>
              </w:rPr>
            </w:pPr>
            <w:r>
              <w:rPr>
                <w:kern w:val="20"/>
                <w:sz w:val="18"/>
              </w:rPr>
              <w:t xml:space="preserve">      19</w:t>
            </w:r>
          </w:p>
        </w:tc>
        <w:tc>
          <w:tcPr>
            <w:tcW w:w="751" w:type="dxa"/>
            <w:tcBorders>
              <w:top w:val="nil"/>
            </w:tcBorders>
          </w:tcPr>
          <w:p w:rsidR="00000000" w:rsidRDefault="00000000">
            <w:pPr>
              <w:rPr>
                <w:kern w:val="20"/>
                <w:sz w:val="18"/>
              </w:rPr>
            </w:pPr>
            <w:r>
              <w:rPr>
                <w:kern w:val="20"/>
                <w:sz w:val="18"/>
              </w:rPr>
              <w:t xml:space="preserve">   0.08</w:t>
            </w:r>
          </w:p>
        </w:tc>
        <w:tc>
          <w:tcPr>
            <w:tcW w:w="808" w:type="dxa"/>
            <w:tcBorders>
              <w:top w:val="nil"/>
            </w:tcBorders>
          </w:tcPr>
          <w:p w:rsidR="00000000" w:rsidRDefault="00000000">
            <w:pPr>
              <w:rPr>
                <w:kern w:val="20"/>
                <w:sz w:val="18"/>
              </w:rPr>
            </w:pPr>
            <w:r>
              <w:rPr>
                <w:kern w:val="20"/>
                <w:sz w:val="18"/>
              </w:rPr>
              <w:t xml:space="preserve">    0.05</w:t>
            </w:r>
          </w:p>
        </w:tc>
        <w:tc>
          <w:tcPr>
            <w:tcW w:w="892" w:type="dxa"/>
            <w:tcBorders>
              <w:top w:val="nil"/>
            </w:tcBorders>
          </w:tcPr>
          <w:p w:rsidR="00000000" w:rsidRDefault="00000000">
            <w:pPr>
              <w:rPr>
                <w:kern w:val="20"/>
                <w:sz w:val="18"/>
              </w:rPr>
            </w:pPr>
            <w:r>
              <w:rPr>
                <w:kern w:val="20"/>
                <w:sz w:val="18"/>
              </w:rPr>
              <w:t xml:space="preserve">     57.39</w:t>
            </w:r>
          </w:p>
        </w:tc>
        <w:tc>
          <w:tcPr>
            <w:tcW w:w="777" w:type="dxa"/>
            <w:tcBorders>
              <w:top w:val="nil"/>
            </w:tcBorders>
          </w:tcPr>
          <w:p w:rsidR="00000000" w:rsidRDefault="00000000">
            <w:pPr>
              <w:rPr>
                <w:kern w:val="20"/>
                <w:sz w:val="18"/>
              </w:rPr>
            </w:pPr>
            <w:r>
              <w:rPr>
                <w:kern w:val="20"/>
                <w:sz w:val="18"/>
              </w:rPr>
              <w:t xml:space="preserve">    57.51</w:t>
            </w:r>
          </w:p>
        </w:tc>
        <w:tc>
          <w:tcPr>
            <w:tcW w:w="851" w:type="dxa"/>
            <w:tcBorders>
              <w:top w:val="nil"/>
            </w:tcBorders>
          </w:tcPr>
          <w:p w:rsidR="00000000" w:rsidRDefault="00000000">
            <w:pPr>
              <w:rPr>
                <w:kern w:val="20"/>
                <w:sz w:val="18"/>
              </w:rPr>
            </w:pPr>
            <w:r>
              <w:rPr>
                <w:kern w:val="20"/>
                <w:sz w:val="18"/>
              </w:rPr>
              <w:t xml:space="preserve">    56.43</w:t>
            </w:r>
          </w:p>
        </w:tc>
      </w:tr>
    </w:tbl>
    <w:p w:rsidR="00000000" w:rsidRDefault="00000000">
      <w:pPr>
        <w:rPr>
          <w:b/>
          <w:bCs/>
          <w:kern w:val="20"/>
        </w:rPr>
      </w:pPr>
      <w:r>
        <w:rPr>
          <w:b/>
          <w:bCs/>
          <w:kern w:val="20"/>
        </w:rPr>
        <w:tab/>
      </w:r>
    </w:p>
    <w:p w:rsidR="00000000" w:rsidRDefault="00000000">
      <w:pPr>
        <w:rPr>
          <w:kern w:val="20"/>
        </w:rPr>
      </w:pPr>
      <w:r>
        <w:rPr>
          <w:b/>
          <w:bCs/>
          <w:kern w:val="20"/>
        </w:rPr>
        <w:tab/>
      </w:r>
      <w:r>
        <w:rPr>
          <w:kern w:val="20"/>
          <w:u w:val="single"/>
        </w:rPr>
        <w:t>Source</w:t>
      </w:r>
      <w:r>
        <w:rPr>
          <w:kern w:val="20"/>
        </w:rPr>
        <w:t>:  Constructed on the basis of the 1997 Household Sampling Survey (PNAD).</w:t>
      </w:r>
    </w:p>
    <w:p w:rsidR="00000000" w:rsidRDefault="00000000">
      <w:pPr>
        <w:pStyle w:val="BodyText3"/>
        <w:jc w:val="center"/>
        <w:rPr>
          <w:b/>
          <w:spacing w:val="20"/>
          <w:kern w:val="20"/>
          <w:sz w:val="24"/>
          <w:lang w:val="en-GB"/>
        </w:rPr>
      </w:pPr>
    </w:p>
    <w:p w:rsidR="00000000" w:rsidRDefault="00000000">
      <w:pPr>
        <w:pStyle w:val="BodyText3"/>
        <w:spacing w:after="120"/>
        <w:jc w:val="center"/>
        <w:rPr>
          <w:b/>
          <w:spacing w:val="20"/>
          <w:kern w:val="20"/>
          <w:sz w:val="24"/>
          <w:lang w:val="en-GB"/>
        </w:rPr>
      </w:pPr>
    </w:p>
    <w:p w:rsidR="00000000" w:rsidRDefault="00000000">
      <w:pPr>
        <w:jc w:val="center"/>
        <w:rPr>
          <w:b/>
          <w:bCs/>
          <w:kern w:val="20"/>
        </w:rPr>
      </w:pPr>
      <w:r>
        <w:rPr>
          <w:b/>
          <w:bCs/>
          <w:kern w:val="20"/>
        </w:rPr>
        <w:t>Table 45</w:t>
      </w:r>
    </w:p>
    <w:p w:rsidR="00000000" w:rsidRDefault="00000000">
      <w:pPr>
        <w:jc w:val="center"/>
        <w:rPr>
          <w:b/>
          <w:bCs/>
          <w:kern w:val="20"/>
        </w:rPr>
      </w:pPr>
    </w:p>
    <w:p w:rsidR="00000000" w:rsidRDefault="00000000">
      <w:pPr>
        <w:jc w:val="center"/>
        <w:rPr>
          <w:b/>
          <w:bCs/>
          <w:kern w:val="20"/>
        </w:rPr>
      </w:pPr>
      <w:r>
        <w:rPr>
          <w:b/>
          <w:bCs/>
          <w:kern w:val="20"/>
        </w:rPr>
        <w:t>Poverty in Brazil by employment and sector</w:t>
      </w:r>
    </w:p>
    <w:p w:rsidR="00000000" w:rsidRDefault="00000000">
      <w:pPr>
        <w:pStyle w:val="BodyText3"/>
        <w:spacing w:after="120"/>
        <w:jc w:val="center"/>
        <w:rPr>
          <w:b/>
          <w:spacing w:val="20"/>
          <w:kern w:val="20"/>
          <w:sz w:val="24"/>
          <w:lang w:val="en-GB"/>
        </w:rPr>
      </w:pPr>
    </w:p>
    <w:tbl>
      <w:tblPr>
        <w:tblW w:w="1272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28" w:type="dxa"/>
        </w:tblCellMar>
        <w:tblLook w:val="0000" w:firstRow="0" w:lastRow="0" w:firstColumn="0" w:lastColumn="0" w:noHBand="0" w:noVBand="0"/>
      </w:tblPr>
      <w:tblGrid>
        <w:gridCol w:w="1700"/>
        <w:gridCol w:w="992"/>
        <w:gridCol w:w="5"/>
        <w:gridCol w:w="886"/>
        <w:gridCol w:w="709"/>
        <w:gridCol w:w="850"/>
        <w:gridCol w:w="993"/>
        <w:gridCol w:w="708"/>
        <w:gridCol w:w="851"/>
        <w:gridCol w:w="953"/>
        <w:gridCol w:w="751"/>
        <w:gridCol w:w="808"/>
        <w:gridCol w:w="892"/>
        <w:gridCol w:w="777"/>
        <w:gridCol w:w="851"/>
      </w:tblGrid>
      <w:tr w:rsidR="00000000">
        <w:tblPrEx>
          <w:tblCellMar>
            <w:top w:w="0" w:type="dxa"/>
            <w:bottom w:w="0" w:type="dxa"/>
          </w:tblCellMar>
        </w:tblPrEx>
        <w:trPr>
          <w:cantSplit/>
          <w:tblHeader/>
        </w:trPr>
        <w:tc>
          <w:tcPr>
            <w:tcW w:w="1700" w:type="dxa"/>
            <w:tcBorders>
              <w:bottom w:val="nil"/>
            </w:tcBorders>
          </w:tcPr>
          <w:p w:rsidR="00000000" w:rsidRDefault="00000000">
            <w:pPr>
              <w:rPr>
                <w:kern w:val="20"/>
                <w:sz w:val="18"/>
              </w:rPr>
            </w:pPr>
          </w:p>
        </w:tc>
        <w:tc>
          <w:tcPr>
            <w:tcW w:w="997" w:type="dxa"/>
            <w:gridSpan w:val="2"/>
            <w:tcBorders>
              <w:bottom w:val="nil"/>
            </w:tcBorders>
          </w:tcPr>
          <w:p w:rsidR="00000000" w:rsidRDefault="00000000">
            <w:pPr>
              <w:jc w:val="center"/>
              <w:rPr>
                <w:kern w:val="20"/>
                <w:sz w:val="18"/>
              </w:rPr>
            </w:pPr>
          </w:p>
        </w:tc>
        <w:tc>
          <w:tcPr>
            <w:tcW w:w="4997" w:type="dxa"/>
            <w:gridSpan w:val="6"/>
          </w:tcPr>
          <w:p w:rsidR="00000000" w:rsidRDefault="00000000">
            <w:pPr>
              <w:jc w:val="center"/>
              <w:rPr>
                <w:kern w:val="20"/>
                <w:sz w:val="18"/>
              </w:rPr>
            </w:pPr>
            <w:r>
              <w:rPr>
                <w:kern w:val="20"/>
                <w:sz w:val="18"/>
              </w:rPr>
              <w:t>Poverty line</w:t>
            </w:r>
          </w:p>
        </w:tc>
        <w:tc>
          <w:tcPr>
            <w:tcW w:w="5032" w:type="dxa"/>
            <w:gridSpan w:val="6"/>
          </w:tcPr>
          <w:p w:rsidR="00000000" w:rsidRDefault="00000000">
            <w:pPr>
              <w:jc w:val="center"/>
              <w:rPr>
                <w:kern w:val="20"/>
                <w:sz w:val="18"/>
              </w:rPr>
            </w:pPr>
            <w:r>
              <w:rPr>
                <w:kern w:val="20"/>
                <w:sz w:val="18"/>
              </w:rPr>
              <w:t>Extreme poverty line</w:t>
            </w:r>
          </w:p>
        </w:tc>
      </w:tr>
      <w:tr w:rsidR="00000000">
        <w:tblPrEx>
          <w:tblCellMar>
            <w:top w:w="0" w:type="dxa"/>
            <w:bottom w:w="0" w:type="dxa"/>
          </w:tblCellMar>
        </w:tblPrEx>
        <w:trPr>
          <w:tblHeader/>
        </w:trPr>
        <w:tc>
          <w:tcPr>
            <w:tcW w:w="1700" w:type="dxa"/>
            <w:tcBorders>
              <w:top w:val="nil"/>
              <w:bottom w:val="nil"/>
            </w:tcBorders>
          </w:tcPr>
          <w:p w:rsidR="00000000" w:rsidRDefault="00000000">
            <w:pPr>
              <w:rPr>
                <w:kern w:val="20"/>
                <w:sz w:val="18"/>
              </w:rPr>
            </w:pPr>
          </w:p>
        </w:tc>
        <w:tc>
          <w:tcPr>
            <w:tcW w:w="992" w:type="dxa"/>
            <w:tcBorders>
              <w:top w:val="nil"/>
            </w:tcBorders>
          </w:tcPr>
          <w:p w:rsidR="00000000" w:rsidRDefault="00000000">
            <w:pPr>
              <w:rPr>
                <w:kern w:val="20"/>
                <w:sz w:val="18"/>
              </w:rPr>
            </w:pPr>
          </w:p>
        </w:tc>
        <w:tc>
          <w:tcPr>
            <w:tcW w:w="2450" w:type="dxa"/>
            <w:gridSpan w:val="4"/>
          </w:tcPr>
          <w:p w:rsidR="00000000" w:rsidRDefault="00000000">
            <w:pPr>
              <w:jc w:val="center"/>
              <w:rPr>
                <w:kern w:val="20"/>
                <w:sz w:val="18"/>
              </w:rPr>
            </w:pPr>
            <w:r>
              <w:rPr>
                <w:kern w:val="20"/>
                <w:sz w:val="18"/>
              </w:rPr>
              <w:t>Incidence of poverty within category</w:t>
            </w:r>
          </w:p>
        </w:tc>
        <w:tc>
          <w:tcPr>
            <w:tcW w:w="2552" w:type="dxa"/>
            <w:gridSpan w:val="3"/>
          </w:tcPr>
          <w:p w:rsidR="00000000" w:rsidRDefault="00000000">
            <w:pPr>
              <w:jc w:val="center"/>
              <w:rPr>
                <w:kern w:val="20"/>
                <w:sz w:val="18"/>
              </w:rPr>
            </w:pPr>
            <w:r>
              <w:rPr>
                <w:kern w:val="20"/>
                <w:sz w:val="18"/>
              </w:rPr>
              <w:t>Distribution of poverty across category</w:t>
            </w:r>
          </w:p>
        </w:tc>
        <w:tc>
          <w:tcPr>
            <w:tcW w:w="2512" w:type="dxa"/>
            <w:gridSpan w:val="3"/>
          </w:tcPr>
          <w:p w:rsidR="00000000" w:rsidRDefault="00000000">
            <w:pPr>
              <w:jc w:val="center"/>
              <w:rPr>
                <w:kern w:val="20"/>
                <w:sz w:val="18"/>
              </w:rPr>
            </w:pPr>
            <w:r>
              <w:rPr>
                <w:kern w:val="20"/>
                <w:sz w:val="18"/>
              </w:rPr>
              <w:t>Incidence of poverty within category</w:t>
            </w:r>
          </w:p>
        </w:tc>
        <w:tc>
          <w:tcPr>
            <w:tcW w:w="2520" w:type="dxa"/>
            <w:gridSpan w:val="3"/>
          </w:tcPr>
          <w:p w:rsidR="00000000" w:rsidRDefault="00000000">
            <w:pPr>
              <w:jc w:val="center"/>
              <w:rPr>
                <w:kern w:val="20"/>
                <w:sz w:val="18"/>
              </w:rPr>
            </w:pPr>
            <w:r>
              <w:rPr>
                <w:kern w:val="20"/>
                <w:sz w:val="18"/>
              </w:rPr>
              <w:t>Distribution of poverty across category</w:t>
            </w:r>
          </w:p>
        </w:tc>
      </w:tr>
      <w:tr w:rsidR="00000000">
        <w:tblPrEx>
          <w:tblCellMar>
            <w:top w:w="0" w:type="dxa"/>
            <w:bottom w:w="0" w:type="dxa"/>
          </w:tblCellMar>
        </w:tblPrEx>
        <w:trPr>
          <w:tblHeader/>
        </w:trPr>
        <w:tc>
          <w:tcPr>
            <w:tcW w:w="1700" w:type="dxa"/>
            <w:tcBorders>
              <w:top w:val="nil"/>
            </w:tcBorders>
          </w:tcPr>
          <w:p w:rsidR="00000000" w:rsidRDefault="00000000">
            <w:pPr>
              <w:rPr>
                <w:kern w:val="20"/>
                <w:sz w:val="18"/>
              </w:rPr>
            </w:pPr>
          </w:p>
        </w:tc>
        <w:tc>
          <w:tcPr>
            <w:tcW w:w="992" w:type="dxa"/>
          </w:tcPr>
          <w:p w:rsidR="00000000" w:rsidRDefault="00000000">
            <w:pPr>
              <w:jc w:val="center"/>
              <w:rPr>
                <w:kern w:val="20"/>
                <w:sz w:val="18"/>
              </w:rPr>
            </w:pPr>
            <w:r>
              <w:rPr>
                <w:kern w:val="20"/>
                <w:sz w:val="18"/>
              </w:rPr>
              <w:t>Frequency</w:t>
            </w:r>
          </w:p>
          <w:p w:rsidR="00000000" w:rsidRDefault="00000000">
            <w:pPr>
              <w:jc w:val="center"/>
              <w:rPr>
                <w:kern w:val="20"/>
                <w:sz w:val="18"/>
              </w:rPr>
            </w:pPr>
            <w:r>
              <w:rPr>
                <w:kern w:val="20"/>
                <w:sz w:val="18"/>
              </w:rPr>
              <w:t>in the population</w:t>
            </w:r>
          </w:p>
        </w:tc>
        <w:tc>
          <w:tcPr>
            <w:tcW w:w="891" w:type="dxa"/>
            <w:gridSpan w:val="2"/>
          </w:tcPr>
          <w:p w:rsidR="00000000" w:rsidRDefault="00000000">
            <w:pPr>
              <w:jc w:val="center"/>
              <w:rPr>
                <w:kern w:val="20"/>
                <w:sz w:val="18"/>
              </w:rPr>
            </w:pPr>
            <w:r>
              <w:rPr>
                <w:kern w:val="20"/>
                <w:sz w:val="18"/>
              </w:rPr>
              <w:t>Percentage</w:t>
            </w:r>
          </w:p>
          <w:p w:rsidR="00000000" w:rsidRDefault="00000000">
            <w:pPr>
              <w:jc w:val="center"/>
              <w:rPr>
                <w:kern w:val="20"/>
                <w:sz w:val="18"/>
              </w:rPr>
            </w:pPr>
            <w:r>
              <w:rPr>
                <w:kern w:val="20"/>
                <w:sz w:val="18"/>
              </w:rPr>
              <w:t>of poor</w:t>
            </w:r>
          </w:p>
        </w:tc>
        <w:tc>
          <w:tcPr>
            <w:tcW w:w="709" w:type="dxa"/>
          </w:tcPr>
          <w:p w:rsidR="00000000" w:rsidRDefault="00000000">
            <w:pPr>
              <w:jc w:val="center"/>
              <w:rPr>
                <w:kern w:val="20"/>
                <w:sz w:val="18"/>
              </w:rPr>
            </w:pPr>
            <w:r>
              <w:rPr>
                <w:kern w:val="20"/>
                <w:sz w:val="18"/>
              </w:rPr>
              <w:t>Average income gap</w:t>
            </w:r>
          </w:p>
        </w:tc>
        <w:tc>
          <w:tcPr>
            <w:tcW w:w="850" w:type="dxa"/>
          </w:tcPr>
          <w:p w:rsidR="00000000" w:rsidRDefault="00000000">
            <w:pPr>
              <w:jc w:val="center"/>
              <w:rPr>
                <w:kern w:val="20"/>
                <w:sz w:val="18"/>
              </w:rPr>
            </w:pPr>
            <w:r>
              <w:rPr>
                <w:kern w:val="20"/>
                <w:sz w:val="18"/>
              </w:rPr>
              <w:t>Quadratic average income</w:t>
            </w:r>
          </w:p>
          <w:p w:rsidR="00000000" w:rsidRDefault="00000000">
            <w:pPr>
              <w:jc w:val="center"/>
              <w:rPr>
                <w:kern w:val="20"/>
                <w:sz w:val="18"/>
              </w:rPr>
            </w:pPr>
            <w:r>
              <w:rPr>
                <w:kern w:val="20"/>
                <w:sz w:val="18"/>
              </w:rPr>
              <w:t>gap</w:t>
            </w:r>
          </w:p>
        </w:tc>
        <w:tc>
          <w:tcPr>
            <w:tcW w:w="993" w:type="dxa"/>
          </w:tcPr>
          <w:p w:rsidR="00000000" w:rsidRDefault="00000000">
            <w:pPr>
              <w:jc w:val="center"/>
              <w:rPr>
                <w:kern w:val="20"/>
                <w:sz w:val="18"/>
              </w:rPr>
            </w:pPr>
            <w:r>
              <w:rPr>
                <w:kern w:val="20"/>
                <w:sz w:val="18"/>
              </w:rPr>
              <w:t>Percentage of poor</w:t>
            </w:r>
          </w:p>
        </w:tc>
        <w:tc>
          <w:tcPr>
            <w:tcW w:w="708" w:type="dxa"/>
          </w:tcPr>
          <w:p w:rsidR="00000000" w:rsidRDefault="00000000">
            <w:pPr>
              <w:jc w:val="center"/>
              <w:rPr>
                <w:kern w:val="20"/>
                <w:sz w:val="18"/>
              </w:rPr>
            </w:pPr>
            <w:r>
              <w:rPr>
                <w:kern w:val="20"/>
                <w:sz w:val="18"/>
              </w:rPr>
              <w:t>Average income gap</w:t>
            </w:r>
          </w:p>
        </w:tc>
        <w:tc>
          <w:tcPr>
            <w:tcW w:w="851" w:type="dxa"/>
          </w:tcPr>
          <w:p w:rsidR="00000000" w:rsidRDefault="00000000">
            <w:pPr>
              <w:jc w:val="center"/>
              <w:rPr>
                <w:kern w:val="20"/>
                <w:sz w:val="18"/>
              </w:rPr>
            </w:pPr>
            <w:r>
              <w:rPr>
                <w:kern w:val="20"/>
                <w:sz w:val="18"/>
              </w:rPr>
              <w:t>Quadratic average income</w:t>
            </w:r>
          </w:p>
          <w:p w:rsidR="00000000" w:rsidRDefault="00000000">
            <w:pPr>
              <w:jc w:val="center"/>
              <w:rPr>
                <w:kern w:val="20"/>
                <w:sz w:val="18"/>
              </w:rPr>
            </w:pPr>
            <w:r>
              <w:rPr>
                <w:kern w:val="20"/>
                <w:sz w:val="18"/>
              </w:rPr>
              <w:t>gap</w:t>
            </w:r>
          </w:p>
        </w:tc>
        <w:tc>
          <w:tcPr>
            <w:tcW w:w="953" w:type="dxa"/>
          </w:tcPr>
          <w:p w:rsidR="00000000" w:rsidRDefault="00000000">
            <w:pPr>
              <w:jc w:val="center"/>
              <w:rPr>
                <w:kern w:val="20"/>
                <w:sz w:val="18"/>
              </w:rPr>
            </w:pPr>
            <w:r>
              <w:rPr>
                <w:kern w:val="20"/>
                <w:sz w:val="18"/>
              </w:rPr>
              <w:t>Percentage of poor</w:t>
            </w:r>
          </w:p>
        </w:tc>
        <w:tc>
          <w:tcPr>
            <w:tcW w:w="751" w:type="dxa"/>
          </w:tcPr>
          <w:p w:rsidR="00000000" w:rsidRDefault="00000000">
            <w:pPr>
              <w:jc w:val="center"/>
              <w:rPr>
                <w:kern w:val="20"/>
                <w:sz w:val="18"/>
              </w:rPr>
            </w:pPr>
            <w:r>
              <w:rPr>
                <w:kern w:val="20"/>
                <w:sz w:val="18"/>
              </w:rPr>
              <w:t>Average income gap</w:t>
            </w:r>
          </w:p>
        </w:tc>
        <w:tc>
          <w:tcPr>
            <w:tcW w:w="808" w:type="dxa"/>
          </w:tcPr>
          <w:p w:rsidR="00000000" w:rsidRDefault="00000000">
            <w:pPr>
              <w:jc w:val="center"/>
              <w:rPr>
                <w:kern w:val="20"/>
                <w:sz w:val="18"/>
              </w:rPr>
            </w:pPr>
            <w:r>
              <w:rPr>
                <w:kern w:val="20"/>
                <w:sz w:val="18"/>
              </w:rPr>
              <w:t>Quadratic average income</w:t>
            </w:r>
          </w:p>
          <w:p w:rsidR="00000000" w:rsidRDefault="00000000">
            <w:pPr>
              <w:jc w:val="center"/>
              <w:rPr>
                <w:kern w:val="20"/>
                <w:sz w:val="18"/>
              </w:rPr>
            </w:pPr>
            <w:r>
              <w:rPr>
                <w:kern w:val="20"/>
                <w:sz w:val="18"/>
              </w:rPr>
              <w:t>gap</w:t>
            </w:r>
          </w:p>
        </w:tc>
        <w:tc>
          <w:tcPr>
            <w:tcW w:w="892" w:type="dxa"/>
          </w:tcPr>
          <w:p w:rsidR="00000000" w:rsidRDefault="00000000">
            <w:pPr>
              <w:jc w:val="center"/>
              <w:rPr>
                <w:kern w:val="20"/>
                <w:sz w:val="18"/>
              </w:rPr>
            </w:pPr>
            <w:r>
              <w:rPr>
                <w:kern w:val="20"/>
                <w:sz w:val="18"/>
              </w:rPr>
              <w:t>Percentage of poor</w:t>
            </w:r>
          </w:p>
        </w:tc>
        <w:tc>
          <w:tcPr>
            <w:tcW w:w="777" w:type="dxa"/>
          </w:tcPr>
          <w:p w:rsidR="00000000" w:rsidRDefault="00000000">
            <w:pPr>
              <w:jc w:val="center"/>
              <w:rPr>
                <w:kern w:val="20"/>
                <w:sz w:val="18"/>
              </w:rPr>
            </w:pPr>
            <w:r>
              <w:rPr>
                <w:kern w:val="20"/>
                <w:sz w:val="18"/>
              </w:rPr>
              <w:t>Average income</w:t>
            </w:r>
          </w:p>
          <w:p w:rsidR="00000000" w:rsidRDefault="00000000">
            <w:pPr>
              <w:ind w:right="34"/>
              <w:jc w:val="center"/>
              <w:rPr>
                <w:kern w:val="20"/>
                <w:sz w:val="18"/>
              </w:rPr>
            </w:pPr>
            <w:r>
              <w:rPr>
                <w:kern w:val="20"/>
                <w:sz w:val="18"/>
              </w:rPr>
              <w:t>gap</w:t>
            </w:r>
          </w:p>
        </w:tc>
        <w:tc>
          <w:tcPr>
            <w:tcW w:w="851" w:type="dxa"/>
          </w:tcPr>
          <w:p w:rsidR="00000000" w:rsidRDefault="00000000">
            <w:pPr>
              <w:jc w:val="center"/>
              <w:rPr>
                <w:kern w:val="20"/>
                <w:sz w:val="18"/>
              </w:rPr>
            </w:pPr>
            <w:r>
              <w:rPr>
                <w:kern w:val="20"/>
                <w:sz w:val="18"/>
              </w:rPr>
              <w:t>Quadratic average income gap</w:t>
            </w:r>
          </w:p>
        </w:tc>
      </w:tr>
      <w:tr w:rsidR="00000000">
        <w:tblPrEx>
          <w:tblCellMar>
            <w:top w:w="0" w:type="dxa"/>
            <w:bottom w:w="0" w:type="dxa"/>
          </w:tblCellMar>
        </w:tblPrEx>
        <w:tc>
          <w:tcPr>
            <w:tcW w:w="1700" w:type="dxa"/>
          </w:tcPr>
          <w:p w:rsidR="00000000" w:rsidRDefault="00000000">
            <w:pPr>
              <w:rPr>
                <w:kern w:val="20"/>
                <w:sz w:val="18"/>
              </w:rPr>
            </w:pPr>
            <w:r>
              <w:rPr>
                <w:kern w:val="20"/>
                <w:sz w:val="18"/>
              </w:rPr>
              <w:t>Brazil</w:t>
            </w:r>
          </w:p>
        </w:tc>
        <w:tc>
          <w:tcPr>
            <w:tcW w:w="992" w:type="dxa"/>
          </w:tcPr>
          <w:p w:rsidR="00000000" w:rsidRDefault="00000000">
            <w:pPr>
              <w:rPr>
                <w:kern w:val="20"/>
                <w:sz w:val="18"/>
              </w:rPr>
            </w:pPr>
            <w:r>
              <w:rPr>
                <w:kern w:val="20"/>
                <w:sz w:val="18"/>
              </w:rPr>
              <w:t xml:space="preserve">    100.00</w:t>
            </w:r>
          </w:p>
        </w:tc>
        <w:tc>
          <w:tcPr>
            <w:tcW w:w="891" w:type="dxa"/>
            <w:gridSpan w:val="2"/>
          </w:tcPr>
          <w:p w:rsidR="00000000" w:rsidRDefault="00000000">
            <w:pPr>
              <w:jc w:val="center"/>
              <w:rPr>
                <w:kern w:val="20"/>
                <w:sz w:val="18"/>
              </w:rPr>
            </w:pPr>
            <w:r>
              <w:rPr>
                <w:kern w:val="20"/>
                <w:sz w:val="18"/>
              </w:rPr>
              <w:t>34</w:t>
            </w:r>
          </w:p>
        </w:tc>
        <w:tc>
          <w:tcPr>
            <w:tcW w:w="709" w:type="dxa"/>
          </w:tcPr>
          <w:p w:rsidR="00000000" w:rsidRDefault="00000000">
            <w:pPr>
              <w:rPr>
                <w:kern w:val="20"/>
                <w:sz w:val="18"/>
              </w:rPr>
            </w:pPr>
            <w:r>
              <w:rPr>
                <w:kern w:val="20"/>
                <w:sz w:val="18"/>
              </w:rPr>
              <w:t xml:space="preserve">   0.15</w:t>
            </w:r>
          </w:p>
        </w:tc>
        <w:tc>
          <w:tcPr>
            <w:tcW w:w="850" w:type="dxa"/>
          </w:tcPr>
          <w:p w:rsidR="00000000" w:rsidRDefault="00000000">
            <w:pPr>
              <w:rPr>
                <w:kern w:val="20"/>
                <w:sz w:val="18"/>
              </w:rPr>
            </w:pPr>
            <w:r>
              <w:rPr>
                <w:kern w:val="20"/>
                <w:sz w:val="18"/>
              </w:rPr>
              <w:t xml:space="preserve">     0.09</w:t>
            </w:r>
          </w:p>
        </w:tc>
        <w:tc>
          <w:tcPr>
            <w:tcW w:w="993" w:type="dxa"/>
          </w:tcPr>
          <w:p w:rsidR="00000000" w:rsidRDefault="00000000">
            <w:pPr>
              <w:rPr>
                <w:kern w:val="20"/>
                <w:sz w:val="18"/>
              </w:rPr>
            </w:pPr>
            <w:r>
              <w:rPr>
                <w:kern w:val="20"/>
                <w:sz w:val="18"/>
              </w:rPr>
              <w:t xml:space="preserve">    100.00</w:t>
            </w:r>
          </w:p>
        </w:tc>
        <w:tc>
          <w:tcPr>
            <w:tcW w:w="708" w:type="dxa"/>
          </w:tcPr>
          <w:p w:rsidR="00000000" w:rsidRDefault="00000000">
            <w:pPr>
              <w:rPr>
                <w:kern w:val="20"/>
                <w:sz w:val="18"/>
              </w:rPr>
            </w:pPr>
            <w:r>
              <w:rPr>
                <w:kern w:val="20"/>
                <w:sz w:val="18"/>
              </w:rPr>
              <w:t xml:space="preserve"> 100.00</w:t>
            </w:r>
          </w:p>
        </w:tc>
        <w:tc>
          <w:tcPr>
            <w:tcW w:w="851" w:type="dxa"/>
          </w:tcPr>
          <w:p w:rsidR="00000000" w:rsidRDefault="00000000">
            <w:pPr>
              <w:rPr>
                <w:kern w:val="20"/>
                <w:sz w:val="18"/>
              </w:rPr>
            </w:pPr>
            <w:r>
              <w:rPr>
                <w:kern w:val="20"/>
                <w:sz w:val="18"/>
              </w:rPr>
              <w:t xml:space="preserve">  100.00</w:t>
            </w:r>
          </w:p>
        </w:tc>
        <w:tc>
          <w:tcPr>
            <w:tcW w:w="953" w:type="dxa"/>
          </w:tcPr>
          <w:p w:rsidR="00000000" w:rsidRDefault="00000000">
            <w:pPr>
              <w:rPr>
                <w:kern w:val="20"/>
                <w:sz w:val="18"/>
              </w:rPr>
            </w:pPr>
            <w:r>
              <w:rPr>
                <w:kern w:val="20"/>
                <w:sz w:val="18"/>
              </w:rPr>
              <w:t xml:space="preserve">       15</w:t>
            </w:r>
          </w:p>
        </w:tc>
        <w:tc>
          <w:tcPr>
            <w:tcW w:w="751" w:type="dxa"/>
          </w:tcPr>
          <w:p w:rsidR="00000000" w:rsidRDefault="00000000">
            <w:pPr>
              <w:rPr>
                <w:kern w:val="20"/>
                <w:sz w:val="18"/>
              </w:rPr>
            </w:pPr>
            <w:r>
              <w:rPr>
                <w:kern w:val="20"/>
                <w:sz w:val="18"/>
              </w:rPr>
              <w:t xml:space="preserve">    0.06</w:t>
            </w:r>
          </w:p>
        </w:tc>
        <w:tc>
          <w:tcPr>
            <w:tcW w:w="808" w:type="dxa"/>
          </w:tcPr>
          <w:p w:rsidR="00000000" w:rsidRDefault="00000000">
            <w:pPr>
              <w:rPr>
                <w:kern w:val="20"/>
                <w:sz w:val="18"/>
              </w:rPr>
            </w:pPr>
            <w:r>
              <w:rPr>
                <w:kern w:val="20"/>
                <w:sz w:val="18"/>
              </w:rPr>
              <w:t xml:space="preserve">    0.04</w:t>
            </w:r>
          </w:p>
        </w:tc>
        <w:tc>
          <w:tcPr>
            <w:tcW w:w="892" w:type="dxa"/>
          </w:tcPr>
          <w:p w:rsidR="00000000" w:rsidRDefault="00000000">
            <w:pPr>
              <w:rPr>
                <w:kern w:val="20"/>
                <w:sz w:val="18"/>
              </w:rPr>
            </w:pPr>
            <w:r>
              <w:rPr>
                <w:kern w:val="20"/>
                <w:sz w:val="18"/>
              </w:rPr>
              <w:t xml:space="preserve">   100.00</w:t>
            </w:r>
          </w:p>
        </w:tc>
        <w:tc>
          <w:tcPr>
            <w:tcW w:w="777" w:type="dxa"/>
          </w:tcPr>
          <w:p w:rsidR="00000000" w:rsidRDefault="00000000">
            <w:pPr>
              <w:rPr>
                <w:kern w:val="20"/>
                <w:sz w:val="18"/>
              </w:rPr>
            </w:pPr>
            <w:r>
              <w:rPr>
                <w:kern w:val="20"/>
                <w:sz w:val="18"/>
              </w:rPr>
              <w:t xml:space="preserve">  100.00</w:t>
            </w:r>
          </w:p>
        </w:tc>
        <w:tc>
          <w:tcPr>
            <w:tcW w:w="851" w:type="dxa"/>
          </w:tcPr>
          <w:p w:rsidR="00000000" w:rsidRDefault="00000000">
            <w:pPr>
              <w:rPr>
                <w:kern w:val="20"/>
                <w:sz w:val="18"/>
              </w:rPr>
            </w:pPr>
            <w:r>
              <w:rPr>
                <w:kern w:val="20"/>
                <w:sz w:val="18"/>
              </w:rPr>
              <w:t xml:space="preserve">   100.00</w:t>
            </w:r>
          </w:p>
        </w:tc>
      </w:tr>
      <w:tr w:rsidR="00000000">
        <w:tblPrEx>
          <w:tblCellMar>
            <w:top w:w="0" w:type="dxa"/>
            <w:bottom w:w="0" w:type="dxa"/>
          </w:tblCellMar>
        </w:tblPrEx>
        <w:trPr>
          <w:cantSplit/>
        </w:trPr>
        <w:tc>
          <w:tcPr>
            <w:tcW w:w="1700" w:type="dxa"/>
          </w:tcPr>
          <w:p w:rsidR="00000000" w:rsidRDefault="00000000">
            <w:pPr>
              <w:rPr>
                <w:b/>
                <w:bCs/>
                <w:kern w:val="20"/>
                <w:sz w:val="18"/>
              </w:rPr>
            </w:pPr>
            <w:r>
              <w:rPr>
                <w:b/>
                <w:bCs/>
                <w:kern w:val="20"/>
                <w:sz w:val="18"/>
              </w:rPr>
              <w:t>Participation in the labour market</w:t>
            </w:r>
          </w:p>
        </w:tc>
        <w:tc>
          <w:tcPr>
            <w:tcW w:w="11026" w:type="dxa"/>
            <w:gridSpan w:val="14"/>
          </w:tcPr>
          <w:p w:rsidR="00000000" w:rsidRDefault="00000000">
            <w:pPr>
              <w:jc w:val="center"/>
              <w:rPr>
                <w:kern w:val="20"/>
                <w:sz w:val="18"/>
              </w:rPr>
            </w:pPr>
            <w:r>
              <w:rPr>
                <w:kern w:val="20"/>
                <w:sz w:val="18"/>
              </w:rPr>
              <w:t xml:space="preserve"> </w:t>
            </w:r>
          </w:p>
        </w:tc>
      </w:tr>
      <w:tr w:rsidR="00000000">
        <w:tblPrEx>
          <w:tblCellMar>
            <w:top w:w="0" w:type="dxa"/>
            <w:bottom w:w="0" w:type="dxa"/>
          </w:tblCellMar>
        </w:tblPrEx>
        <w:tc>
          <w:tcPr>
            <w:tcW w:w="1700" w:type="dxa"/>
            <w:tcBorders>
              <w:bottom w:val="nil"/>
            </w:tcBorders>
          </w:tcPr>
          <w:p w:rsidR="00000000" w:rsidRDefault="00000000">
            <w:pPr>
              <w:rPr>
                <w:kern w:val="20"/>
                <w:sz w:val="18"/>
              </w:rPr>
            </w:pPr>
            <w:r>
              <w:rPr>
                <w:kern w:val="20"/>
                <w:sz w:val="18"/>
              </w:rPr>
              <w:t>Employed</w:t>
            </w:r>
          </w:p>
        </w:tc>
        <w:tc>
          <w:tcPr>
            <w:tcW w:w="992" w:type="dxa"/>
            <w:tcBorders>
              <w:bottom w:val="nil"/>
            </w:tcBorders>
          </w:tcPr>
          <w:p w:rsidR="00000000" w:rsidRDefault="00000000">
            <w:pPr>
              <w:rPr>
                <w:kern w:val="20"/>
                <w:sz w:val="18"/>
              </w:rPr>
            </w:pPr>
            <w:r>
              <w:rPr>
                <w:kern w:val="20"/>
                <w:sz w:val="18"/>
              </w:rPr>
              <w:t xml:space="preserve">      44.00</w:t>
            </w:r>
          </w:p>
        </w:tc>
        <w:tc>
          <w:tcPr>
            <w:tcW w:w="891" w:type="dxa"/>
            <w:gridSpan w:val="2"/>
            <w:tcBorders>
              <w:bottom w:val="nil"/>
            </w:tcBorders>
          </w:tcPr>
          <w:p w:rsidR="00000000" w:rsidRDefault="00000000">
            <w:pPr>
              <w:jc w:val="center"/>
              <w:rPr>
                <w:kern w:val="20"/>
                <w:sz w:val="18"/>
              </w:rPr>
            </w:pPr>
            <w:r>
              <w:rPr>
                <w:kern w:val="20"/>
                <w:sz w:val="18"/>
              </w:rPr>
              <w:t>27</w:t>
            </w:r>
          </w:p>
        </w:tc>
        <w:tc>
          <w:tcPr>
            <w:tcW w:w="709" w:type="dxa"/>
            <w:tcBorders>
              <w:bottom w:val="nil"/>
            </w:tcBorders>
          </w:tcPr>
          <w:p w:rsidR="00000000" w:rsidRDefault="00000000">
            <w:pPr>
              <w:rPr>
                <w:kern w:val="20"/>
                <w:sz w:val="18"/>
              </w:rPr>
            </w:pPr>
            <w:r>
              <w:rPr>
                <w:kern w:val="20"/>
                <w:sz w:val="18"/>
              </w:rPr>
              <w:t xml:space="preserve">   0.11</w:t>
            </w:r>
          </w:p>
        </w:tc>
        <w:tc>
          <w:tcPr>
            <w:tcW w:w="850" w:type="dxa"/>
            <w:tcBorders>
              <w:bottom w:val="nil"/>
            </w:tcBorders>
          </w:tcPr>
          <w:p w:rsidR="00000000" w:rsidRDefault="00000000">
            <w:pPr>
              <w:rPr>
                <w:kern w:val="20"/>
                <w:sz w:val="18"/>
              </w:rPr>
            </w:pPr>
            <w:r>
              <w:rPr>
                <w:kern w:val="20"/>
                <w:sz w:val="18"/>
              </w:rPr>
              <w:t xml:space="preserve">     0.07</w:t>
            </w:r>
          </w:p>
        </w:tc>
        <w:tc>
          <w:tcPr>
            <w:tcW w:w="993" w:type="dxa"/>
            <w:tcBorders>
              <w:bottom w:val="nil"/>
            </w:tcBorders>
          </w:tcPr>
          <w:p w:rsidR="00000000" w:rsidRDefault="00000000">
            <w:pPr>
              <w:rPr>
                <w:kern w:val="20"/>
                <w:sz w:val="18"/>
              </w:rPr>
            </w:pPr>
            <w:r>
              <w:rPr>
                <w:kern w:val="20"/>
                <w:sz w:val="18"/>
              </w:rPr>
              <w:t xml:space="preserve">      35.04</w:t>
            </w:r>
          </w:p>
        </w:tc>
        <w:tc>
          <w:tcPr>
            <w:tcW w:w="708" w:type="dxa"/>
            <w:tcBorders>
              <w:bottom w:val="nil"/>
            </w:tcBorders>
          </w:tcPr>
          <w:p w:rsidR="00000000" w:rsidRDefault="00000000">
            <w:pPr>
              <w:rPr>
                <w:kern w:val="20"/>
                <w:sz w:val="18"/>
              </w:rPr>
            </w:pPr>
            <w:r>
              <w:rPr>
                <w:kern w:val="20"/>
                <w:sz w:val="18"/>
              </w:rPr>
              <w:t xml:space="preserve">   32.84</w:t>
            </w:r>
          </w:p>
        </w:tc>
        <w:tc>
          <w:tcPr>
            <w:tcW w:w="851" w:type="dxa"/>
            <w:tcBorders>
              <w:bottom w:val="nil"/>
            </w:tcBorders>
          </w:tcPr>
          <w:p w:rsidR="00000000" w:rsidRDefault="00000000">
            <w:pPr>
              <w:rPr>
                <w:kern w:val="20"/>
                <w:sz w:val="18"/>
              </w:rPr>
            </w:pPr>
            <w:r>
              <w:rPr>
                <w:kern w:val="20"/>
                <w:sz w:val="18"/>
              </w:rPr>
              <w:t xml:space="preserve">    31.03</w:t>
            </w:r>
          </w:p>
        </w:tc>
        <w:tc>
          <w:tcPr>
            <w:tcW w:w="953" w:type="dxa"/>
            <w:tcBorders>
              <w:bottom w:val="nil"/>
            </w:tcBorders>
          </w:tcPr>
          <w:p w:rsidR="00000000" w:rsidRDefault="00000000">
            <w:pPr>
              <w:rPr>
                <w:kern w:val="20"/>
                <w:sz w:val="18"/>
              </w:rPr>
            </w:pPr>
            <w:r>
              <w:rPr>
                <w:kern w:val="20"/>
                <w:sz w:val="18"/>
              </w:rPr>
              <w:t xml:space="preserve">       11</w:t>
            </w:r>
          </w:p>
        </w:tc>
        <w:tc>
          <w:tcPr>
            <w:tcW w:w="751" w:type="dxa"/>
            <w:tcBorders>
              <w:bottom w:val="nil"/>
            </w:tcBorders>
          </w:tcPr>
          <w:p w:rsidR="00000000" w:rsidRDefault="00000000">
            <w:pPr>
              <w:rPr>
                <w:kern w:val="20"/>
                <w:sz w:val="18"/>
              </w:rPr>
            </w:pPr>
            <w:r>
              <w:rPr>
                <w:kern w:val="20"/>
                <w:sz w:val="18"/>
              </w:rPr>
              <w:t xml:space="preserve">    0.04</w:t>
            </w:r>
          </w:p>
        </w:tc>
        <w:tc>
          <w:tcPr>
            <w:tcW w:w="808" w:type="dxa"/>
            <w:tcBorders>
              <w:bottom w:val="nil"/>
            </w:tcBorders>
          </w:tcPr>
          <w:p w:rsidR="00000000" w:rsidRDefault="00000000">
            <w:pPr>
              <w:rPr>
                <w:kern w:val="20"/>
                <w:sz w:val="18"/>
              </w:rPr>
            </w:pPr>
            <w:r>
              <w:rPr>
                <w:kern w:val="20"/>
                <w:sz w:val="18"/>
              </w:rPr>
              <w:t xml:space="preserve">    0.02</w:t>
            </w:r>
          </w:p>
        </w:tc>
        <w:tc>
          <w:tcPr>
            <w:tcW w:w="892" w:type="dxa"/>
            <w:tcBorders>
              <w:bottom w:val="nil"/>
            </w:tcBorders>
          </w:tcPr>
          <w:p w:rsidR="00000000" w:rsidRDefault="00000000">
            <w:pPr>
              <w:rPr>
                <w:kern w:val="20"/>
                <w:sz w:val="18"/>
              </w:rPr>
            </w:pPr>
            <w:r>
              <w:rPr>
                <w:kern w:val="20"/>
                <w:sz w:val="18"/>
              </w:rPr>
              <w:t xml:space="preserve">     31.97</w:t>
            </w:r>
          </w:p>
        </w:tc>
        <w:tc>
          <w:tcPr>
            <w:tcW w:w="777" w:type="dxa"/>
            <w:tcBorders>
              <w:bottom w:val="nil"/>
            </w:tcBorders>
          </w:tcPr>
          <w:p w:rsidR="00000000" w:rsidRDefault="00000000">
            <w:pPr>
              <w:rPr>
                <w:kern w:val="20"/>
                <w:sz w:val="18"/>
              </w:rPr>
            </w:pPr>
            <w:r>
              <w:rPr>
                <w:kern w:val="20"/>
                <w:sz w:val="18"/>
              </w:rPr>
              <w:t xml:space="preserve">    28.87</w:t>
            </w:r>
          </w:p>
        </w:tc>
        <w:tc>
          <w:tcPr>
            <w:tcW w:w="851" w:type="dxa"/>
            <w:tcBorders>
              <w:bottom w:val="nil"/>
            </w:tcBorders>
          </w:tcPr>
          <w:p w:rsidR="00000000" w:rsidRDefault="00000000">
            <w:pPr>
              <w:rPr>
                <w:kern w:val="20"/>
                <w:sz w:val="18"/>
              </w:rPr>
            </w:pPr>
            <w:r>
              <w:rPr>
                <w:kern w:val="20"/>
                <w:sz w:val="18"/>
              </w:rPr>
              <w:t xml:space="preserve">     25.62</w:t>
            </w:r>
          </w:p>
        </w:tc>
      </w:tr>
      <w:tr w:rsidR="00000000">
        <w:tblPrEx>
          <w:tblCellMar>
            <w:top w:w="0" w:type="dxa"/>
            <w:bottom w:w="0" w:type="dxa"/>
          </w:tblCellMar>
        </w:tblPrEx>
        <w:tc>
          <w:tcPr>
            <w:tcW w:w="1700" w:type="dxa"/>
            <w:tcBorders>
              <w:top w:val="nil"/>
              <w:bottom w:val="nil"/>
            </w:tcBorders>
          </w:tcPr>
          <w:p w:rsidR="00000000" w:rsidRDefault="00000000">
            <w:pPr>
              <w:rPr>
                <w:kern w:val="20"/>
                <w:sz w:val="18"/>
              </w:rPr>
            </w:pPr>
            <w:r>
              <w:rPr>
                <w:kern w:val="20"/>
                <w:sz w:val="18"/>
              </w:rPr>
              <w:t>Unemployed</w:t>
            </w:r>
          </w:p>
        </w:tc>
        <w:tc>
          <w:tcPr>
            <w:tcW w:w="992" w:type="dxa"/>
            <w:tcBorders>
              <w:top w:val="nil"/>
              <w:bottom w:val="nil"/>
            </w:tcBorders>
          </w:tcPr>
          <w:p w:rsidR="00000000" w:rsidRDefault="00000000">
            <w:pPr>
              <w:rPr>
                <w:kern w:val="20"/>
                <w:sz w:val="18"/>
              </w:rPr>
            </w:pPr>
            <w:r>
              <w:rPr>
                <w:kern w:val="20"/>
                <w:sz w:val="18"/>
              </w:rPr>
              <w:t xml:space="preserve">        3.80</w:t>
            </w:r>
          </w:p>
        </w:tc>
        <w:tc>
          <w:tcPr>
            <w:tcW w:w="891" w:type="dxa"/>
            <w:gridSpan w:val="2"/>
            <w:tcBorders>
              <w:top w:val="nil"/>
              <w:bottom w:val="nil"/>
            </w:tcBorders>
          </w:tcPr>
          <w:p w:rsidR="00000000" w:rsidRDefault="00000000">
            <w:pPr>
              <w:jc w:val="center"/>
              <w:rPr>
                <w:kern w:val="20"/>
                <w:sz w:val="18"/>
              </w:rPr>
            </w:pPr>
            <w:r>
              <w:rPr>
                <w:kern w:val="20"/>
                <w:sz w:val="18"/>
              </w:rPr>
              <w:t>43</w:t>
            </w:r>
          </w:p>
        </w:tc>
        <w:tc>
          <w:tcPr>
            <w:tcW w:w="709" w:type="dxa"/>
            <w:tcBorders>
              <w:top w:val="nil"/>
              <w:bottom w:val="nil"/>
            </w:tcBorders>
          </w:tcPr>
          <w:p w:rsidR="00000000" w:rsidRDefault="00000000">
            <w:pPr>
              <w:rPr>
                <w:kern w:val="20"/>
                <w:sz w:val="18"/>
              </w:rPr>
            </w:pPr>
            <w:r>
              <w:rPr>
                <w:kern w:val="20"/>
                <w:sz w:val="18"/>
              </w:rPr>
              <w:t xml:space="preserve">   0.23</w:t>
            </w:r>
          </w:p>
        </w:tc>
        <w:tc>
          <w:tcPr>
            <w:tcW w:w="850" w:type="dxa"/>
            <w:tcBorders>
              <w:top w:val="nil"/>
              <w:bottom w:val="nil"/>
            </w:tcBorders>
          </w:tcPr>
          <w:p w:rsidR="00000000" w:rsidRDefault="00000000">
            <w:pPr>
              <w:rPr>
                <w:kern w:val="20"/>
                <w:sz w:val="18"/>
              </w:rPr>
            </w:pPr>
            <w:r>
              <w:rPr>
                <w:kern w:val="20"/>
                <w:sz w:val="18"/>
              </w:rPr>
              <w:t xml:space="preserve">     0.16</w:t>
            </w:r>
          </w:p>
        </w:tc>
        <w:tc>
          <w:tcPr>
            <w:tcW w:w="993" w:type="dxa"/>
            <w:tcBorders>
              <w:top w:val="nil"/>
              <w:bottom w:val="nil"/>
            </w:tcBorders>
          </w:tcPr>
          <w:p w:rsidR="00000000" w:rsidRDefault="00000000">
            <w:pPr>
              <w:rPr>
                <w:kern w:val="20"/>
                <w:sz w:val="18"/>
              </w:rPr>
            </w:pPr>
            <w:r>
              <w:rPr>
                <w:kern w:val="20"/>
                <w:sz w:val="18"/>
              </w:rPr>
              <w:t xml:space="preserve">        4.88</w:t>
            </w:r>
          </w:p>
        </w:tc>
        <w:tc>
          <w:tcPr>
            <w:tcW w:w="708" w:type="dxa"/>
            <w:tcBorders>
              <w:top w:val="nil"/>
              <w:bottom w:val="nil"/>
            </w:tcBorders>
          </w:tcPr>
          <w:p w:rsidR="00000000" w:rsidRDefault="00000000">
            <w:pPr>
              <w:rPr>
                <w:kern w:val="20"/>
                <w:sz w:val="18"/>
              </w:rPr>
            </w:pPr>
            <w:r>
              <w:rPr>
                <w:kern w:val="20"/>
                <w:sz w:val="18"/>
              </w:rPr>
              <w:t xml:space="preserve">     5.64</w:t>
            </w:r>
          </w:p>
        </w:tc>
        <w:tc>
          <w:tcPr>
            <w:tcW w:w="851" w:type="dxa"/>
            <w:tcBorders>
              <w:top w:val="nil"/>
              <w:bottom w:val="nil"/>
            </w:tcBorders>
          </w:tcPr>
          <w:p w:rsidR="00000000" w:rsidRDefault="00000000">
            <w:pPr>
              <w:rPr>
                <w:kern w:val="20"/>
                <w:sz w:val="18"/>
              </w:rPr>
            </w:pPr>
            <w:r>
              <w:rPr>
                <w:kern w:val="20"/>
                <w:sz w:val="18"/>
              </w:rPr>
              <w:t xml:space="preserve">      6.53</w:t>
            </w:r>
          </w:p>
        </w:tc>
        <w:tc>
          <w:tcPr>
            <w:tcW w:w="953" w:type="dxa"/>
            <w:tcBorders>
              <w:top w:val="nil"/>
              <w:bottom w:val="nil"/>
            </w:tcBorders>
          </w:tcPr>
          <w:p w:rsidR="00000000" w:rsidRDefault="00000000">
            <w:pPr>
              <w:rPr>
                <w:kern w:val="20"/>
                <w:sz w:val="18"/>
              </w:rPr>
            </w:pPr>
            <w:r>
              <w:rPr>
                <w:kern w:val="20"/>
                <w:sz w:val="18"/>
              </w:rPr>
              <w:t xml:space="preserve">       22</w:t>
            </w:r>
          </w:p>
        </w:tc>
        <w:tc>
          <w:tcPr>
            <w:tcW w:w="751" w:type="dxa"/>
            <w:tcBorders>
              <w:top w:val="nil"/>
              <w:bottom w:val="nil"/>
            </w:tcBorders>
          </w:tcPr>
          <w:p w:rsidR="00000000" w:rsidRDefault="00000000">
            <w:pPr>
              <w:rPr>
                <w:kern w:val="20"/>
                <w:sz w:val="18"/>
              </w:rPr>
            </w:pPr>
            <w:r>
              <w:rPr>
                <w:kern w:val="20"/>
                <w:sz w:val="18"/>
              </w:rPr>
              <w:t xml:space="preserve">    0.13</w:t>
            </w:r>
          </w:p>
        </w:tc>
        <w:tc>
          <w:tcPr>
            <w:tcW w:w="808" w:type="dxa"/>
            <w:tcBorders>
              <w:top w:val="nil"/>
              <w:bottom w:val="nil"/>
            </w:tcBorders>
          </w:tcPr>
          <w:p w:rsidR="00000000" w:rsidRDefault="00000000">
            <w:pPr>
              <w:rPr>
                <w:kern w:val="20"/>
                <w:sz w:val="18"/>
              </w:rPr>
            </w:pPr>
            <w:r>
              <w:rPr>
                <w:kern w:val="20"/>
                <w:sz w:val="18"/>
              </w:rPr>
              <w:t xml:space="preserve">    0.10</w:t>
            </w:r>
          </w:p>
        </w:tc>
        <w:tc>
          <w:tcPr>
            <w:tcW w:w="892" w:type="dxa"/>
            <w:tcBorders>
              <w:top w:val="nil"/>
              <w:bottom w:val="nil"/>
            </w:tcBorders>
          </w:tcPr>
          <w:p w:rsidR="00000000" w:rsidRDefault="00000000">
            <w:pPr>
              <w:rPr>
                <w:kern w:val="20"/>
                <w:sz w:val="18"/>
              </w:rPr>
            </w:pPr>
            <w:r>
              <w:rPr>
                <w:kern w:val="20"/>
                <w:sz w:val="18"/>
              </w:rPr>
              <w:t xml:space="preserve">       5.66</w:t>
            </w:r>
          </w:p>
        </w:tc>
        <w:tc>
          <w:tcPr>
            <w:tcW w:w="777" w:type="dxa"/>
            <w:tcBorders>
              <w:top w:val="nil"/>
              <w:bottom w:val="nil"/>
            </w:tcBorders>
          </w:tcPr>
          <w:p w:rsidR="00000000" w:rsidRDefault="00000000">
            <w:pPr>
              <w:rPr>
                <w:kern w:val="20"/>
                <w:sz w:val="18"/>
              </w:rPr>
            </w:pPr>
            <w:r>
              <w:rPr>
                <w:kern w:val="20"/>
                <w:sz w:val="18"/>
              </w:rPr>
              <w:t xml:space="preserve">      7.65</w:t>
            </w:r>
          </w:p>
        </w:tc>
        <w:tc>
          <w:tcPr>
            <w:tcW w:w="851" w:type="dxa"/>
            <w:tcBorders>
              <w:top w:val="nil"/>
              <w:bottom w:val="nil"/>
            </w:tcBorders>
          </w:tcPr>
          <w:p w:rsidR="00000000" w:rsidRDefault="00000000">
            <w:pPr>
              <w:rPr>
                <w:kern w:val="20"/>
                <w:sz w:val="18"/>
              </w:rPr>
            </w:pPr>
            <w:r>
              <w:rPr>
                <w:kern w:val="20"/>
                <w:sz w:val="18"/>
              </w:rPr>
              <w:t xml:space="preserve">       9.79</w:t>
            </w:r>
          </w:p>
        </w:tc>
      </w:tr>
      <w:tr w:rsidR="00000000">
        <w:tblPrEx>
          <w:tblCellMar>
            <w:top w:w="0" w:type="dxa"/>
            <w:bottom w:w="0" w:type="dxa"/>
          </w:tblCellMar>
        </w:tblPrEx>
        <w:tc>
          <w:tcPr>
            <w:tcW w:w="1700" w:type="dxa"/>
            <w:tcBorders>
              <w:top w:val="nil"/>
              <w:bottom w:val="nil"/>
            </w:tcBorders>
          </w:tcPr>
          <w:p w:rsidR="00000000" w:rsidRDefault="00000000">
            <w:pPr>
              <w:rPr>
                <w:kern w:val="20"/>
                <w:sz w:val="18"/>
              </w:rPr>
            </w:pPr>
            <w:r>
              <w:rPr>
                <w:kern w:val="20"/>
                <w:sz w:val="18"/>
              </w:rPr>
              <w:t>Inactive</w:t>
            </w:r>
          </w:p>
        </w:tc>
        <w:tc>
          <w:tcPr>
            <w:tcW w:w="992" w:type="dxa"/>
            <w:tcBorders>
              <w:top w:val="nil"/>
              <w:bottom w:val="nil"/>
            </w:tcBorders>
          </w:tcPr>
          <w:p w:rsidR="00000000" w:rsidRDefault="00000000">
            <w:pPr>
              <w:rPr>
                <w:kern w:val="20"/>
                <w:sz w:val="18"/>
              </w:rPr>
            </w:pPr>
            <w:r>
              <w:rPr>
                <w:kern w:val="20"/>
                <w:sz w:val="18"/>
              </w:rPr>
              <w:t xml:space="preserve">      32.10</w:t>
            </w:r>
          </w:p>
        </w:tc>
        <w:tc>
          <w:tcPr>
            <w:tcW w:w="891" w:type="dxa"/>
            <w:gridSpan w:val="2"/>
            <w:tcBorders>
              <w:top w:val="nil"/>
              <w:bottom w:val="nil"/>
            </w:tcBorders>
          </w:tcPr>
          <w:p w:rsidR="00000000" w:rsidRDefault="00000000">
            <w:pPr>
              <w:jc w:val="center"/>
              <w:rPr>
                <w:kern w:val="20"/>
                <w:sz w:val="18"/>
              </w:rPr>
            </w:pPr>
            <w:r>
              <w:rPr>
                <w:kern w:val="20"/>
                <w:sz w:val="18"/>
              </w:rPr>
              <w:t>33</w:t>
            </w:r>
          </w:p>
        </w:tc>
        <w:tc>
          <w:tcPr>
            <w:tcW w:w="709" w:type="dxa"/>
            <w:tcBorders>
              <w:top w:val="nil"/>
              <w:bottom w:val="nil"/>
            </w:tcBorders>
          </w:tcPr>
          <w:p w:rsidR="00000000" w:rsidRDefault="00000000">
            <w:pPr>
              <w:rPr>
                <w:kern w:val="20"/>
                <w:sz w:val="18"/>
              </w:rPr>
            </w:pPr>
            <w:r>
              <w:rPr>
                <w:kern w:val="20"/>
                <w:sz w:val="18"/>
              </w:rPr>
              <w:t xml:space="preserve">   0.14</w:t>
            </w:r>
          </w:p>
        </w:tc>
        <w:tc>
          <w:tcPr>
            <w:tcW w:w="850" w:type="dxa"/>
            <w:tcBorders>
              <w:top w:val="nil"/>
              <w:bottom w:val="nil"/>
            </w:tcBorders>
          </w:tcPr>
          <w:p w:rsidR="00000000" w:rsidRDefault="00000000">
            <w:pPr>
              <w:rPr>
                <w:kern w:val="20"/>
                <w:sz w:val="18"/>
              </w:rPr>
            </w:pPr>
            <w:r>
              <w:rPr>
                <w:kern w:val="20"/>
                <w:sz w:val="18"/>
              </w:rPr>
              <w:t xml:space="preserve">     0.09</w:t>
            </w:r>
          </w:p>
        </w:tc>
        <w:tc>
          <w:tcPr>
            <w:tcW w:w="993" w:type="dxa"/>
            <w:tcBorders>
              <w:top w:val="nil"/>
              <w:bottom w:val="nil"/>
            </w:tcBorders>
          </w:tcPr>
          <w:p w:rsidR="00000000" w:rsidRDefault="00000000">
            <w:pPr>
              <w:rPr>
                <w:kern w:val="20"/>
                <w:sz w:val="18"/>
              </w:rPr>
            </w:pPr>
            <w:r>
              <w:rPr>
                <w:kern w:val="20"/>
                <w:sz w:val="18"/>
              </w:rPr>
              <w:t xml:space="preserve">      30.83</w:t>
            </w:r>
          </w:p>
        </w:tc>
        <w:tc>
          <w:tcPr>
            <w:tcW w:w="708" w:type="dxa"/>
            <w:tcBorders>
              <w:top w:val="nil"/>
              <w:bottom w:val="nil"/>
            </w:tcBorders>
          </w:tcPr>
          <w:p w:rsidR="00000000" w:rsidRDefault="00000000">
            <w:pPr>
              <w:rPr>
                <w:kern w:val="20"/>
                <w:sz w:val="18"/>
              </w:rPr>
            </w:pPr>
            <w:r>
              <w:rPr>
                <w:kern w:val="20"/>
                <w:sz w:val="18"/>
              </w:rPr>
              <w:t xml:space="preserve">   29.96</w:t>
            </w:r>
          </w:p>
        </w:tc>
        <w:tc>
          <w:tcPr>
            <w:tcW w:w="851" w:type="dxa"/>
            <w:tcBorders>
              <w:top w:val="nil"/>
              <w:bottom w:val="nil"/>
            </w:tcBorders>
          </w:tcPr>
          <w:p w:rsidR="00000000" w:rsidRDefault="00000000">
            <w:pPr>
              <w:rPr>
                <w:kern w:val="20"/>
                <w:sz w:val="18"/>
              </w:rPr>
            </w:pPr>
            <w:r>
              <w:rPr>
                <w:kern w:val="20"/>
                <w:sz w:val="18"/>
              </w:rPr>
              <w:t xml:space="preserve">    29.73</w:t>
            </w:r>
          </w:p>
        </w:tc>
        <w:tc>
          <w:tcPr>
            <w:tcW w:w="953" w:type="dxa"/>
            <w:tcBorders>
              <w:top w:val="nil"/>
              <w:bottom w:val="nil"/>
            </w:tcBorders>
          </w:tcPr>
          <w:p w:rsidR="00000000" w:rsidRDefault="00000000">
            <w:pPr>
              <w:rPr>
                <w:kern w:val="20"/>
                <w:sz w:val="18"/>
              </w:rPr>
            </w:pPr>
            <w:r>
              <w:rPr>
                <w:kern w:val="20"/>
                <w:sz w:val="18"/>
              </w:rPr>
              <w:t xml:space="preserve">       13</w:t>
            </w:r>
          </w:p>
        </w:tc>
        <w:tc>
          <w:tcPr>
            <w:tcW w:w="751" w:type="dxa"/>
            <w:tcBorders>
              <w:top w:val="nil"/>
              <w:bottom w:val="nil"/>
            </w:tcBorders>
          </w:tcPr>
          <w:p w:rsidR="00000000" w:rsidRDefault="00000000">
            <w:pPr>
              <w:rPr>
                <w:kern w:val="20"/>
                <w:sz w:val="18"/>
              </w:rPr>
            </w:pPr>
            <w:r>
              <w:rPr>
                <w:kern w:val="20"/>
                <w:sz w:val="18"/>
              </w:rPr>
              <w:t xml:space="preserve">    0.06</w:t>
            </w:r>
          </w:p>
        </w:tc>
        <w:tc>
          <w:tcPr>
            <w:tcW w:w="808" w:type="dxa"/>
            <w:tcBorders>
              <w:top w:val="nil"/>
              <w:bottom w:val="nil"/>
            </w:tcBorders>
          </w:tcPr>
          <w:p w:rsidR="00000000" w:rsidRDefault="00000000">
            <w:pPr>
              <w:rPr>
                <w:kern w:val="20"/>
                <w:sz w:val="18"/>
              </w:rPr>
            </w:pPr>
            <w:r>
              <w:rPr>
                <w:kern w:val="20"/>
                <w:sz w:val="18"/>
              </w:rPr>
              <w:t xml:space="preserve">    0.04</w:t>
            </w:r>
          </w:p>
        </w:tc>
        <w:tc>
          <w:tcPr>
            <w:tcW w:w="892" w:type="dxa"/>
            <w:tcBorders>
              <w:top w:val="nil"/>
              <w:bottom w:val="nil"/>
            </w:tcBorders>
          </w:tcPr>
          <w:p w:rsidR="00000000" w:rsidRDefault="00000000">
            <w:pPr>
              <w:rPr>
                <w:kern w:val="20"/>
                <w:sz w:val="18"/>
              </w:rPr>
            </w:pPr>
            <w:r>
              <w:rPr>
                <w:kern w:val="20"/>
                <w:sz w:val="18"/>
              </w:rPr>
              <w:t xml:space="preserve">     29.02</w:t>
            </w:r>
          </w:p>
        </w:tc>
        <w:tc>
          <w:tcPr>
            <w:tcW w:w="777" w:type="dxa"/>
            <w:tcBorders>
              <w:top w:val="nil"/>
              <w:bottom w:val="nil"/>
            </w:tcBorders>
          </w:tcPr>
          <w:p w:rsidR="00000000" w:rsidRDefault="00000000">
            <w:pPr>
              <w:rPr>
                <w:kern w:val="20"/>
                <w:sz w:val="18"/>
              </w:rPr>
            </w:pPr>
            <w:r>
              <w:rPr>
                <w:kern w:val="20"/>
                <w:sz w:val="18"/>
              </w:rPr>
              <w:t xml:space="preserve">    29.34</w:t>
            </w:r>
          </w:p>
        </w:tc>
        <w:tc>
          <w:tcPr>
            <w:tcW w:w="851" w:type="dxa"/>
            <w:tcBorders>
              <w:top w:val="nil"/>
              <w:bottom w:val="nil"/>
            </w:tcBorders>
          </w:tcPr>
          <w:p w:rsidR="00000000" w:rsidRDefault="00000000">
            <w:pPr>
              <w:rPr>
                <w:kern w:val="20"/>
                <w:sz w:val="18"/>
              </w:rPr>
            </w:pPr>
            <w:r>
              <w:rPr>
                <w:kern w:val="20"/>
                <w:sz w:val="18"/>
              </w:rPr>
              <w:t xml:space="preserve">     30.56</w:t>
            </w:r>
          </w:p>
        </w:tc>
      </w:tr>
      <w:tr w:rsidR="00000000">
        <w:tblPrEx>
          <w:tblCellMar>
            <w:top w:w="0" w:type="dxa"/>
            <w:bottom w:w="0" w:type="dxa"/>
          </w:tblCellMar>
        </w:tblPrEx>
        <w:tc>
          <w:tcPr>
            <w:tcW w:w="1700" w:type="dxa"/>
            <w:tcBorders>
              <w:top w:val="nil"/>
            </w:tcBorders>
          </w:tcPr>
          <w:p w:rsidR="00000000" w:rsidRDefault="00000000">
            <w:pPr>
              <w:rPr>
                <w:kern w:val="20"/>
                <w:sz w:val="18"/>
              </w:rPr>
            </w:pPr>
            <w:r>
              <w:rPr>
                <w:kern w:val="20"/>
                <w:sz w:val="18"/>
              </w:rPr>
              <w:t>Children (0</w:t>
            </w:r>
            <w:r>
              <w:rPr>
                <w:kern w:val="20"/>
                <w:sz w:val="18"/>
              </w:rPr>
              <w:noBreakHyphen/>
              <w:t>9)</w:t>
            </w:r>
          </w:p>
        </w:tc>
        <w:tc>
          <w:tcPr>
            <w:tcW w:w="992" w:type="dxa"/>
            <w:tcBorders>
              <w:top w:val="nil"/>
            </w:tcBorders>
          </w:tcPr>
          <w:p w:rsidR="00000000" w:rsidRDefault="00000000">
            <w:pPr>
              <w:rPr>
                <w:kern w:val="20"/>
                <w:sz w:val="18"/>
              </w:rPr>
            </w:pPr>
            <w:r>
              <w:rPr>
                <w:kern w:val="20"/>
                <w:sz w:val="18"/>
              </w:rPr>
              <w:t xml:space="preserve">      20.10</w:t>
            </w:r>
          </w:p>
        </w:tc>
        <w:tc>
          <w:tcPr>
            <w:tcW w:w="891" w:type="dxa"/>
            <w:gridSpan w:val="2"/>
            <w:tcBorders>
              <w:top w:val="nil"/>
            </w:tcBorders>
          </w:tcPr>
          <w:p w:rsidR="00000000" w:rsidRDefault="00000000">
            <w:pPr>
              <w:jc w:val="center"/>
              <w:rPr>
                <w:kern w:val="20"/>
                <w:sz w:val="18"/>
              </w:rPr>
            </w:pPr>
            <w:r>
              <w:rPr>
                <w:kern w:val="20"/>
                <w:sz w:val="18"/>
              </w:rPr>
              <w:t>49</w:t>
            </w:r>
          </w:p>
        </w:tc>
        <w:tc>
          <w:tcPr>
            <w:tcW w:w="709" w:type="dxa"/>
            <w:tcBorders>
              <w:top w:val="nil"/>
            </w:tcBorders>
          </w:tcPr>
          <w:p w:rsidR="00000000" w:rsidRDefault="00000000">
            <w:pPr>
              <w:rPr>
                <w:kern w:val="20"/>
                <w:sz w:val="18"/>
              </w:rPr>
            </w:pPr>
            <w:r>
              <w:rPr>
                <w:kern w:val="20"/>
                <w:sz w:val="18"/>
              </w:rPr>
              <w:t xml:space="preserve">   0.24</w:t>
            </w:r>
          </w:p>
        </w:tc>
        <w:tc>
          <w:tcPr>
            <w:tcW w:w="850" w:type="dxa"/>
            <w:tcBorders>
              <w:top w:val="nil"/>
            </w:tcBorders>
          </w:tcPr>
          <w:p w:rsidR="00000000" w:rsidRDefault="00000000">
            <w:pPr>
              <w:rPr>
                <w:kern w:val="20"/>
                <w:sz w:val="18"/>
              </w:rPr>
            </w:pPr>
            <w:r>
              <w:rPr>
                <w:kern w:val="20"/>
                <w:sz w:val="18"/>
              </w:rPr>
              <w:t xml:space="preserve">     0.15</w:t>
            </w:r>
          </w:p>
        </w:tc>
        <w:tc>
          <w:tcPr>
            <w:tcW w:w="993" w:type="dxa"/>
            <w:tcBorders>
              <w:top w:val="nil"/>
            </w:tcBorders>
          </w:tcPr>
          <w:p w:rsidR="00000000" w:rsidRDefault="00000000">
            <w:pPr>
              <w:rPr>
                <w:kern w:val="20"/>
                <w:sz w:val="18"/>
              </w:rPr>
            </w:pPr>
            <w:r>
              <w:rPr>
                <w:kern w:val="20"/>
                <w:sz w:val="18"/>
              </w:rPr>
              <w:t xml:space="preserve">      29.27</w:t>
            </w:r>
          </w:p>
        </w:tc>
        <w:tc>
          <w:tcPr>
            <w:tcW w:w="708" w:type="dxa"/>
            <w:tcBorders>
              <w:top w:val="nil"/>
            </w:tcBorders>
          </w:tcPr>
          <w:p w:rsidR="00000000" w:rsidRDefault="00000000">
            <w:pPr>
              <w:rPr>
                <w:kern w:val="20"/>
                <w:sz w:val="18"/>
              </w:rPr>
            </w:pPr>
            <w:r>
              <w:rPr>
                <w:kern w:val="20"/>
                <w:sz w:val="18"/>
              </w:rPr>
              <w:t xml:space="preserve">   31.58</w:t>
            </w:r>
          </w:p>
        </w:tc>
        <w:tc>
          <w:tcPr>
            <w:tcW w:w="851" w:type="dxa"/>
            <w:tcBorders>
              <w:top w:val="nil"/>
            </w:tcBorders>
          </w:tcPr>
          <w:p w:rsidR="00000000" w:rsidRDefault="00000000">
            <w:pPr>
              <w:rPr>
                <w:kern w:val="20"/>
                <w:sz w:val="18"/>
              </w:rPr>
            </w:pPr>
            <w:r>
              <w:rPr>
                <w:kern w:val="20"/>
                <w:sz w:val="18"/>
              </w:rPr>
              <w:t xml:space="preserve">    32.75</w:t>
            </w:r>
          </w:p>
        </w:tc>
        <w:tc>
          <w:tcPr>
            <w:tcW w:w="953" w:type="dxa"/>
            <w:tcBorders>
              <w:top w:val="nil"/>
            </w:tcBorders>
          </w:tcPr>
          <w:p w:rsidR="00000000" w:rsidRDefault="00000000">
            <w:pPr>
              <w:rPr>
                <w:kern w:val="20"/>
                <w:sz w:val="18"/>
              </w:rPr>
            </w:pPr>
            <w:r>
              <w:rPr>
                <w:kern w:val="20"/>
                <w:sz w:val="18"/>
              </w:rPr>
              <w:t xml:space="preserve">       25</w:t>
            </w:r>
          </w:p>
        </w:tc>
        <w:tc>
          <w:tcPr>
            <w:tcW w:w="751" w:type="dxa"/>
            <w:tcBorders>
              <w:top w:val="nil"/>
            </w:tcBorders>
          </w:tcPr>
          <w:p w:rsidR="00000000" w:rsidRDefault="00000000">
            <w:pPr>
              <w:rPr>
                <w:kern w:val="20"/>
                <w:sz w:val="18"/>
              </w:rPr>
            </w:pPr>
            <w:r>
              <w:rPr>
                <w:kern w:val="20"/>
                <w:sz w:val="18"/>
              </w:rPr>
              <w:t xml:space="preserve">    0.11</w:t>
            </w:r>
          </w:p>
        </w:tc>
        <w:tc>
          <w:tcPr>
            <w:tcW w:w="808" w:type="dxa"/>
            <w:tcBorders>
              <w:top w:val="nil"/>
            </w:tcBorders>
          </w:tcPr>
          <w:p w:rsidR="00000000" w:rsidRDefault="00000000">
            <w:pPr>
              <w:rPr>
                <w:kern w:val="20"/>
                <w:sz w:val="18"/>
              </w:rPr>
            </w:pPr>
            <w:r>
              <w:rPr>
                <w:kern w:val="20"/>
                <w:sz w:val="18"/>
              </w:rPr>
              <w:t xml:space="preserve">    0.07</w:t>
            </w:r>
          </w:p>
        </w:tc>
        <w:tc>
          <w:tcPr>
            <w:tcW w:w="892" w:type="dxa"/>
            <w:tcBorders>
              <w:top w:val="nil"/>
            </w:tcBorders>
          </w:tcPr>
          <w:p w:rsidR="00000000" w:rsidRDefault="00000000">
            <w:pPr>
              <w:rPr>
                <w:kern w:val="20"/>
                <w:sz w:val="18"/>
              </w:rPr>
            </w:pPr>
            <w:r>
              <w:rPr>
                <w:kern w:val="20"/>
                <w:sz w:val="18"/>
              </w:rPr>
              <w:t xml:space="preserve">     33.38</w:t>
            </w:r>
          </w:p>
        </w:tc>
        <w:tc>
          <w:tcPr>
            <w:tcW w:w="777" w:type="dxa"/>
            <w:tcBorders>
              <w:top w:val="nil"/>
            </w:tcBorders>
          </w:tcPr>
          <w:p w:rsidR="00000000" w:rsidRDefault="00000000">
            <w:pPr>
              <w:rPr>
                <w:kern w:val="20"/>
                <w:sz w:val="18"/>
              </w:rPr>
            </w:pPr>
            <w:r>
              <w:rPr>
                <w:kern w:val="20"/>
                <w:sz w:val="18"/>
              </w:rPr>
              <w:t xml:space="preserve">    34.19</w:t>
            </w:r>
          </w:p>
        </w:tc>
        <w:tc>
          <w:tcPr>
            <w:tcW w:w="851" w:type="dxa"/>
            <w:tcBorders>
              <w:top w:val="nil"/>
            </w:tcBorders>
          </w:tcPr>
          <w:p w:rsidR="00000000" w:rsidRDefault="00000000">
            <w:pPr>
              <w:rPr>
                <w:kern w:val="20"/>
                <w:sz w:val="18"/>
              </w:rPr>
            </w:pPr>
            <w:r>
              <w:rPr>
                <w:kern w:val="20"/>
                <w:sz w:val="18"/>
              </w:rPr>
              <w:t xml:space="preserve">     34.06</w:t>
            </w:r>
          </w:p>
        </w:tc>
      </w:tr>
      <w:tr w:rsidR="00000000">
        <w:tblPrEx>
          <w:tblCellMar>
            <w:top w:w="0" w:type="dxa"/>
            <w:bottom w:w="0" w:type="dxa"/>
          </w:tblCellMar>
        </w:tblPrEx>
        <w:trPr>
          <w:cantSplit/>
        </w:trPr>
        <w:tc>
          <w:tcPr>
            <w:tcW w:w="1700" w:type="dxa"/>
          </w:tcPr>
          <w:p w:rsidR="00000000" w:rsidRDefault="00000000">
            <w:pPr>
              <w:rPr>
                <w:b/>
                <w:bCs/>
                <w:kern w:val="20"/>
                <w:sz w:val="18"/>
              </w:rPr>
            </w:pPr>
            <w:r>
              <w:rPr>
                <w:b/>
                <w:bCs/>
                <w:kern w:val="20"/>
                <w:sz w:val="18"/>
              </w:rPr>
              <w:t>Position in employment</w:t>
            </w:r>
          </w:p>
        </w:tc>
        <w:tc>
          <w:tcPr>
            <w:tcW w:w="11026" w:type="dxa"/>
            <w:gridSpan w:val="14"/>
          </w:tcPr>
          <w:p w:rsidR="00000000" w:rsidRDefault="00000000">
            <w:pPr>
              <w:rPr>
                <w:kern w:val="20"/>
                <w:sz w:val="18"/>
              </w:rPr>
            </w:pPr>
          </w:p>
        </w:tc>
      </w:tr>
      <w:tr w:rsidR="00000000">
        <w:tblPrEx>
          <w:tblCellMar>
            <w:top w:w="0" w:type="dxa"/>
            <w:bottom w:w="0" w:type="dxa"/>
          </w:tblCellMar>
        </w:tblPrEx>
        <w:tc>
          <w:tcPr>
            <w:tcW w:w="1700" w:type="dxa"/>
            <w:tcBorders>
              <w:bottom w:val="nil"/>
            </w:tcBorders>
          </w:tcPr>
          <w:p w:rsidR="00000000" w:rsidRDefault="00000000">
            <w:pPr>
              <w:rPr>
                <w:kern w:val="20"/>
                <w:sz w:val="18"/>
              </w:rPr>
            </w:pPr>
            <w:r>
              <w:rPr>
                <w:kern w:val="20"/>
                <w:sz w:val="18"/>
              </w:rPr>
              <w:t>Employed</w:t>
            </w:r>
          </w:p>
        </w:tc>
        <w:tc>
          <w:tcPr>
            <w:tcW w:w="992" w:type="dxa"/>
            <w:tcBorders>
              <w:bottom w:val="nil"/>
            </w:tcBorders>
          </w:tcPr>
          <w:p w:rsidR="00000000" w:rsidRDefault="00000000">
            <w:pPr>
              <w:rPr>
                <w:kern w:val="20"/>
                <w:sz w:val="18"/>
              </w:rPr>
            </w:pPr>
            <w:r>
              <w:rPr>
                <w:kern w:val="20"/>
                <w:sz w:val="18"/>
              </w:rPr>
              <w:t xml:space="preserve">     44.00</w:t>
            </w:r>
          </w:p>
        </w:tc>
        <w:tc>
          <w:tcPr>
            <w:tcW w:w="891" w:type="dxa"/>
            <w:gridSpan w:val="2"/>
            <w:tcBorders>
              <w:bottom w:val="nil"/>
            </w:tcBorders>
          </w:tcPr>
          <w:p w:rsidR="00000000" w:rsidRDefault="00000000">
            <w:pPr>
              <w:jc w:val="center"/>
              <w:rPr>
                <w:kern w:val="20"/>
                <w:sz w:val="18"/>
              </w:rPr>
            </w:pPr>
            <w:r>
              <w:rPr>
                <w:kern w:val="20"/>
                <w:sz w:val="18"/>
              </w:rPr>
              <w:t>27</w:t>
            </w:r>
          </w:p>
        </w:tc>
        <w:tc>
          <w:tcPr>
            <w:tcW w:w="709" w:type="dxa"/>
            <w:tcBorders>
              <w:bottom w:val="nil"/>
            </w:tcBorders>
          </w:tcPr>
          <w:p w:rsidR="00000000" w:rsidRDefault="00000000">
            <w:pPr>
              <w:rPr>
                <w:kern w:val="20"/>
                <w:sz w:val="18"/>
              </w:rPr>
            </w:pPr>
            <w:r>
              <w:rPr>
                <w:kern w:val="20"/>
                <w:sz w:val="18"/>
              </w:rPr>
              <w:t xml:space="preserve">   0.11</w:t>
            </w:r>
          </w:p>
        </w:tc>
        <w:tc>
          <w:tcPr>
            <w:tcW w:w="850" w:type="dxa"/>
            <w:tcBorders>
              <w:bottom w:val="nil"/>
            </w:tcBorders>
          </w:tcPr>
          <w:p w:rsidR="00000000" w:rsidRDefault="00000000">
            <w:pPr>
              <w:rPr>
                <w:kern w:val="20"/>
                <w:sz w:val="18"/>
              </w:rPr>
            </w:pPr>
            <w:r>
              <w:rPr>
                <w:kern w:val="20"/>
                <w:sz w:val="18"/>
              </w:rPr>
              <w:t xml:space="preserve">     0.07</w:t>
            </w:r>
          </w:p>
        </w:tc>
        <w:tc>
          <w:tcPr>
            <w:tcW w:w="993" w:type="dxa"/>
            <w:tcBorders>
              <w:bottom w:val="nil"/>
            </w:tcBorders>
          </w:tcPr>
          <w:p w:rsidR="00000000" w:rsidRDefault="00000000">
            <w:pPr>
              <w:rPr>
                <w:kern w:val="20"/>
                <w:sz w:val="18"/>
              </w:rPr>
            </w:pPr>
            <w:r>
              <w:rPr>
                <w:kern w:val="20"/>
                <w:sz w:val="18"/>
              </w:rPr>
              <w:t xml:space="preserve">      35.04</w:t>
            </w:r>
          </w:p>
        </w:tc>
        <w:tc>
          <w:tcPr>
            <w:tcW w:w="708" w:type="dxa"/>
            <w:tcBorders>
              <w:bottom w:val="nil"/>
            </w:tcBorders>
          </w:tcPr>
          <w:p w:rsidR="00000000" w:rsidRDefault="00000000">
            <w:pPr>
              <w:rPr>
                <w:kern w:val="20"/>
                <w:sz w:val="18"/>
              </w:rPr>
            </w:pPr>
            <w:r>
              <w:rPr>
                <w:kern w:val="20"/>
                <w:sz w:val="18"/>
              </w:rPr>
              <w:t xml:space="preserve">   32.84</w:t>
            </w:r>
          </w:p>
        </w:tc>
        <w:tc>
          <w:tcPr>
            <w:tcW w:w="851" w:type="dxa"/>
            <w:tcBorders>
              <w:bottom w:val="nil"/>
            </w:tcBorders>
          </w:tcPr>
          <w:p w:rsidR="00000000" w:rsidRDefault="00000000">
            <w:pPr>
              <w:rPr>
                <w:kern w:val="20"/>
                <w:sz w:val="18"/>
              </w:rPr>
            </w:pPr>
            <w:r>
              <w:rPr>
                <w:kern w:val="20"/>
                <w:sz w:val="18"/>
              </w:rPr>
              <w:t xml:space="preserve">    31.03</w:t>
            </w:r>
          </w:p>
        </w:tc>
        <w:tc>
          <w:tcPr>
            <w:tcW w:w="953" w:type="dxa"/>
            <w:tcBorders>
              <w:bottom w:val="nil"/>
            </w:tcBorders>
          </w:tcPr>
          <w:p w:rsidR="00000000" w:rsidRDefault="00000000">
            <w:pPr>
              <w:rPr>
                <w:kern w:val="20"/>
                <w:sz w:val="18"/>
              </w:rPr>
            </w:pPr>
            <w:r>
              <w:rPr>
                <w:kern w:val="20"/>
                <w:sz w:val="18"/>
              </w:rPr>
              <w:t xml:space="preserve">       11</w:t>
            </w:r>
          </w:p>
        </w:tc>
        <w:tc>
          <w:tcPr>
            <w:tcW w:w="751" w:type="dxa"/>
            <w:tcBorders>
              <w:bottom w:val="nil"/>
            </w:tcBorders>
          </w:tcPr>
          <w:p w:rsidR="00000000" w:rsidRDefault="00000000">
            <w:pPr>
              <w:rPr>
                <w:kern w:val="20"/>
                <w:sz w:val="18"/>
              </w:rPr>
            </w:pPr>
            <w:r>
              <w:rPr>
                <w:kern w:val="20"/>
                <w:sz w:val="18"/>
              </w:rPr>
              <w:t xml:space="preserve">    0.04</w:t>
            </w:r>
          </w:p>
        </w:tc>
        <w:tc>
          <w:tcPr>
            <w:tcW w:w="808" w:type="dxa"/>
            <w:tcBorders>
              <w:bottom w:val="nil"/>
            </w:tcBorders>
          </w:tcPr>
          <w:p w:rsidR="00000000" w:rsidRDefault="00000000">
            <w:pPr>
              <w:rPr>
                <w:kern w:val="20"/>
                <w:sz w:val="18"/>
              </w:rPr>
            </w:pPr>
            <w:r>
              <w:rPr>
                <w:kern w:val="20"/>
                <w:sz w:val="18"/>
              </w:rPr>
              <w:t xml:space="preserve">    0.02</w:t>
            </w:r>
          </w:p>
        </w:tc>
        <w:tc>
          <w:tcPr>
            <w:tcW w:w="892" w:type="dxa"/>
            <w:tcBorders>
              <w:bottom w:val="nil"/>
            </w:tcBorders>
          </w:tcPr>
          <w:p w:rsidR="00000000" w:rsidRDefault="00000000">
            <w:pPr>
              <w:rPr>
                <w:kern w:val="20"/>
                <w:sz w:val="18"/>
              </w:rPr>
            </w:pPr>
            <w:r>
              <w:rPr>
                <w:kern w:val="20"/>
                <w:sz w:val="18"/>
              </w:rPr>
              <w:t xml:space="preserve">     31.97</w:t>
            </w:r>
          </w:p>
        </w:tc>
        <w:tc>
          <w:tcPr>
            <w:tcW w:w="777" w:type="dxa"/>
            <w:tcBorders>
              <w:bottom w:val="nil"/>
            </w:tcBorders>
          </w:tcPr>
          <w:p w:rsidR="00000000" w:rsidRDefault="00000000">
            <w:pPr>
              <w:rPr>
                <w:kern w:val="20"/>
                <w:sz w:val="18"/>
              </w:rPr>
            </w:pPr>
            <w:r>
              <w:rPr>
                <w:kern w:val="20"/>
                <w:sz w:val="18"/>
              </w:rPr>
              <w:t xml:space="preserve">   28.87</w:t>
            </w:r>
          </w:p>
        </w:tc>
        <w:tc>
          <w:tcPr>
            <w:tcW w:w="851" w:type="dxa"/>
            <w:tcBorders>
              <w:bottom w:val="nil"/>
            </w:tcBorders>
          </w:tcPr>
          <w:p w:rsidR="00000000" w:rsidRDefault="00000000">
            <w:pPr>
              <w:rPr>
                <w:kern w:val="20"/>
                <w:sz w:val="18"/>
              </w:rPr>
            </w:pPr>
            <w:r>
              <w:rPr>
                <w:kern w:val="20"/>
                <w:sz w:val="18"/>
              </w:rPr>
              <w:t xml:space="preserve">     25.62</w:t>
            </w:r>
          </w:p>
        </w:tc>
      </w:tr>
      <w:tr w:rsidR="00000000">
        <w:tblPrEx>
          <w:tblCellMar>
            <w:top w:w="0" w:type="dxa"/>
            <w:bottom w:w="0" w:type="dxa"/>
          </w:tblCellMar>
        </w:tblPrEx>
        <w:tc>
          <w:tcPr>
            <w:tcW w:w="1700" w:type="dxa"/>
            <w:tcBorders>
              <w:top w:val="nil"/>
              <w:bottom w:val="nil"/>
            </w:tcBorders>
          </w:tcPr>
          <w:p w:rsidR="00000000" w:rsidRDefault="00000000">
            <w:pPr>
              <w:rPr>
                <w:kern w:val="20"/>
                <w:sz w:val="18"/>
              </w:rPr>
            </w:pPr>
            <w:r>
              <w:rPr>
                <w:kern w:val="20"/>
                <w:sz w:val="18"/>
              </w:rPr>
              <w:t>Subsistence</w:t>
            </w:r>
          </w:p>
        </w:tc>
        <w:tc>
          <w:tcPr>
            <w:tcW w:w="992" w:type="dxa"/>
            <w:tcBorders>
              <w:top w:val="nil"/>
              <w:bottom w:val="nil"/>
            </w:tcBorders>
          </w:tcPr>
          <w:p w:rsidR="00000000" w:rsidRDefault="00000000">
            <w:pPr>
              <w:rPr>
                <w:kern w:val="20"/>
                <w:sz w:val="18"/>
              </w:rPr>
            </w:pPr>
            <w:r>
              <w:rPr>
                <w:kern w:val="20"/>
                <w:sz w:val="18"/>
              </w:rPr>
              <w:t xml:space="preserve">       2.00</w:t>
            </w:r>
          </w:p>
        </w:tc>
        <w:tc>
          <w:tcPr>
            <w:tcW w:w="891" w:type="dxa"/>
            <w:gridSpan w:val="2"/>
            <w:tcBorders>
              <w:top w:val="nil"/>
              <w:bottom w:val="nil"/>
            </w:tcBorders>
          </w:tcPr>
          <w:p w:rsidR="00000000" w:rsidRDefault="00000000">
            <w:pPr>
              <w:jc w:val="center"/>
              <w:rPr>
                <w:kern w:val="20"/>
                <w:sz w:val="18"/>
              </w:rPr>
            </w:pPr>
            <w:r>
              <w:rPr>
                <w:kern w:val="20"/>
                <w:sz w:val="18"/>
              </w:rPr>
              <w:t>53</w:t>
            </w:r>
          </w:p>
        </w:tc>
        <w:tc>
          <w:tcPr>
            <w:tcW w:w="709" w:type="dxa"/>
            <w:tcBorders>
              <w:top w:val="nil"/>
              <w:bottom w:val="nil"/>
            </w:tcBorders>
          </w:tcPr>
          <w:p w:rsidR="00000000" w:rsidRDefault="00000000">
            <w:pPr>
              <w:rPr>
                <w:kern w:val="20"/>
                <w:sz w:val="18"/>
              </w:rPr>
            </w:pPr>
            <w:r>
              <w:rPr>
                <w:kern w:val="20"/>
                <w:sz w:val="18"/>
              </w:rPr>
              <w:t xml:space="preserve">   0.27</w:t>
            </w:r>
          </w:p>
        </w:tc>
        <w:tc>
          <w:tcPr>
            <w:tcW w:w="850" w:type="dxa"/>
            <w:tcBorders>
              <w:top w:val="nil"/>
              <w:bottom w:val="nil"/>
            </w:tcBorders>
          </w:tcPr>
          <w:p w:rsidR="00000000" w:rsidRDefault="00000000">
            <w:pPr>
              <w:rPr>
                <w:kern w:val="20"/>
                <w:sz w:val="18"/>
              </w:rPr>
            </w:pPr>
            <w:r>
              <w:rPr>
                <w:kern w:val="20"/>
                <w:sz w:val="18"/>
              </w:rPr>
              <w:t xml:space="preserve">     0.18</w:t>
            </w:r>
          </w:p>
        </w:tc>
        <w:tc>
          <w:tcPr>
            <w:tcW w:w="993" w:type="dxa"/>
            <w:tcBorders>
              <w:top w:val="nil"/>
              <w:bottom w:val="nil"/>
            </w:tcBorders>
          </w:tcPr>
          <w:p w:rsidR="00000000" w:rsidRDefault="00000000">
            <w:pPr>
              <w:rPr>
                <w:kern w:val="20"/>
                <w:sz w:val="18"/>
              </w:rPr>
            </w:pPr>
            <w:r>
              <w:rPr>
                <w:kern w:val="20"/>
                <w:sz w:val="18"/>
              </w:rPr>
              <w:t xml:space="preserve">        3.13</w:t>
            </w:r>
          </w:p>
        </w:tc>
        <w:tc>
          <w:tcPr>
            <w:tcW w:w="708" w:type="dxa"/>
            <w:tcBorders>
              <w:top w:val="nil"/>
              <w:bottom w:val="nil"/>
            </w:tcBorders>
          </w:tcPr>
          <w:p w:rsidR="00000000" w:rsidRDefault="00000000">
            <w:pPr>
              <w:rPr>
                <w:kern w:val="20"/>
                <w:sz w:val="18"/>
              </w:rPr>
            </w:pPr>
            <w:r>
              <w:rPr>
                <w:kern w:val="20"/>
                <w:sz w:val="18"/>
              </w:rPr>
              <w:t xml:space="preserve">     3.55</w:t>
            </w:r>
          </w:p>
        </w:tc>
        <w:tc>
          <w:tcPr>
            <w:tcW w:w="851" w:type="dxa"/>
            <w:tcBorders>
              <w:top w:val="nil"/>
              <w:bottom w:val="nil"/>
            </w:tcBorders>
          </w:tcPr>
          <w:p w:rsidR="00000000" w:rsidRDefault="00000000">
            <w:pPr>
              <w:rPr>
                <w:kern w:val="20"/>
                <w:sz w:val="18"/>
              </w:rPr>
            </w:pPr>
            <w:r>
              <w:rPr>
                <w:kern w:val="20"/>
                <w:sz w:val="18"/>
              </w:rPr>
              <w:t xml:space="preserve">      3.86</w:t>
            </w:r>
          </w:p>
        </w:tc>
        <w:tc>
          <w:tcPr>
            <w:tcW w:w="953" w:type="dxa"/>
            <w:tcBorders>
              <w:top w:val="nil"/>
              <w:bottom w:val="nil"/>
            </w:tcBorders>
          </w:tcPr>
          <w:p w:rsidR="00000000" w:rsidRDefault="00000000">
            <w:pPr>
              <w:rPr>
                <w:kern w:val="20"/>
                <w:sz w:val="18"/>
              </w:rPr>
            </w:pPr>
            <w:r>
              <w:rPr>
                <w:kern w:val="20"/>
                <w:sz w:val="18"/>
              </w:rPr>
              <w:t xml:space="preserve">       28</w:t>
            </w:r>
          </w:p>
        </w:tc>
        <w:tc>
          <w:tcPr>
            <w:tcW w:w="751" w:type="dxa"/>
            <w:tcBorders>
              <w:top w:val="nil"/>
              <w:bottom w:val="nil"/>
            </w:tcBorders>
          </w:tcPr>
          <w:p w:rsidR="00000000" w:rsidRDefault="00000000">
            <w:pPr>
              <w:rPr>
                <w:kern w:val="20"/>
                <w:sz w:val="18"/>
              </w:rPr>
            </w:pPr>
            <w:r>
              <w:rPr>
                <w:kern w:val="20"/>
                <w:sz w:val="18"/>
              </w:rPr>
              <w:t xml:space="preserve">    0.14</w:t>
            </w:r>
          </w:p>
        </w:tc>
        <w:tc>
          <w:tcPr>
            <w:tcW w:w="808" w:type="dxa"/>
            <w:tcBorders>
              <w:top w:val="nil"/>
              <w:bottom w:val="nil"/>
            </w:tcBorders>
          </w:tcPr>
          <w:p w:rsidR="00000000" w:rsidRDefault="00000000">
            <w:pPr>
              <w:rPr>
                <w:kern w:val="20"/>
                <w:sz w:val="18"/>
              </w:rPr>
            </w:pPr>
            <w:r>
              <w:rPr>
                <w:kern w:val="20"/>
                <w:sz w:val="18"/>
              </w:rPr>
              <w:t xml:space="preserve">    0.09</w:t>
            </w:r>
          </w:p>
        </w:tc>
        <w:tc>
          <w:tcPr>
            <w:tcW w:w="892" w:type="dxa"/>
            <w:tcBorders>
              <w:top w:val="nil"/>
              <w:bottom w:val="nil"/>
            </w:tcBorders>
          </w:tcPr>
          <w:p w:rsidR="00000000" w:rsidRDefault="00000000">
            <w:pPr>
              <w:rPr>
                <w:kern w:val="20"/>
                <w:sz w:val="18"/>
              </w:rPr>
            </w:pPr>
            <w:r>
              <w:rPr>
                <w:kern w:val="20"/>
                <w:sz w:val="18"/>
              </w:rPr>
              <w:t xml:space="preserve">       3.74</w:t>
            </w:r>
          </w:p>
        </w:tc>
        <w:tc>
          <w:tcPr>
            <w:tcW w:w="777" w:type="dxa"/>
            <w:tcBorders>
              <w:top w:val="nil"/>
              <w:bottom w:val="nil"/>
            </w:tcBorders>
          </w:tcPr>
          <w:p w:rsidR="00000000" w:rsidRDefault="00000000">
            <w:pPr>
              <w:rPr>
                <w:kern w:val="20"/>
                <w:sz w:val="18"/>
              </w:rPr>
            </w:pPr>
            <w:r>
              <w:rPr>
                <w:kern w:val="20"/>
                <w:sz w:val="18"/>
              </w:rPr>
              <w:t xml:space="preserve">     4.30</w:t>
            </w:r>
          </w:p>
        </w:tc>
        <w:tc>
          <w:tcPr>
            <w:tcW w:w="851" w:type="dxa"/>
            <w:tcBorders>
              <w:top w:val="nil"/>
              <w:bottom w:val="nil"/>
            </w:tcBorders>
          </w:tcPr>
          <w:p w:rsidR="00000000" w:rsidRDefault="00000000">
            <w:pPr>
              <w:rPr>
                <w:kern w:val="20"/>
                <w:sz w:val="18"/>
              </w:rPr>
            </w:pPr>
            <w:r>
              <w:rPr>
                <w:kern w:val="20"/>
                <w:sz w:val="18"/>
              </w:rPr>
              <w:t xml:space="preserve">       4.69</w:t>
            </w:r>
          </w:p>
        </w:tc>
      </w:tr>
      <w:tr w:rsidR="00000000">
        <w:tblPrEx>
          <w:tblCellMar>
            <w:top w:w="0" w:type="dxa"/>
            <w:bottom w:w="0" w:type="dxa"/>
          </w:tblCellMar>
        </w:tblPrEx>
        <w:tc>
          <w:tcPr>
            <w:tcW w:w="1700" w:type="dxa"/>
            <w:tcBorders>
              <w:top w:val="nil"/>
              <w:bottom w:val="nil"/>
            </w:tcBorders>
          </w:tcPr>
          <w:p w:rsidR="00000000" w:rsidRDefault="00000000">
            <w:pPr>
              <w:rPr>
                <w:kern w:val="20"/>
                <w:sz w:val="18"/>
              </w:rPr>
            </w:pPr>
            <w:r>
              <w:rPr>
                <w:kern w:val="20"/>
                <w:sz w:val="18"/>
              </w:rPr>
              <w:t>Registered</w:t>
            </w:r>
          </w:p>
        </w:tc>
        <w:tc>
          <w:tcPr>
            <w:tcW w:w="992" w:type="dxa"/>
            <w:tcBorders>
              <w:top w:val="nil"/>
              <w:bottom w:val="nil"/>
            </w:tcBorders>
          </w:tcPr>
          <w:p w:rsidR="00000000" w:rsidRDefault="00000000">
            <w:pPr>
              <w:rPr>
                <w:kern w:val="20"/>
                <w:sz w:val="18"/>
              </w:rPr>
            </w:pPr>
            <w:r>
              <w:rPr>
                <w:kern w:val="20"/>
                <w:sz w:val="18"/>
              </w:rPr>
              <w:t xml:space="preserve">     12.10</w:t>
            </w:r>
          </w:p>
        </w:tc>
        <w:tc>
          <w:tcPr>
            <w:tcW w:w="891" w:type="dxa"/>
            <w:gridSpan w:val="2"/>
            <w:tcBorders>
              <w:top w:val="nil"/>
              <w:bottom w:val="nil"/>
            </w:tcBorders>
          </w:tcPr>
          <w:p w:rsidR="00000000" w:rsidRDefault="00000000">
            <w:pPr>
              <w:jc w:val="center"/>
              <w:rPr>
                <w:kern w:val="20"/>
                <w:sz w:val="18"/>
              </w:rPr>
            </w:pPr>
            <w:r>
              <w:rPr>
                <w:kern w:val="20"/>
                <w:sz w:val="18"/>
              </w:rPr>
              <w:t>14</w:t>
            </w:r>
          </w:p>
        </w:tc>
        <w:tc>
          <w:tcPr>
            <w:tcW w:w="709" w:type="dxa"/>
            <w:tcBorders>
              <w:top w:val="nil"/>
              <w:bottom w:val="nil"/>
            </w:tcBorders>
          </w:tcPr>
          <w:p w:rsidR="00000000" w:rsidRDefault="00000000">
            <w:pPr>
              <w:rPr>
                <w:kern w:val="20"/>
                <w:sz w:val="18"/>
              </w:rPr>
            </w:pPr>
            <w:r>
              <w:rPr>
                <w:kern w:val="20"/>
                <w:sz w:val="18"/>
              </w:rPr>
              <w:t xml:space="preserve">   0.04</w:t>
            </w:r>
          </w:p>
        </w:tc>
        <w:tc>
          <w:tcPr>
            <w:tcW w:w="850" w:type="dxa"/>
            <w:tcBorders>
              <w:top w:val="nil"/>
              <w:bottom w:val="nil"/>
            </w:tcBorders>
          </w:tcPr>
          <w:p w:rsidR="00000000" w:rsidRDefault="00000000">
            <w:pPr>
              <w:rPr>
                <w:kern w:val="20"/>
                <w:sz w:val="18"/>
              </w:rPr>
            </w:pPr>
            <w:r>
              <w:rPr>
                <w:kern w:val="20"/>
                <w:sz w:val="18"/>
              </w:rPr>
              <w:t xml:space="preserve">     0.02</w:t>
            </w:r>
          </w:p>
        </w:tc>
        <w:tc>
          <w:tcPr>
            <w:tcW w:w="993" w:type="dxa"/>
            <w:tcBorders>
              <w:top w:val="nil"/>
              <w:bottom w:val="nil"/>
            </w:tcBorders>
          </w:tcPr>
          <w:p w:rsidR="00000000" w:rsidRDefault="00000000">
            <w:pPr>
              <w:rPr>
                <w:kern w:val="20"/>
                <w:sz w:val="18"/>
              </w:rPr>
            </w:pPr>
            <w:r>
              <w:rPr>
                <w:kern w:val="20"/>
                <w:sz w:val="18"/>
              </w:rPr>
              <w:t xml:space="preserve">        4.95</w:t>
            </w:r>
          </w:p>
        </w:tc>
        <w:tc>
          <w:tcPr>
            <w:tcW w:w="708" w:type="dxa"/>
            <w:tcBorders>
              <w:top w:val="nil"/>
              <w:bottom w:val="nil"/>
            </w:tcBorders>
          </w:tcPr>
          <w:p w:rsidR="00000000" w:rsidRDefault="00000000">
            <w:pPr>
              <w:rPr>
                <w:kern w:val="20"/>
                <w:sz w:val="18"/>
              </w:rPr>
            </w:pPr>
            <w:r>
              <w:rPr>
                <w:kern w:val="20"/>
                <w:sz w:val="18"/>
              </w:rPr>
              <w:t xml:space="preserve">     3.26</w:t>
            </w:r>
          </w:p>
        </w:tc>
        <w:tc>
          <w:tcPr>
            <w:tcW w:w="851" w:type="dxa"/>
            <w:tcBorders>
              <w:top w:val="nil"/>
              <w:bottom w:val="nil"/>
            </w:tcBorders>
          </w:tcPr>
          <w:p w:rsidR="00000000" w:rsidRDefault="00000000">
            <w:pPr>
              <w:rPr>
                <w:kern w:val="20"/>
                <w:sz w:val="18"/>
              </w:rPr>
            </w:pPr>
            <w:r>
              <w:rPr>
                <w:kern w:val="20"/>
                <w:sz w:val="18"/>
              </w:rPr>
              <w:t xml:space="preserve">      2.32</w:t>
            </w:r>
          </w:p>
        </w:tc>
        <w:tc>
          <w:tcPr>
            <w:tcW w:w="953" w:type="dxa"/>
            <w:tcBorders>
              <w:top w:val="nil"/>
              <w:bottom w:val="nil"/>
            </w:tcBorders>
          </w:tcPr>
          <w:p w:rsidR="00000000" w:rsidRDefault="00000000">
            <w:pPr>
              <w:rPr>
                <w:kern w:val="20"/>
                <w:sz w:val="18"/>
              </w:rPr>
            </w:pPr>
            <w:r>
              <w:rPr>
                <w:kern w:val="20"/>
                <w:sz w:val="18"/>
              </w:rPr>
              <w:t xml:space="preserve">         3</w:t>
            </w:r>
          </w:p>
        </w:tc>
        <w:tc>
          <w:tcPr>
            <w:tcW w:w="751" w:type="dxa"/>
            <w:tcBorders>
              <w:top w:val="nil"/>
              <w:bottom w:val="nil"/>
            </w:tcBorders>
          </w:tcPr>
          <w:p w:rsidR="00000000" w:rsidRDefault="00000000">
            <w:pPr>
              <w:rPr>
                <w:kern w:val="20"/>
                <w:sz w:val="18"/>
              </w:rPr>
            </w:pPr>
            <w:r>
              <w:rPr>
                <w:kern w:val="20"/>
                <w:sz w:val="18"/>
              </w:rPr>
              <w:t xml:space="preserve">    0.01</w:t>
            </w:r>
          </w:p>
        </w:tc>
        <w:tc>
          <w:tcPr>
            <w:tcW w:w="808" w:type="dxa"/>
            <w:tcBorders>
              <w:top w:val="nil"/>
              <w:bottom w:val="nil"/>
            </w:tcBorders>
          </w:tcPr>
          <w:p w:rsidR="00000000" w:rsidRDefault="00000000">
            <w:pPr>
              <w:rPr>
                <w:kern w:val="20"/>
                <w:sz w:val="18"/>
              </w:rPr>
            </w:pPr>
            <w:r>
              <w:rPr>
                <w:kern w:val="20"/>
                <w:sz w:val="18"/>
              </w:rPr>
              <w:t xml:space="preserve">    0.00</w:t>
            </w:r>
          </w:p>
        </w:tc>
        <w:tc>
          <w:tcPr>
            <w:tcW w:w="892" w:type="dxa"/>
            <w:tcBorders>
              <w:top w:val="nil"/>
              <w:bottom w:val="nil"/>
            </w:tcBorders>
          </w:tcPr>
          <w:p w:rsidR="00000000" w:rsidRDefault="00000000">
            <w:pPr>
              <w:rPr>
                <w:kern w:val="20"/>
                <w:sz w:val="18"/>
              </w:rPr>
            </w:pPr>
            <w:r>
              <w:rPr>
                <w:kern w:val="20"/>
                <w:sz w:val="18"/>
              </w:rPr>
              <w:t xml:space="preserve">       2.27</w:t>
            </w:r>
          </w:p>
        </w:tc>
        <w:tc>
          <w:tcPr>
            <w:tcW w:w="777" w:type="dxa"/>
            <w:tcBorders>
              <w:top w:val="nil"/>
              <w:bottom w:val="nil"/>
            </w:tcBorders>
          </w:tcPr>
          <w:p w:rsidR="00000000" w:rsidRDefault="00000000">
            <w:pPr>
              <w:rPr>
                <w:kern w:val="20"/>
                <w:sz w:val="18"/>
              </w:rPr>
            </w:pPr>
            <w:r>
              <w:rPr>
                <w:kern w:val="20"/>
                <w:sz w:val="18"/>
              </w:rPr>
              <w:t xml:space="preserve">     1.17</w:t>
            </w:r>
          </w:p>
        </w:tc>
        <w:tc>
          <w:tcPr>
            <w:tcW w:w="851" w:type="dxa"/>
            <w:tcBorders>
              <w:top w:val="nil"/>
              <w:bottom w:val="nil"/>
            </w:tcBorders>
          </w:tcPr>
          <w:p w:rsidR="00000000" w:rsidRDefault="00000000">
            <w:pPr>
              <w:rPr>
                <w:kern w:val="20"/>
                <w:sz w:val="18"/>
              </w:rPr>
            </w:pPr>
            <w:r>
              <w:rPr>
                <w:kern w:val="20"/>
                <w:sz w:val="18"/>
              </w:rPr>
              <w:t xml:space="preserve">       0.64</w:t>
            </w:r>
          </w:p>
        </w:tc>
      </w:tr>
      <w:tr w:rsidR="00000000">
        <w:tblPrEx>
          <w:tblCellMar>
            <w:top w:w="0" w:type="dxa"/>
            <w:bottom w:w="0" w:type="dxa"/>
          </w:tblCellMar>
        </w:tblPrEx>
        <w:tc>
          <w:tcPr>
            <w:tcW w:w="1700" w:type="dxa"/>
            <w:tcBorders>
              <w:top w:val="nil"/>
              <w:bottom w:val="nil"/>
            </w:tcBorders>
          </w:tcPr>
          <w:p w:rsidR="00000000" w:rsidRDefault="00000000">
            <w:pPr>
              <w:rPr>
                <w:kern w:val="20"/>
                <w:sz w:val="18"/>
              </w:rPr>
            </w:pPr>
            <w:r>
              <w:rPr>
                <w:kern w:val="20"/>
                <w:sz w:val="18"/>
              </w:rPr>
              <w:t>Self</w:t>
            </w:r>
            <w:r>
              <w:rPr>
                <w:kern w:val="20"/>
                <w:sz w:val="18"/>
              </w:rPr>
              <w:noBreakHyphen/>
              <w:t>employed</w:t>
            </w:r>
          </w:p>
        </w:tc>
        <w:tc>
          <w:tcPr>
            <w:tcW w:w="992" w:type="dxa"/>
            <w:tcBorders>
              <w:top w:val="nil"/>
              <w:bottom w:val="nil"/>
            </w:tcBorders>
          </w:tcPr>
          <w:p w:rsidR="00000000" w:rsidRDefault="00000000">
            <w:pPr>
              <w:rPr>
                <w:kern w:val="20"/>
                <w:sz w:val="18"/>
              </w:rPr>
            </w:pPr>
            <w:r>
              <w:rPr>
                <w:kern w:val="20"/>
                <w:sz w:val="18"/>
              </w:rPr>
              <w:t xml:space="preserve">     10.00</w:t>
            </w:r>
          </w:p>
        </w:tc>
        <w:tc>
          <w:tcPr>
            <w:tcW w:w="891" w:type="dxa"/>
            <w:gridSpan w:val="2"/>
            <w:tcBorders>
              <w:top w:val="nil"/>
              <w:bottom w:val="nil"/>
            </w:tcBorders>
          </w:tcPr>
          <w:p w:rsidR="00000000" w:rsidRDefault="00000000">
            <w:pPr>
              <w:jc w:val="center"/>
              <w:rPr>
                <w:kern w:val="20"/>
                <w:sz w:val="18"/>
              </w:rPr>
            </w:pPr>
            <w:r>
              <w:rPr>
                <w:kern w:val="20"/>
                <w:sz w:val="18"/>
              </w:rPr>
              <w:t>30</w:t>
            </w:r>
          </w:p>
        </w:tc>
        <w:tc>
          <w:tcPr>
            <w:tcW w:w="709" w:type="dxa"/>
            <w:tcBorders>
              <w:top w:val="nil"/>
              <w:bottom w:val="nil"/>
            </w:tcBorders>
          </w:tcPr>
          <w:p w:rsidR="00000000" w:rsidRDefault="00000000">
            <w:pPr>
              <w:rPr>
                <w:kern w:val="20"/>
                <w:sz w:val="18"/>
              </w:rPr>
            </w:pPr>
            <w:r>
              <w:rPr>
                <w:kern w:val="20"/>
                <w:sz w:val="18"/>
              </w:rPr>
              <w:t xml:space="preserve">   0.13</w:t>
            </w:r>
          </w:p>
        </w:tc>
        <w:tc>
          <w:tcPr>
            <w:tcW w:w="850" w:type="dxa"/>
            <w:tcBorders>
              <w:top w:val="nil"/>
              <w:bottom w:val="nil"/>
            </w:tcBorders>
          </w:tcPr>
          <w:p w:rsidR="00000000" w:rsidRDefault="00000000">
            <w:pPr>
              <w:rPr>
                <w:kern w:val="20"/>
                <w:sz w:val="18"/>
              </w:rPr>
            </w:pPr>
            <w:r>
              <w:rPr>
                <w:kern w:val="20"/>
                <w:sz w:val="18"/>
              </w:rPr>
              <w:t xml:space="preserve">     0.08</w:t>
            </w:r>
          </w:p>
        </w:tc>
        <w:tc>
          <w:tcPr>
            <w:tcW w:w="993" w:type="dxa"/>
            <w:tcBorders>
              <w:top w:val="nil"/>
              <w:bottom w:val="nil"/>
            </w:tcBorders>
          </w:tcPr>
          <w:p w:rsidR="00000000" w:rsidRDefault="00000000">
            <w:pPr>
              <w:rPr>
                <w:kern w:val="20"/>
                <w:sz w:val="18"/>
              </w:rPr>
            </w:pPr>
            <w:r>
              <w:rPr>
                <w:kern w:val="20"/>
                <w:sz w:val="18"/>
              </w:rPr>
              <w:t xml:space="preserve">        8.81</w:t>
            </w:r>
          </w:p>
        </w:tc>
        <w:tc>
          <w:tcPr>
            <w:tcW w:w="708" w:type="dxa"/>
            <w:tcBorders>
              <w:top w:val="nil"/>
              <w:bottom w:val="nil"/>
            </w:tcBorders>
          </w:tcPr>
          <w:p w:rsidR="00000000" w:rsidRDefault="00000000">
            <w:pPr>
              <w:rPr>
                <w:kern w:val="20"/>
                <w:sz w:val="18"/>
              </w:rPr>
            </w:pPr>
            <w:r>
              <w:rPr>
                <w:kern w:val="20"/>
                <w:sz w:val="18"/>
              </w:rPr>
              <w:t xml:space="preserve">     8.71</w:t>
            </w:r>
          </w:p>
        </w:tc>
        <w:tc>
          <w:tcPr>
            <w:tcW w:w="851" w:type="dxa"/>
            <w:tcBorders>
              <w:top w:val="nil"/>
              <w:bottom w:val="nil"/>
            </w:tcBorders>
          </w:tcPr>
          <w:p w:rsidR="00000000" w:rsidRDefault="00000000">
            <w:pPr>
              <w:rPr>
                <w:kern w:val="20"/>
                <w:sz w:val="18"/>
              </w:rPr>
            </w:pPr>
            <w:r>
              <w:rPr>
                <w:kern w:val="20"/>
                <w:sz w:val="18"/>
              </w:rPr>
              <w:t xml:space="preserve">      8.46</w:t>
            </w:r>
          </w:p>
        </w:tc>
        <w:tc>
          <w:tcPr>
            <w:tcW w:w="953" w:type="dxa"/>
            <w:tcBorders>
              <w:top w:val="nil"/>
              <w:bottom w:val="nil"/>
            </w:tcBorders>
          </w:tcPr>
          <w:p w:rsidR="00000000" w:rsidRDefault="00000000">
            <w:pPr>
              <w:rPr>
                <w:kern w:val="20"/>
                <w:sz w:val="18"/>
              </w:rPr>
            </w:pPr>
            <w:r>
              <w:rPr>
                <w:kern w:val="20"/>
                <w:sz w:val="18"/>
              </w:rPr>
              <w:t xml:space="preserve">       13</w:t>
            </w:r>
          </w:p>
        </w:tc>
        <w:tc>
          <w:tcPr>
            <w:tcW w:w="751" w:type="dxa"/>
            <w:tcBorders>
              <w:top w:val="nil"/>
              <w:bottom w:val="nil"/>
            </w:tcBorders>
          </w:tcPr>
          <w:p w:rsidR="00000000" w:rsidRDefault="00000000">
            <w:pPr>
              <w:rPr>
                <w:kern w:val="20"/>
                <w:sz w:val="18"/>
              </w:rPr>
            </w:pPr>
            <w:r>
              <w:rPr>
                <w:kern w:val="20"/>
                <w:sz w:val="18"/>
              </w:rPr>
              <w:t xml:space="preserve">    0.05</w:t>
            </w:r>
          </w:p>
        </w:tc>
        <w:tc>
          <w:tcPr>
            <w:tcW w:w="808" w:type="dxa"/>
            <w:tcBorders>
              <w:top w:val="nil"/>
              <w:bottom w:val="nil"/>
            </w:tcBorders>
          </w:tcPr>
          <w:p w:rsidR="00000000" w:rsidRDefault="00000000">
            <w:pPr>
              <w:rPr>
                <w:kern w:val="20"/>
                <w:sz w:val="18"/>
              </w:rPr>
            </w:pPr>
            <w:r>
              <w:rPr>
                <w:kern w:val="20"/>
                <w:sz w:val="18"/>
              </w:rPr>
              <w:t xml:space="preserve">    0.03</w:t>
            </w:r>
          </w:p>
        </w:tc>
        <w:tc>
          <w:tcPr>
            <w:tcW w:w="892" w:type="dxa"/>
            <w:tcBorders>
              <w:top w:val="nil"/>
              <w:bottom w:val="nil"/>
            </w:tcBorders>
          </w:tcPr>
          <w:p w:rsidR="00000000" w:rsidRDefault="00000000">
            <w:pPr>
              <w:rPr>
                <w:kern w:val="20"/>
                <w:sz w:val="18"/>
              </w:rPr>
            </w:pPr>
            <w:r>
              <w:rPr>
                <w:kern w:val="20"/>
                <w:sz w:val="18"/>
              </w:rPr>
              <w:t xml:space="preserve">       8.85</w:t>
            </w:r>
          </w:p>
        </w:tc>
        <w:tc>
          <w:tcPr>
            <w:tcW w:w="777" w:type="dxa"/>
            <w:tcBorders>
              <w:top w:val="nil"/>
              <w:bottom w:val="nil"/>
            </w:tcBorders>
          </w:tcPr>
          <w:p w:rsidR="00000000" w:rsidRDefault="00000000">
            <w:pPr>
              <w:rPr>
                <w:kern w:val="20"/>
                <w:sz w:val="18"/>
              </w:rPr>
            </w:pPr>
            <w:r>
              <w:rPr>
                <w:kern w:val="20"/>
                <w:sz w:val="18"/>
              </w:rPr>
              <w:t xml:space="preserve">     8.22</w:t>
            </w:r>
          </w:p>
        </w:tc>
        <w:tc>
          <w:tcPr>
            <w:tcW w:w="851" w:type="dxa"/>
            <w:tcBorders>
              <w:top w:val="nil"/>
              <w:bottom w:val="nil"/>
            </w:tcBorders>
          </w:tcPr>
          <w:p w:rsidR="00000000" w:rsidRDefault="00000000">
            <w:pPr>
              <w:rPr>
                <w:kern w:val="20"/>
                <w:sz w:val="18"/>
              </w:rPr>
            </w:pPr>
            <w:r>
              <w:rPr>
                <w:kern w:val="20"/>
                <w:sz w:val="18"/>
              </w:rPr>
              <w:t xml:space="preserve">       7.25</w:t>
            </w:r>
          </w:p>
        </w:tc>
      </w:tr>
      <w:tr w:rsidR="00000000">
        <w:tblPrEx>
          <w:tblCellMar>
            <w:top w:w="0" w:type="dxa"/>
            <w:bottom w:w="0" w:type="dxa"/>
          </w:tblCellMar>
        </w:tblPrEx>
        <w:tc>
          <w:tcPr>
            <w:tcW w:w="1700" w:type="dxa"/>
            <w:tcBorders>
              <w:top w:val="nil"/>
              <w:bottom w:val="nil"/>
            </w:tcBorders>
          </w:tcPr>
          <w:p w:rsidR="00000000" w:rsidRDefault="00000000">
            <w:pPr>
              <w:rPr>
                <w:kern w:val="20"/>
                <w:sz w:val="18"/>
              </w:rPr>
            </w:pPr>
            <w:r>
              <w:rPr>
                <w:kern w:val="20"/>
                <w:sz w:val="18"/>
              </w:rPr>
              <w:t>Employer</w:t>
            </w:r>
          </w:p>
        </w:tc>
        <w:tc>
          <w:tcPr>
            <w:tcW w:w="992" w:type="dxa"/>
            <w:tcBorders>
              <w:top w:val="nil"/>
              <w:bottom w:val="nil"/>
            </w:tcBorders>
          </w:tcPr>
          <w:p w:rsidR="00000000" w:rsidRDefault="00000000">
            <w:pPr>
              <w:rPr>
                <w:kern w:val="20"/>
                <w:sz w:val="18"/>
              </w:rPr>
            </w:pPr>
            <w:r>
              <w:rPr>
                <w:kern w:val="20"/>
                <w:sz w:val="18"/>
              </w:rPr>
              <w:t xml:space="preserve">       1.80</w:t>
            </w:r>
          </w:p>
        </w:tc>
        <w:tc>
          <w:tcPr>
            <w:tcW w:w="891" w:type="dxa"/>
            <w:gridSpan w:val="2"/>
            <w:tcBorders>
              <w:top w:val="nil"/>
              <w:bottom w:val="nil"/>
            </w:tcBorders>
          </w:tcPr>
          <w:p w:rsidR="00000000" w:rsidRDefault="00000000">
            <w:pPr>
              <w:jc w:val="center"/>
              <w:rPr>
                <w:kern w:val="20"/>
                <w:sz w:val="18"/>
              </w:rPr>
            </w:pPr>
            <w:r>
              <w:rPr>
                <w:kern w:val="20"/>
                <w:sz w:val="18"/>
              </w:rPr>
              <w:t xml:space="preserve">  4</w:t>
            </w:r>
          </w:p>
        </w:tc>
        <w:tc>
          <w:tcPr>
            <w:tcW w:w="709" w:type="dxa"/>
            <w:tcBorders>
              <w:top w:val="nil"/>
              <w:bottom w:val="nil"/>
            </w:tcBorders>
          </w:tcPr>
          <w:p w:rsidR="00000000" w:rsidRDefault="00000000">
            <w:pPr>
              <w:rPr>
                <w:kern w:val="20"/>
                <w:sz w:val="18"/>
              </w:rPr>
            </w:pPr>
            <w:r>
              <w:rPr>
                <w:kern w:val="20"/>
                <w:sz w:val="18"/>
              </w:rPr>
              <w:t xml:space="preserve">   0.01</w:t>
            </w:r>
          </w:p>
        </w:tc>
        <w:tc>
          <w:tcPr>
            <w:tcW w:w="850" w:type="dxa"/>
            <w:tcBorders>
              <w:top w:val="nil"/>
              <w:bottom w:val="nil"/>
            </w:tcBorders>
          </w:tcPr>
          <w:p w:rsidR="00000000" w:rsidRDefault="00000000">
            <w:pPr>
              <w:rPr>
                <w:kern w:val="20"/>
                <w:sz w:val="18"/>
              </w:rPr>
            </w:pPr>
            <w:r>
              <w:rPr>
                <w:kern w:val="20"/>
                <w:sz w:val="18"/>
              </w:rPr>
              <w:t xml:space="preserve">     0.01</w:t>
            </w:r>
          </w:p>
        </w:tc>
        <w:tc>
          <w:tcPr>
            <w:tcW w:w="993" w:type="dxa"/>
            <w:tcBorders>
              <w:top w:val="nil"/>
              <w:bottom w:val="nil"/>
            </w:tcBorders>
          </w:tcPr>
          <w:p w:rsidR="00000000" w:rsidRDefault="00000000">
            <w:pPr>
              <w:rPr>
                <w:kern w:val="20"/>
                <w:sz w:val="18"/>
              </w:rPr>
            </w:pPr>
            <w:r>
              <w:rPr>
                <w:kern w:val="20"/>
                <w:sz w:val="18"/>
              </w:rPr>
              <w:t xml:space="preserve">        0.21</w:t>
            </w:r>
          </w:p>
        </w:tc>
        <w:tc>
          <w:tcPr>
            <w:tcW w:w="708" w:type="dxa"/>
            <w:tcBorders>
              <w:top w:val="nil"/>
              <w:bottom w:val="nil"/>
            </w:tcBorders>
          </w:tcPr>
          <w:p w:rsidR="00000000" w:rsidRDefault="00000000">
            <w:pPr>
              <w:rPr>
                <w:kern w:val="20"/>
                <w:sz w:val="18"/>
              </w:rPr>
            </w:pPr>
            <w:r>
              <w:rPr>
                <w:kern w:val="20"/>
                <w:sz w:val="18"/>
              </w:rPr>
              <w:t xml:space="preserve">     0.15</w:t>
            </w:r>
          </w:p>
        </w:tc>
        <w:tc>
          <w:tcPr>
            <w:tcW w:w="851" w:type="dxa"/>
            <w:tcBorders>
              <w:top w:val="nil"/>
              <w:bottom w:val="nil"/>
            </w:tcBorders>
          </w:tcPr>
          <w:p w:rsidR="00000000" w:rsidRDefault="00000000">
            <w:pPr>
              <w:rPr>
                <w:kern w:val="20"/>
                <w:sz w:val="18"/>
              </w:rPr>
            </w:pPr>
            <w:r>
              <w:rPr>
                <w:kern w:val="20"/>
                <w:sz w:val="18"/>
              </w:rPr>
              <w:t xml:space="preserve">      0.13</w:t>
            </w:r>
          </w:p>
        </w:tc>
        <w:tc>
          <w:tcPr>
            <w:tcW w:w="953" w:type="dxa"/>
            <w:tcBorders>
              <w:top w:val="nil"/>
              <w:bottom w:val="nil"/>
            </w:tcBorders>
          </w:tcPr>
          <w:p w:rsidR="00000000" w:rsidRDefault="00000000">
            <w:pPr>
              <w:rPr>
                <w:kern w:val="20"/>
                <w:sz w:val="18"/>
              </w:rPr>
            </w:pPr>
            <w:r>
              <w:rPr>
                <w:kern w:val="20"/>
                <w:sz w:val="18"/>
              </w:rPr>
              <w:t xml:space="preserve">         1</w:t>
            </w:r>
          </w:p>
        </w:tc>
        <w:tc>
          <w:tcPr>
            <w:tcW w:w="751" w:type="dxa"/>
            <w:tcBorders>
              <w:top w:val="nil"/>
              <w:bottom w:val="nil"/>
            </w:tcBorders>
          </w:tcPr>
          <w:p w:rsidR="00000000" w:rsidRDefault="00000000">
            <w:pPr>
              <w:rPr>
                <w:kern w:val="20"/>
                <w:sz w:val="18"/>
              </w:rPr>
            </w:pPr>
            <w:r>
              <w:rPr>
                <w:kern w:val="20"/>
                <w:sz w:val="18"/>
              </w:rPr>
              <w:t xml:space="preserve">    0.00</w:t>
            </w:r>
          </w:p>
        </w:tc>
        <w:tc>
          <w:tcPr>
            <w:tcW w:w="808" w:type="dxa"/>
            <w:tcBorders>
              <w:top w:val="nil"/>
              <w:bottom w:val="nil"/>
            </w:tcBorders>
          </w:tcPr>
          <w:p w:rsidR="00000000" w:rsidRDefault="00000000">
            <w:pPr>
              <w:rPr>
                <w:kern w:val="20"/>
                <w:sz w:val="18"/>
              </w:rPr>
            </w:pPr>
            <w:r>
              <w:rPr>
                <w:kern w:val="20"/>
                <w:sz w:val="18"/>
              </w:rPr>
              <w:t xml:space="preserve">    0.00</w:t>
            </w:r>
          </w:p>
        </w:tc>
        <w:tc>
          <w:tcPr>
            <w:tcW w:w="892" w:type="dxa"/>
            <w:tcBorders>
              <w:top w:val="nil"/>
              <w:bottom w:val="nil"/>
            </w:tcBorders>
          </w:tcPr>
          <w:p w:rsidR="00000000" w:rsidRDefault="00000000">
            <w:pPr>
              <w:rPr>
                <w:kern w:val="20"/>
                <w:sz w:val="18"/>
              </w:rPr>
            </w:pPr>
            <w:r>
              <w:rPr>
                <w:kern w:val="20"/>
                <w:sz w:val="18"/>
              </w:rPr>
              <w:t xml:space="preserve">       0.13</w:t>
            </w:r>
          </w:p>
        </w:tc>
        <w:tc>
          <w:tcPr>
            <w:tcW w:w="777" w:type="dxa"/>
            <w:tcBorders>
              <w:top w:val="nil"/>
              <w:bottom w:val="nil"/>
            </w:tcBorders>
          </w:tcPr>
          <w:p w:rsidR="00000000" w:rsidRDefault="00000000">
            <w:pPr>
              <w:rPr>
                <w:kern w:val="20"/>
                <w:sz w:val="18"/>
              </w:rPr>
            </w:pPr>
            <w:r>
              <w:rPr>
                <w:kern w:val="20"/>
                <w:sz w:val="18"/>
              </w:rPr>
              <w:t xml:space="preserve">     0.11</w:t>
            </w:r>
          </w:p>
        </w:tc>
        <w:tc>
          <w:tcPr>
            <w:tcW w:w="851" w:type="dxa"/>
            <w:tcBorders>
              <w:top w:val="nil"/>
              <w:bottom w:val="nil"/>
            </w:tcBorders>
          </w:tcPr>
          <w:p w:rsidR="00000000" w:rsidRDefault="00000000">
            <w:pPr>
              <w:rPr>
                <w:kern w:val="20"/>
                <w:sz w:val="18"/>
              </w:rPr>
            </w:pPr>
            <w:r>
              <w:rPr>
                <w:kern w:val="20"/>
                <w:sz w:val="18"/>
              </w:rPr>
              <w:t xml:space="preserve">       0.09</w:t>
            </w:r>
          </w:p>
        </w:tc>
      </w:tr>
      <w:tr w:rsidR="00000000">
        <w:tblPrEx>
          <w:tblCellMar>
            <w:top w:w="0" w:type="dxa"/>
            <w:bottom w:w="0" w:type="dxa"/>
          </w:tblCellMar>
        </w:tblPrEx>
        <w:tc>
          <w:tcPr>
            <w:tcW w:w="1700" w:type="dxa"/>
            <w:tcBorders>
              <w:top w:val="nil"/>
              <w:bottom w:val="nil"/>
            </w:tcBorders>
          </w:tcPr>
          <w:p w:rsidR="00000000" w:rsidRDefault="00000000">
            <w:pPr>
              <w:rPr>
                <w:kern w:val="20"/>
                <w:sz w:val="18"/>
              </w:rPr>
            </w:pPr>
            <w:r>
              <w:rPr>
                <w:kern w:val="20"/>
                <w:sz w:val="18"/>
              </w:rPr>
              <w:t>Civil servant</w:t>
            </w:r>
          </w:p>
        </w:tc>
        <w:tc>
          <w:tcPr>
            <w:tcW w:w="992" w:type="dxa"/>
            <w:tcBorders>
              <w:top w:val="nil"/>
              <w:bottom w:val="nil"/>
            </w:tcBorders>
          </w:tcPr>
          <w:p w:rsidR="00000000" w:rsidRDefault="00000000">
            <w:pPr>
              <w:rPr>
                <w:kern w:val="20"/>
                <w:sz w:val="18"/>
              </w:rPr>
            </w:pPr>
            <w:r>
              <w:rPr>
                <w:kern w:val="20"/>
                <w:sz w:val="18"/>
              </w:rPr>
              <w:t xml:space="preserve">       4.90</w:t>
            </w:r>
          </w:p>
        </w:tc>
        <w:tc>
          <w:tcPr>
            <w:tcW w:w="891" w:type="dxa"/>
            <w:gridSpan w:val="2"/>
            <w:tcBorders>
              <w:top w:val="nil"/>
              <w:bottom w:val="nil"/>
            </w:tcBorders>
          </w:tcPr>
          <w:p w:rsidR="00000000" w:rsidRDefault="00000000">
            <w:pPr>
              <w:jc w:val="center"/>
              <w:rPr>
                <w:kern w:val="20"/>
                <w:sz w:val="18"/>
              </w:rPr>
            </w:pPr>
            <w:r>
              <w:rPr>
                <w:kern w:val="20"/>
                <w:sz w:val="18"/>
              </w:rPr>
              <w:t>13</w:t>
            </w:r>
          </w:p>
        </w:tc>
        <w:tc>
          <w:tcPr>
            <w:tcW w:w="709" w:type="dxa"/>
            <w:tcBorders>
              <w:top w:val="nil"/>
              <w:bottom w:val="nil"/>
            </w:tcBorders>
          </w:tcPr>
          <w:p w:rsidR="00000000" w:rsidRDefault="00000000">
            <w:pPr>
              <w:rPr>
                <w:kern w:val="20"/>
                <w:sz w:val="18"/>
              </w:rPr>
            </w:pPr>
            <w:r>
              <w:rPr>
                <w:kern w:val="20"/>
                <w:sz w:val="18"/>
              </w:rPr>
              <w:t xml:space="preserve">   0.05</w:t>
            </w:r>
          </w:p>
        </w:tc>
        <w:tc>
          <w:tcPr>
            <w:tcW w:w="850" w:type="dxa"/>
            <w:tcBorders>
              <w:top w:val="nil"/>
              <w:bottom w:val="nil"/>
            </w:tcBorders>
          </w:tcPr>
          <w:p w:rsidR="00000000" w:rsidRDefault="00000000">
            <w:pPr>
              <w:rPr>
                <w:kern w:val="20"/>
                <w:sz w:val="18"/>
              </w:rPr>
            </w:pPr>
            <w:r>
              <w:rPr>
                <w:kern w:val="20"/>
                <w:sz w:val="18"/>
              </w:rPr>
              <w:t xml:space="preserve">     0.02</w:t>
            </w:r>
          </w:p>
        </w:tc>
        <w:tc>
          <w:tcPr>
            <w:tcW w:w="993" w:type="dxa"/>
            <w:tcBorders>
              <w:top w:val="nil"/>
              <w:bottom w:val="nil"/>
            </w:tcBorders>
          </w:tcPr>
          <w:p w:rsidR="00000000" w:rsidRDefault="00000000">
            <w:pPr>
              <w:rPr>
                <w:kern w:val="20"/>
                <w:sz w:val="18"/>
              </w:rPr>
            </w:pPr>
            <w:r>
              <w:rPr>
                <w:kern w:val="20"/>
                <w:sz w:val="18"/>
              </w:rPr>
              <w:t xml:space="preserve">        1.84</w:t>
            </w:r>
          </w:p>
        </w:tc>
        <w:tc>
          <w:tcPr>
            <w:tcW w:w="708" w:type="dxa"/>
            <w:tcBorders>
              <w:top w:val="nil"/>
              <w:bottom w:val="nil"/>
            </w:tcBorders>
          </w:tcPr>
          <w:p w:rsidR="00000000" w:rsidRDefault="00000000">
            <w:pPr>
              <w:rPr>
                <w:kern w:val="20"/>
                <w:sz w:val="18"/>
              </w:rPr>
            </w:pPr>
            <w:r>
              <w:rPr>
                <w:kern w:val="20"/>
                <w:sz w:val="18"/>
              </w:rPr>
              <w:t xml:space="preserve">     1.43</w:t>
            </w:r>
          </w:p>
        </w:tc>
        <w:tc>
          <w:tcPr>
            <w:tcW w:w="851" w:type="dxa"/>
            <w:tcBorders>
              <w:top w:val="nil"/>
              <w:bottom w:val="nil"/>
            </w:tcBorders>
          </w:tcPr>
          <w:p w:rsidR="00000000" w:rsidRDefault="00000000">
            <w:pPr>
              <w:rPr>
                <w:kern w:val="20"/>
                <w:sz w:val="18"/>
              </w:rPr>
            </w:pPr>
            <w:r>
              <w:rPr>
                <w:kern w:val="20"/>
                <w:sz w:val="18"/>
              </w:rPr>
              <w:t xml:space="preserve">      1.15</w:t>
            </w:r>
          </w:p>
        </w:tc>
        <w:tc>
          <w:tcPr>
            <w:tcW w:w="953" w:type="dxa"/>
            <w:tcBorders>
              <w:top w:val="nil"/>
              <w:bottom w:val="nil"/>
            </w:tcBorders>
          </w:tcPr>
          <w:p w:rsidR="00000000" w:rsidRDefault="00000000">
            <w:pPr>
              <w:rPr>
                <w:kern w:val="20"/>
                <w:sz w:val="18"/>
              </w:rPr>
            </w:pPr>
            <w:r>
              <w:rPr>
                <w:kern w:val="20"/>
                <w:sz w:val="18"/>
              </w:rPr>
              <w:t xml:space="preserve">         4</w:t>
            </w:r>
          </w:p>
        </w:tc>
        <w:tc>
          <w:tcPr>
            <w:tcW w:w="751" w:type="dxa"/>
            <w:tcBorders>
              <w:top w:val="nil"/>
              <w:bottom w:val="nil"/>
            </w:tcBorders>
          </w:tcPr>
          <w:p w:rsidR="00000000" w:rsidRDefault="00000000">
            <w:pPr>
              <w:rPr>
                <w:kern w:val="20"/>
                <w:sz w:val="18"/>
              </w:rPr>
            </w:pPr>
            <w:r>
              <w:rPr>
                <w:kern w:val="20"/>
                <w:sz w:val="18"/>
              </w:rPr>
              <w:t xml:space="preserve">    0.01</w:t>
            </w:r>
          </w:p>
        </w:tc>
        <w:tc>
          <w:tcPr>
            <w:tcW w:w="808" w:type="dxa"/>
            <w:tcBorders>
              <w:top w:val="nil"/>
              <w:bottom w:val="nil"/>
            </w:tcBorders>
          </w:tcPr>
          <w:p w:rsidR="00000000" w:rsidRDefault="00000000">
            <w:pPr>
              <w:rPr>
                <w:kern w:val="20"/>
                <w:sz w:val="18"/>
              </w:rPr>
            </w:pPr>
            <w:r>
              <w:rPr>
                <w:kern w:val="20"/>
                <w:sz w:val="18"/>
              </w:rPr>
              <w:t xml:space="preserve">    0.00</w:t>
            </w:r>
          </w:p>
        </w:tc>
        <w:tc>
          <w:tcPr>
            <w:tcW w:w="892" w:type="dxa"/>
            <w:tcBorders>
              <w:top w:val="nil"/>
              <w:bottom w:val="nil"/>
            </w:tcBorders>
          </w:tcPr>
          <w:p w:rsidR="00000000" w:rsidRDefault="00000000">
            <w:pPr>
              <w:rPr>
                <w:kern w:val="20"/>
                <w:sz w:val="18"/>
              </w:rPr>
            </w:pPr>
            <w:r>
              <w:rPr>
                <w:kern w:val="20"/>
                <w:sz w:val="18"/>
              </w:rPr>
              <w:t xml:space="preserve">       1.20</w:t>
            </w:r>
          </w:p>
        </w:tc>
        <w:tc>
          <w:tcPr>
            <w:tcW w:w="777" w:type="dxa"/>
            <w:tcBorders>
              <w:top w:val="nil"/>
              <w:bottom w:val="nil"/>
            </w:tcBorders>
          </w:tcPr>
          <w:p w:rsidR="00000000" w:rsidRDefault="00000000">
            <w:pPr>
              <w:rPr>
                <w:kern w:val="20"/>
                <w:sz w:val="18"/>
              </w:rPr>
            </w:pPr>
            <w:r>
              <w:rPr>
                <w:kern w:val="20"/>
                <w:sz w:val="18"/>
              </w:rPr>
              <w:t xml:space="preserve">     0.80</w:t>
            </w:r>
          </w:p>
        </w:tc>
        <w:tc>
          <w:tcPr>
            <w:tcW w:w="851" w:type="dxa"/>
            <w:tcBorders>
              <w:top w:val="nil"/>
              <w:bottom w:val="nil"/>
            </w:tcBorders>
          </w:tcPr>
          <w:p w:rsidR="00000000" w:rsidRDefault="00000000">
            <w:pPr>
              <w:rPr>
                <w:kern w:val="20"/>
                <w:sz w:val="18"/>
              </w:rPr>
            </w:pPr>
            <w:r>
              <w:rPr>
                <w:kern w:val="20"/>
                <w:sz w:val="18"/>
              </w:rPr>
              <w:t xml:space="preserve">       0.54</w:t>
            </w:r>
          </w:p>
        </w:tc>
      </w:tr>
      <w:tr w:rsidR="00000000">
        <w:tblPrEx>
          <w:tblCellMar>
            <w:top w:w="0" w:type="dxa"/>
            <w:bottom w:w="0" w:type="dxa"/>
          </w:tblCellMar>
        </w:tblPrEx>
        <w:tc>
          <w:tcPr>
            <w:tcW w:w="1700" w:type="dxa"/>
            <w:tcBorders>
              <w:top w:val="nil"/>
              <w:bottom w:val="nil"/>
            </w:tcBorders>
          </w:tcPr>
          <w:p w:rsidR="00000000" w:rsidRDefault="00000000">
            <w:pPr>
              <w:rPr>
                <w:kern w:val="20"/>
                <w:sz w:val="18"/>
              </w:rPr>
            </w:pPr>
            <w:r>
              <w:rPr>
                <w:kern w:val="20"/>
                <w:sz w:val="18"/>
              </w:rPr>
              <w:t>Unregistered</w:t>
            </w:r>
          </w:p>
        </w:tc>
        <w:tc>
          <w:tcPr>
            <w:tcW w:w="992" w:type="dxa"/>
            <w:tcBorders>
              <w:top w:val="nil"/>
              <w:bottom w:val="nil"/>
            </w:tcBorders>
          </w:tcPr>
          <w:p w:rsidR="00000000" w:rsidRDefault="00000000">
            <w:pPr>
              <w:rPr>
                <w:kern w:val="20"/>
                <w:sz w:val="18"/>
              </w:rPr>
            </w:pPr>
            <w:r>
              <w:rPr>
                <w:kern w:val="20"/>
                <w:sz w:val="18"/>
              </w:rPr>
              <w:t xml:space="preserve">       9.20</w:t>
            </w:r>
          </w:p>
        </w:tc>
        <w:tc>
          <w:tcPr>
            <w:tcW w:w="891" w:type="dxa"/>
            <w:gridSpan w:val="2"/>
            <w:tcBorders>
              <w:top w:val="nil"/>
              <w:bottom w:val="nil"/>
            </w:tcBorders>
          </w:tcPr>
          <w:p w:rsidR="00000000" w:rsidRDefault="00000000">
            <w:pPr>
              <w:jc w:val="center"/>
              <w:rPr>
                <w:kern w:val="20"/>
                <w:sz w:val="18"/>
              </w:rPr>
            </w:pPr>
            <w:r>
              <w:rPr>
                <w:kern w:val="20"/>
                <w:sz w:val="18"/>
              </w:rPr>
              <w:t>36</w:t>
            </w:r>
          </w:p>
        </w:tc>
        <w:tc>
          <w:tcPr>
            <w:tcW w:w="709" w:type="dxa"/>
            <w:tcBorders>
              <w:top w:val="nil"/>
              <w:bottom w:val="nil"/>
            </w:tcBorders>
          </w:tcPr>
          <w:p w:rsidR="00000000" w:rsidRDefault="00000000">
            <w:pPr>
              <w:rPr>
                <w:kern w:val="20"/>
                <w:sz w:val="18"/>
              </w:rPr>
            </w:pPr>
            <w:r>
              <w:rPr>
                <w:kern w:val="20"/>
                <w:sz w:val="18"/>
              </w:rPr>
              <w:t xml:space="preserve">   0.14</w:t>
            </w:r>
          </w:p>
        </w:tc>
        <w:tc>
          <w:tcPr>
            <w:tcW w:w="850" w:type="dxa"/>
            <w:tcBorders>
              <w:top w:val="nil"/>
              <w:bottom w:val="nil"/>
            </w:tcBorders>
          </w:tcPr>
          <w:p w:rsidR="00000000" w:rsidRDefault="00000000">
            <w:pPr>
              <w:rPr>
                <w:kern w:val="20"/>
                <w:sz w:val="18"/>
              </w:rPr>
            </w:pPr>
            <w:r>
              <w:rPr>
                <w:kern w:val="20"/>
                <w:sz w:val="18"/>
              </w:rPr>
              <w:t xml:space="preserve">     0.07</w:t>
            </w:r>
          </w:p>
        </w:tc>
        <w:tc>
          <w:tcPr>
            <w:tcW w:w="993" w:type="dxa"/>
            <w:tcBorders>
              <w:top w:val="nil"/>
              <w:bottom w:val="nil"/>
            </w:tcBorders>
          </w:tcPr>
          <w:p w:rsidR="00000000" w:rsidRDefault="00000000">
            <w:pPr>
              <w:rPr>
                <w:kern w:val="20"/>
                <w:sz w:val="18"/>
              </w:rPr>
            </w:pPr>
            <w:r>
              <w:rPr>
                <w:kern w:val="20"/>
                <w:sz w:val="18"/>
              </w:rPr>
              <w:t xml:space="preserve">        9.70</w:t>
            </w:r>
          </w:p>
        </w:tc>
        <w:tc>
          <w:tcPr>
            <w:tcW w:w="708" w:type="dxa"/>
            <w:tcBorders>
              <w:top w:val="nil"/>
              <w:bottom w:val="nil"/>
            </w:tcBorders>
          </w:tcPr>
          <w:p w:rsidR="00000000" w:rsidRDefault="00000000">
            <w:pPr>
              <w:rPr>
                <w:kern w:val="20"/>
                <w:sz w:val="18"/>
              </w:rPr>
            </w:pPr>
            <w:r>
              <w:rPr>
                <w:kern w:val="20"/>
                <w:sz w:val="18"/>
              </w:rPr>
              <w:t xml:space="preserve">     8.30</w:t>
            </w:r>
          </w:p>
        </w:tc>
        <w:tc>
          <w:tcPr>
            <w:tcW w:w="851" w:type="dxa"/>
            <w:tcBorders>
              <w:top w:val="nil"/>
              <w:bottom w:val="nil"/>
            </w:tcBorders>
          </w:tcPr>
          <w:p w:rsidR="00000000" w:rsidRDefault="00000000">
            <w:pPr>
              <w:rPr>
                <w:kern w:val="20"/>
                <w:sz w:val="18"/>
              </w:rPr>
            </w:pPr>
            <w:r>
              <w:rPr>
                <w:kern w:val="20"/>
                <w:sz w:val="18"/>
              </w:rPr>
              <w:t xml:space="preserve">      7.19</w:t>
            </w:r>
          </w:p>
        </w:tc>
        <w:tc>
          <w:tcPr>
            <w:tcW w:w="953" w:type="dxa"/>
            <w:tcBorders>
              <w:top w:val="nil"/>
              <w:bottom w:val="nil"/>
            </w:tcBorders>
          </w:tcPr>
          <w:p w:rsidR="00000000" w:rsidRDefault="00000000">
            <w:pPr>
              <w:rPr>
                <w:kern w:val="20"/>
                <w:sz w:val="18"/>
              </w:rPr>
            </w:pPr>
            <w:r>
              <w:rPr>
                <w:kern w:val="20"/>
                <w:sz w:val="18"/>
              </w:rPr>
              <w:t xml:space="preserve">        12</w:t>
            </w:r>
          </w:p>
        </w:tc>
        <w:tc>
          <w:tcPr>
            <w:tcW w:w="751" w:type="dxa"/>
            <w:tcBorders>
              <w:top w:val="nil"/>
              <w:bottom w:val="nil"/>
            </w:tcBorders>
          </w:tcPr>
          <w:p w:rsidR="00000000" w:rsidRDefault="00000000">
            <w:pPr>
              <w:rPr>
                <w:kern w:val="20"/>
                <w:sz w:val="18"/>
              </w:rPr>
            </w:pPr>
            <w:r>
              <w:rPr>
                <w:kern w:val="20"/>
                <w:sz w:val="18"/>
              </w:rPr>
              <w:t xml:space="preserve">    0.04</w:t>
            </w:r>
          </w:p>
        </w:tc>
        <w:tc>
          <w:tcPr>
            <w:tcW w:w="808" w:type="dxa"/>
            <w:tcBorders>
              <w:top w:val="nil"/>
              <w:bottom w:val="nil"/>
            </w:tcBorders>
          </w:tcPr>
          <w:p w:rsidR="00000000" w:rsidRDefault="00000000">
            <w:pPr>
              <w:rPr>
                <w:kern w:val="20"/>
                <w:sz w:val="18"/>
              </w:rPr>
            </w:pPr>
            <w:r>
              <w:rPr>
                <w:kern w:val="20"/>
                <w:sz w:val="18"/>
              </w:rPr>
              <w:t xml:space="preserve">    0.02</w:t>
            </w:r>
          </w:p>
        </w:tc>
        <w:tc>
          <w:tcPr>
            <w:tcW w:w="892" w:type="dxa"/>
            <w:tcBorders>
              <w:top w:val="nil"/>
              <w:bottom w:val="nil"/>
            </w:tcBorders>
          </w:tcPr>
          <w:p w:rsidR="00000000" w:rsidRDefault="00000000">
            <w:pPr>
              <w:rPr>
                <w:kern w:val="20"/>
                <w:sz w:val="18"/>
              </w:rPr>
            </w:pPr>
            <w:r>
              <w:rPr>
                <w:kern w:val="20"/>
                <w:sz w:val="18"/>
              </w:rPr>
              <w:t xml:space="preserve">       7.54</w:t>
            </w:r>
          </w:p>
        </w:tc>
        <w:tc>
          <w:tcPr>
            <w:tcW w:w="777" w:type="dxa"/>
            <w:tcBorders>
              <w:top w:val="nil"/>
              <w:bottom w:val="nil"/>
            </w:tcBorders>
          </w:tcPr>
          <w:p w:rsidR="00000000" w:rsidRDefault="00000000">
            <w:pPr>
              <w:rPr>
                <w:kern w:val="20"/>
                <w:sz w:val="18"/>
              </w:rPr>
            </w:pPr>
            <w:r>
              <w:rPr>
                <w:kern w:val="20"/>
                <w:sz w:val="18"/>
              </w:rPr>
              <w:t xml:space="preserve">     5.72</w:t>
            </w:r>
          </w:p>
        </w:tc>
        <w:tc>
          <w:tcPr>
            <w:tcW w:w="851" w:type="dxa"/>
            <w:tcBorders>
              <w:top w:val="nil"/>
              <w:bottom w:val="nil"/>
            </w:tcBorders>
          </w:tcPr>
          <w:p w:rsidR="00000000" w:rsidRDefault="00000000">
            <w:pPr>
              <w:rPr>
                <w:kern w:val="20"/>
                <w:sz w:val="18"/>
              </w:rPr>
            </w:pPr>
            <w:r>
              <w:rPr>
                <w:kern w:val="20"/>
                <w:sz w:val="18"/>
              </w:rPr>
              <w:t xml:space="preserve">       4.33</w:t>
            </w:r>
          </w:p>
        </w:tc>
      </w:tr>
      <w:tr w:rsidR="00000000">
        <w:tblPrEx>
          <w:tblCellMar>
            <w:top w:w="0" w:type="dxa"/>
            <w:bottom w:w="0" w:type="dxa"/>
          </w:tblCellMar>
        </w:tblPrEx>
        <w:tc>
          <w:tcPr>
            <w:tcW w:w="1700" w:type="dxa"/>
            <w:tcBorders>
              <w:top w:val="nil"/>
              <w:bottom w:val="nil"/>
            </w:tcBorders>
          </w:tcPr>
          <w:p w:rsidR="00000000" w:rsidRDefault="00000000">
            <w:pPr>
              <w:rPr>
                <w:kern w:val="20"/>
                <w:sz w:val="18"/>
              </w:rPr>
            </w:pPr>
            <w:r>
              <w:rPr>
                <w:kern w:val="20"/>
                <w:sz w:val="18"/>
              </w:rPr>
              <w:t>Unpaid</w:t>
            </w:r>
          </w:p>
        </w:tc>
        <w:tc>
          <w:tcPr>
            <w:tcW w:w="992" w:type="dxa"/>
            <w:tcBorders>
              <w:top w:val="nil"/>
              <w:bottom w:val="nil"/>
            </w:tcBorders>
          </w:tcPr>
          <w:p w:rsidR="00000000" w:rsidRDefault="00000000">
            <w:pPr>
              <w:rPr>
                <w:kern w:val="20"/>
                <w:sz w:val="18"/>
              </w:rPr>
            </w:pPr>
            <w:r>
              <w:rPr>
                <w:kern w:val="20"/>
                <w:sz w:val="18"/>
              </w:rPr>
              <w:t xml:space="preserve">       4.00</w:t>
            </w:r>
          </w:p>
        </w:tc>
        <w:tc>
          <w:tcPr>
            <w:tcW w:w="891" w:type="dxa"/>
            <w:gridSpan w:val="2"/>
            <w:tcBorders>
              <w:top w:val="nil"/>
              <w:bottom w:val="nil"/>
            </w:tcBorders>
          </w:tcPr>
          <w:p w:rsidR="00000000" w:rsidRDefault="00000000">
            <w:pPr>
              <w:jc w:val="center"/>
              <w:rPr>
                <w:kern w:val="20"/>
                <w:sz w:val="18"/>
              </w:rPr>
            </w:pPr>
            <w:r>
              <w:rPr>
                <w:kern w:val="20"/>
                <w:sz w:val="18"/>
              </w:rPr>
              <w:t>54</w:t>
            </w:r>
          </w:p>
        </w:tc>
        <w:tc>
          <w:tcPr>
            <w:tcW w:w="709" w:type="dxa"/>
            <w:tcBorders>
              <w:top w:val="nil"/>
              <w:bottom w:val="nil"/>
            </w:tcBorders>
          </w:tcPr>
          <w:p w:rsidR="00000000" w:rsidRDefault="00000000">
            <w:pPr>
              <w:rPr>
                <w:kern w:val="20"/>
                <w:sz w:val="18"/>
              </w:rPr>
            </w:pPr>
            <w:r>
              <w:rPr>
                <w:kern w:val="20"/>
                <w:sz w:val="18"/>
              </w:rPr>
              <w:t xml:space="preserve">   0.29</w:t>
            </w:r>
          </w:p>
        </w:tc>
        <w:tc>
          <w:tcPr>
            <w:tcW w:w="850" w:type="dxa"/>
            <w:tcBorders>
              <w:top w:val="nil"/>
              <w:bottom w:val="nil"/>
            </w:tcBorders>
          </w:tcPr>
          <w:p w:rsidR="00000000" w:rsidRDefault="00000000">
            <w:pPr>
              <w:rPr>
                <w:kern w:val="20"/>
                <w:sz w:val="18"/>
              </w:rPr>
            </w:pPr>
            <w:r>
              <w:rPr>
                <w:kern w:val="20"/>
                <w:sz w:val="18"/>
              </w:rPr>
              <w:t xml:space="preserve">     0.19</w:t>
            </w:r>
          </w:p>
        </w:tc>
        <w:tc>
          <w:tcPr>
            <w:tcW w:w="993" w:type="dxa"/>
            <w:tcBorders>
              <w:top w:val="nil"/>
              <w:bottom w:val="nil"/>
            </w:tcBorders>
          </w:tcPr>
          <w:p w:rsidR="00000000" w:rsidRDefault="00000000">
            <w:pPr>
              <w:rPr>
                <w:kern w:val="20"/>
                <w:sz w:val="18"/>
              </w:rPr>
            </w:pPr>
            <w:r>
              <w:rPr>
                <w:kern w:val="20"/>
                <w:sz w:val="18"/>
              </w:rPr>
              <w:t xml:space="preserve">        6.39</w:t>
            </w:r>
          </w:p>
        </w:tc>
        <w:tc>
          <w:tcPr>
            <w:tcW w:w="708" w:type="dxa"/>
            <w:tcBorders>
              <w:top w:val="nil"/>
              <w:bottom w:val="nil"/>
            </w:tcBorders>
          </w:tcPr>
          <w:p w:rsidR="00000000" w:rsidRDefault="00000000">
            <w:pPr>
              <w:rPr>
                <w:kern w:val="20"/>
                <w:sz w:val="18"/>
              </w:rPr>
            </w:pPr>
            <w:r>
              <w:rPr>
                <w:kern w:val="20"/>
                <w:sz w:val="18"/>
              </w:rPr>
              <w:t xml:space="preserve">     7.41</w:t>
            </w:r>
          </w:p>
        </w:tc>
        <w:tc>
          <w:tcPr>
            <w:tcW w:w="851" w:type="dxa"/>
            <w:tcBorders>
              <w:top w:val="nil"/>
              <w:bottom w:val="nil"/>
            </w:tcBorders>
          </w:tcPr>
          <w:p w:rsidR="00000000" w:rsidRDefault="00000000">
            <w:pPr>
              <w:rPr>
                <w:kern w:val="20"/>
                <w:sz w:val="18"/>
              </w:rPr>
            </w:pPr>
            <w:r>
              <w:rPr>
                <w:kern w:val="20"/>
                <w:sz w:val="18"/>
              </w:rPr>
              <w:t xml:space="preserve">      7.88</w:t>
            </w:r>
          </w:p>
        </w:tc>
        <w:tc>
          <w:tcPr>
            <w:tcW w:w="953" w:type="dxa"/>
            <w:tcBorders>
              <w:top w:val="nil"/>
              <w:bottom w:val="nil"/>
            </w:tcBorders>
          </w:tcPr>
          <w:p w:rsidR="00000000" w:rsidRDefault="00000000">
            <w:pPr>
              <w:rPr>
                <w:kern w:val="20"/>
                <w:sz w:val="18"/>
              </w:rPr>
            </w:pPr>
            <w:r>
              <w:rPr>
                <w:kern w:val="20"/>
                <w:sz w:val="18"/>
              </w:rPr>
              <w:t xml:space="preserve">        31</w:t>
            </w:r>
          </w:p>
        </w:tc>
        <w:tc>
          <w:tcPr>
            <w:tcW w:w="751" w:type="dxa"/>
            <w:tcBorders>
              <w:top w:val="nil"/>
              <w:bottom w:val="nil"/>
            </w:tcBorders>
          </w:tcPr>
          <w:p w:rsidR="00000000" w:rsidRDefault="00000000">
            <w:pPr>
              <w:rPr>
                <w:kern w:val="20"/>
                <w:sz w:val="18"/>
              </w:rPr>
            </w:pPr>
            <w:r>
              <w:rPr>
                <w:kern w:val="20"/>
                <w:sz w:val="18"/>
              </w:rPr>
              <w:t xml:space="preserve">    0.13</w:t>
            </w:r>
          </w:p>
        </w:tc>
        <w:tc>
          <w:tcPr>
            <w:tcW w:w="808" w:type="dxa"/>
            <w:tcBorders>
              <w:top w:val="nil"/>
              <w:bottom w:val="nil"/>
            </w:tcBorders>
          </w:tcPr>
          <w:p w:rsidR="00000000" w:rsidRDefault="00000000">
            <w:pPr>
              <w:rPr>
                <w:kern w:val="20"/>
                <w:sz w:val="18"/>
              </w:rPr>
            </w:pPr>
            <w:r>
              <w:rPr>
                <w:kern w:val="20"/>
                <w:sz w:val="18"/>
              </w:rPr>
              <w:t xml:space="preserve">    0.08</w:t>
            </w:r>
          </w:p>
        </w:tc>
        <w:tc>
          <w:tcPr>
            <w:tcW w:w="892" w:type="dxa"/>
            <w:tcBorders>
              <w:top w:val="nil"/>
              <w:bottom w:val="nil"/>
            </w:tcBorders>
          </w:tcPr>
          <w:p w:rsidR="00000000" w:rsidRDefault="00000000">
            <w:pPr>
              <w:rPr>
                <w:kern w:val="20"/>
                <w:sz w:val="18"/>
              </w:rPr>
            </w:pPr>
            <w:r>
              <w:rPr>
                <w:kern w:val="20"/>
                <w:sz w:val="18"/>
              </w:rPr>
              <w:t xml:space="preserve">       8.23</w:t>
            </w:r>
          </w:p>
        </w:tc>
        <w:tc>
          <w:tcPr>
            <w:tcW w:w="777" w:type="dxa"/>
            <w:tcBorders>
              <w:top w:val="nil"/>
              <w:bottom w:val="nil"/>
            </w:tcBorders>
          </w:tcPr>
          <w:p w:rsidR="00000000" w:rsidRDefault="00000000">
            <w:pPr>
              <w:rPr>
                <w:kern w:val="20"/>
                <w:sz w:val="18"/>
              </w:rPr>
            </w:pPr>
            <w:r>
              <w:rPr>
                <w:kern w:val="20"/>
                <w:sz w:val="18"/>
              </w:rPr>
              <w:t xml:space="preserve">     8.52</w:t>
            </w:r>
          </w:p>
        </w:tc>
        <w:tc>
          <w:tcPr>
            <w:tcW w:w="851" w:type="dxa"/>
            <w:tcBorders>
              <w:top w:val="nil"/>
              <w:bottom w:val="nil"/>
            </w:tcBorders>
          </w:tcPr>
          <w:p w:rsidR="00000000" w:rsidRDefault="00000000">
            <w:pPr>
              <w:rPr>
                <w:kern w:val="20"/>
                <w:sz w:val="18"/>
              </w:rPr>
            </w:pPr>
            <w:r>
              <w:rPr>
                <w:kern w:val="20"/>
                <w:sz w:val="18"/>
              </w:rPr>
              <w:t xml:space="preserve">       8.05</w:t>
            </w:r>
          </w:p>
        </w:tc>
      </w:tr>
      <w:tr w:rsidR="00000000">
        <w:tblPrEx>
          <w:tblCellMar>
            <w:top w:w="0" w:type="dxa"/>
            <w:bottom w:w="0" w:type="dxa"/>
          </w:tblCellMar>
        </w:tblPrEx>
        <w:tc>
          <w:tcPr>
            <w:tcW w:w="1700" w:type="dxa"/>
            <w:tcBorders>
              <w:top w:val="nil"/>
              <w:bottom w:val="nil"/>
            </w:tcBorders>
          </w:tcPr>
          <w:p w:rsidR="00000000" w:rsidRDefault="00000000">
            <w:pPr>
              <w:rPr>
                <w:kern w:val="20"/>
                <w:sz w:val="18"/>
              </w:rPr>
            </w:pPr>
            <w:r>
              <w:rPr>
                <w:kern w:val="20"/>
                <w:sz w:val="18"/>
              </w:rPr>
              <w:t>Unemployed</w:t>
            </w:r>
          </w:p>
        </w:tc>
        <w:tc>
          <w:tcPr>
            <w:tcW w:w="992" w:type="dxa"/>
            <w:tcBorders>
              <w:top w:val="nil"/>
              <w:bottom w:val="nil"/>
            </w:tcBorders>
          </w:tcPr>
          <w:p w:rsidR="00000000" w:rsidRDefault="00000000">
            <w:pPr>
              <w:rPr>
                <w:kern w:val="20"/>
                <w:sz w:val="18"/>
              </w:rPr>
            </w:pPr>
            <w:r>
              <w:rPr>
                <w:kern w:val="20"/>
                <w:sz w:val="18"/>
              </w:rPr>
              <w:t xml:space="preserve">       3.80</w:t>
            </w:r>
          </w:p>
        </w:tc>
        <w:tc>
          <w:tcPr>
            <w:tcW w:w="891" w:type="dxa"/>
            <w:gridSpan w:val="2"/>
            <w:tcBorders>
              <w:top w:val="nil"/>
              <w:bottom w:val="nil"/>
            </w:tcBorders>
          </w:tcPr>
          <w:p w:rsidR="00000000" w:rsidRDefault="00000000">
            <w:pPr>
              <w:jc w:val="center"/>
              <w:rPr>
                <w:kern w:val="20"/>
                <w:sz w:val="18"/>
              </w:rPr>
            </w:pPr>
            <w:r>
              <w:rPr>
                <w:kern w:val="20"/>
                <w:sz w:val="18"/>
              </w:rPr>
              <w:t>43</w:t>
            </w:r>
          </w:p>
        </w:tc>
        <w:tc>
          <w:tcPr>
            <w:tcW w:w="709" w:type="dxa"/>
            <w:tcBorders>
              <w:top w:val="nil"/>
              <w:bottom w:val="nil"/>
            </w:tcBorders>
          </w:tcPr>
          <w:p w:rsidR="00000000" w:rsidRDefault="00000000">
            <w:pPr>
              <w:rPr>
                <w:kern w:val="20"/>
                <w:sz w:val="18"/>
              </w:rPr>
            </w:pPr>
            <w:r>
              <w:rPr>
                <w:kern w:val="20"/>
                <w:sz w:val="18"/>
              </w:rPr>
              <w:t xml:space="preserve">   0.23</w:t>
            </w:r>
          </w:p>
        </w:tc>
        <w:tc>
          <w:tcPr>
            <w:tcW w:w="850" w:type="dxa"/>
            <w:tcBorders>
              <w:top w:val="nil"/>
              <w:bottom w:val="nil"/>
            </w:tcBorders>
          </w:tcPr>
          <w:p w:rsidR="00000000" w:rsidRDefault="00000000">
            <w:pPr>
              <w:rPr>
                <w:kern w:val="20"/>
                <w:sz w:val="18"/>
              </w:rPr>
            </w:pPr>
            <w:r>
              <w:rPr>
                <w:kern w:val="20"/>
                <w:sz w:val="18"/>
              </w:rPr>
              <w:t xml:space="preserve">     0.16</w:t>
            </w:r>
          </w:p>
        </w:tc>
        <w:tc>
          <w:tcPr>
            <w:tcW w:w="993" w:type="dxa"/>
            <w:tcBorders>
              <w:top w:val="nil"/>
              <w:bottom w:val="nil"/>
            </w:tcBorders>
          </w:tcPr>
          <w:p w:rsidR="00000000" w:rsidRDefault="00000000">
            <w:pPr>
              <w:rPr>
                <w:kern w:val="20"/>
                <w:sz w:val="18"/>
              </w:rPr>
            </w:pPr>
            <w:r>
              <w:rPr>
                <w:kern w:val="20"/>
                <w:sz w:val="18"/>
              </w:rPr>
              <w:t xml:space="preserve">        4.88</w:t>
            </w:r>
          </w:p>
        </w:tc>
        <w:tc>
          <w:tcPr>
            <w:tcW w:w="708" w:type="dxa"/>
            <w:tcBorders>
              <w:top w:val="nil"/>
              <w:bottom w:val="nil"/>
            </w:tcBorders>
          </w:tcPr>
          <w:p w:rsidR="00000000" w:rsidRDefault="00000000">
            <w:pPr>
              <w:rPr>
                <w:kern w:val="20"/>
                <w:sz w:val="18"/>
              </w:rPr>
            </w:pPr>
            <w:r>
              <w:rPr>
                <w:kern w:val="20"/>
                <w:sz w:val="18"/>
              </w:rPr>
              <w:t xml:space="preserve">     5.64</w:t>
            </w:r>
          </w:p>
        </w:tc>
        <w:tc>
          <w:tcPr>
            <w:tcW w:w="851" w:type="dxa"/>
            <w:tcBorders>
              <w:top w:val="nil"/>
              <w:bottom w:val="nil"/>
            </w:tcBorders>
          </w:tcPr>
          <w:p w:rsidR="00000000" w:rsidRDefault="00000000">
            <w:pPr>
              <w:rPr>
                <w:kern w:val="20"/>
                <w:sz w:val="18"/>
              </w:rPr>
            </w:pPr>
            <w:r>
              <w:rPr>
                <w:kern w:val="20"/>
                <w:sz w:val="18"/>
              </w:rPr>
              <w:t xml:space="preserve">      6.53</w:t>
            </w:r>
          </w:p>
        </w:tc>
        <w:tc>
          <w:tcPr>
            <w:tcW w:w="953" w:type="dxa"/>
            <w:tcBorders>
              <w:top w:val="nil"/>
              <w:bottom w:val="nil"/>
            </w:tcBorders>
          </w:tcPr>
          <w:p w:rsidR="00000000" w:rsidRDefault="00000000">
            <w:pPr>
              <w:rPr>
                <w:kern w:val="20"/>
                <w:sz w:val="18"/>
              </w:rPr>
            </w:pPr>
            <w:r>
              <w:rPr>
                <w:kern w:val="20"/>
                <w:sz w:val="18"/>
              </w:rPr>
              <w:t xml:space="preserve">        22</w:t>
            </w:r>
          </w:p>
        </w:tc>
        <w:tc>
          <w:tcPr>
            <w:tcW w:w="751" w:type="dxa"/>
            <w:tcBorders>
              <w:top w:val="nil"/>
              <w:bottom w:val="nil"/>
            </w:tcBorders>
          </w:tcPr>
          <w:p w:rsidR="00000000" w:rsidRDefault="00000000">
            <w:pPr>
              <w:rPr>
                <w:kern w:val="20"/>
                <w:sz w:val="18"/>
              </w:rPr>
            </w:pPr>
            <w:r>
              <w:rPr>
                <w:kern w:val="20"/>
                <w:sz w:val="18"/>
              </w:rPr>
              <w:t xml:space="preserve">    0.13</w:t>
            </w:r>
          </w:p>
        </w:tc>
        <w:tc>
          <w:tcPr>
            <w:tcW w:w="808" w:type="dxa"/>
            <w:tcBorders>
              <w:top w:val="nil"/>
              <w:bottom w:val="nil"/>
            </w:tcBorders>
          </w:tcPr>
          <w:p w:rsidR="00000000" w:rsidRDefault="00000000">
            <w:pPr>
              <w:rPr>
                <w:kern w:val="20"/>
                <w:sz w:val="18"/>
              </w:rPr>
            </w:pPr>
            <w:r>
              <w:rPr>
                <w:kern w:val="20"/>
                <w:sz w:val="18"/>
              </w:rPr>
              <w:t xml:space="preserve">    0.10</w:t>
            </w:r>
          </w:p>
        </w:tc>
        <w:tc>
          <w:tcPr>
            <w:tcW w:w="892" w:type="dxa"/>
            <w:tcBorders>
              <w:top w:val="nil"/>
              <w:bottom w:val="nil"/>
            </w:tcBorders>
          </w:tcPr>
          <w:p w:rsidR="00000000" w:rsidRDefault="00000000">
            <w:pPr>
              <w:rPr>
                <w:kern w:val="20"/>
                <w:sz w:val="18"/>
              </w:rPr>
            </w:pPr>
            <w:r>
              <w:rPr>
                <w:kern w:val="20"/>
                <w:sz w:val="18"/>
              </w:rPr>
              <w:t xml:space="preserve">       5.66</w:t>
            </w:r>
          </w:p>
        </w:tc>
        <w:tc>
          <w:tcPr>
            <w:tcW w:w="777" w:type="dxa"/>
            <w:tcBorders>
              <w:top w:val="nil"/>
              <w:bottom w:val="nil"/>
            </w:tcBorders>
          </w:tcPr>
          <w:p w:rsidR="00000000" w:rsidRDefault="00000000">
            <w:pPr>
              <w:rPr>
                <w:kern w:val="20"/>
                <w:sz w:val="18"/>
              </w:rPr>
            </w:pPr>
            <w:r>
              <w:rPr>
                <w:kern w:val="20"/>
                <w:sz w:val="18"/>
              </w:rPr>
              <w:t xml:space="preserve">     7.65</w:t>
            </w:r>
          </w:p>
        </w:tc>
        <w:tc>
          <w:tcPr>
            <w:tcW w:w="851" w:type="dxa"/>
            <w:tcBorders>
              <w:top w:val="nil"/>
              <w:bottom w:val="nil"/>
            </w:tcBorders>
          </w:tcPr>
          <w:p w:rsidR="00000000" w:rsidRDefault="00000000">
            <w:pPr>
              <w:rPr>
                <w:kern w:val="20"/>
                <w:sz w:val="18"/>
              </w:rPr>
            </w:pPr>
            <w:r>
              <w:rPr>
                <w:kern w:val="20"/>
                <w:sz w:val="18"/>
              </w:rPr>
              <w:t xml:space="preserve">       9.79</w:t>
            </w:r>
          </w:p>
        </w:tc>
      </w:tr>
      <w:tr w:rsidR="00000000">
        <w:tblPrEx>
          <w:tblCellMar>
            <w:top w:w="0" w:type="dxa"/>
            <w:bottom w:w="0" w:type="dxa"/>
          </w:tblCellMar>
        </w:tblPrEx>
        <w:tc>
          <w:tcPr>
            <w:tcW w:w="1700" w:type="dxa"/>
            <w:tcBorders>
              <w:top w:val="nil"/>
              <w:bottom w:val="nil"/>
            </w:tcBorders>
          </w:tcPr>
          <w:p w:rsidR="00000000" w:rsidRDefault="00000000">
            <w:pPr>
              <w:rPr>
                <w:kern w:val="20"/>
                <w:sz w:val="18"/>
              </w:rPr>
            </w:pPr>
            <w:r>
              <w:rPr>
                <w:kern w:val="20"/>
                <w:sz w:val="18"/>
              </w:rPr>
              <w:t>Inactive</w:t>
            </w:r>
          </w:p>
        </w:tc>
        <w:tc>
          <w:tcPr>
            <w:tcW w:w="992" w:type="dxa"/>
            <w:tcBorders>
              <w:top w:val="nil"/>
              <w:bottom w:val="nil"/>
            </w:tcBorders>
          </w:tcPr>
          <w:p w:rsidR="00000000" w:rsidRDefault="00000000">
            <w:pPr>
              <w:rPr>
                <w:kern w:val="20"/>
                <w:sz w:val="18"/>
              </w:rPr>
            </w:pPr>
            <w:r>
              <w:rPr>
                <w:kern w:val="20"/>
                <w:sz w:val="18"/>
              </w:rPr>
              <w:t xml:space="preserve">     32.10</w:t>
            </w:r>
          </w:p>
        </w:tc>
        <w:tc>
          <w:tcPr>
            <w:tcW w:w="891" w:type="dxa"/>
            <w:gridSpan w:val="2"/>
            <w:tcBorders>
              <w:top w:val="nil"/>
              <w:bottom w:val="nil"/>
            </w:tcBorders>
          </w:tcPr>
          <w:p w:rsidR="00000000" w:rsidRDefault="00000000">
            <w:pPr>
              <w:jc w:val="center"/>
              <w:rPr>
                <w:kern w:val="20"/>
                <w:sz w:val="18"/>
              </w:rPr>
            </w:pPr>
            <w:r>
              <w:rPr>
                <w:kern w:val="20"/>
                <w:sz w:val="18"/>
              </w:rPr>
              <w:t>33</w:t>
            </w:r>
          </w:p>
        </w:tc>
        <w:tc>
          <w:tcPr>
            <w:tcW w:w="709" w:type="dxa"/>
            <w:tcBorders>
              <w:top w:val="nil"/>
              <w:bottom w:val="nil"/>
            </w:tcBorders>
          </w:tcPr>
          <w:p w:rsidR="00000000" w:rsidRDefault="00000000">
            <w:pPr>
              <w:rPr>
                <w:kern w:val="20"/>
                <w:sz w:val="18"/>
              </w:rPr>
            </w:pPr>
            <w:r>
              <w:rPr>
                <w:kern w:val="20"/>
                <w:sz w:val="18"/>
              </w:rPr>
              <w:t xml:space="preserve">   0.14</w:t>
            </w:r>
          </w:p>
        </w:tc>
        <w:tc>
          <w:tcPr>
            <w:tcW w:w="850" w:type="dxa"/>
            <w:tcBorders>
              <w:top w:val="nil"/>
              <w:bottom w:val="nil"/>
            </w:tcBorders>
          </w:tcPr>
          <w:p w:rsidR="00000000" w:rsidRDefault="00000000">
            <w:pPr>
              <w:rPr>
                <w:kern w:val="20"/>
                <w:sz w:val="18"/>
              </w:rPr>
            </w:pPr>
            <w:r>
              <w:rPr>
                <w:kern w:val="20"/>
                <w:sz w:val="18"/>
              </w:rPr>
              <w:t xml:space="preserve">     0.09</w:t>
            </w:r>
          </w:p>
        </w:tc>
        <w:tc>
          <w:tcPr>
            <w:tcW w:w="993" w:type="dxa"/>
            <w:tcBorders>
              <w:top w:val="nil"/>
              <w:bottom w:val="nil"/>
            </w:tcBorders>
          </w:tcPr>
          <w:p w:rsidR="00000000" w:rsidRDefault="00000000">
            <w:pPr>
              <w:rPr>
                <w:kern w:val="20"/>
                <w:sz w:val="18"/>
              </w:rPr>
            </w:pPr>
            <w:r>
              <w:rPr>
                <w:kern w:val="20"/>
                <w:sz w:val="18"/>
              </w:rPr>
              <w:t xml:space="preserve">      30.83</w:t>
            </w:r>
          </w:p>
        </w:tc>
        <w:tc>
          <w:tcPr>
            <w:tcW w:w="708" w:type="dxa"/>
            <w:tcBorders>
              <w:top w:val="nil"/>
              <w:bottom w:val="nil"/>
            </w:tcBorders>
          </w:tcPr>
          <w:p w:rsidR="00000000" w:rsidRDefault="00000000">
            <w:pPr>
              <w:rPr>
                <w:kern w:val="20"/>
                <w:sz w:val="18"/>
              </w:rPr>
            </w:pPr>
            <w:r>
              <w:rPr>
                <w:kern w:val="20"/>
                <w:sz w:val="18"/>
              </w:rPr>
              <w:t xml:space="preserve">   29.96</w:t>
            </w:r>
          </w:p>
        </w:tc>
        <w:tc>
          <w:tcPr>
            <w:tcW w:w="851" w:type="dxa"/>
            <w:tcBorders>
              <w:top w:val="nil"/>
              <w:bottom w:val="nil"/>
            </w:tcBorders>
          </w:tcPr>
          <w:p w:rsidR="00000000" w:rsidRDefault="00000000">
            <w:pPr>
              <w:rPr>
                <w:kern w:val="20"/>
                <w:sz w:val="18"/>
              </w:rPr>
            </w:pPr>
            <w:r>
              <w:rPr>
                <w:kern w:val="20"/>
                <w:sz w:val="18"/>
              </w:rPr>
              <w:t xml:space="preserve">    29.73</w:t>
            </w:r>
          </w:p>
        </w:tc>
        <w:tc>
          <w:tcPr>
            <w:tcW w:w="953" w:type="dxa"/>
            <w:tcBorders>
              <w:top w:val="nil"/>
              <w:bottom w:val="nil"/>
            </w:tcBorders>
          </w:tcPr>
          <w:p w:rsidR="00000000" w:rsidRDefault="00000000">
            <w:pPr>
              <w:rPr>
                <w:kern w:val="20"/>
                <w:sz w:val="18"/>
              </w:rPr>
            </w:pPr>
            <w:r>
              <w:rPr>
                <w:kern w:val="20"/>
                <w:sz w:val="18"/>
              </w:rPr>
              <w:t xml:space="preserve">        13</w:t>
            </w:r>
          </w:p>
        </w:tc>
        <w:tc>
          <w:tcPr>
            <w:tcW w:w="751" w:type="dxa"/>
            <w:tcBorders>
              <w:top w:val="nil"/>
              <w:bottom w:val="nil"/>
            </w:tcBorders>
          </w:tcPr>
          <w:p w:rsidR="00000000" w:rsidRDefault="00000000">
            <w:pPr>
              <w:rPr>
                <w:kern w:val="20"/>
                <w:sz w:val="18"/>
              </w:rPr>
            </w:pPr>
            <w:r>
              <w:rPr>
                <w:kern w:val="20"/>
                <w:sz w:val="18"/>
              </w:rPr>
              <w:t xml:space="preserve">    0.06</w:t>
            </w:r>
          </w:p>
        </w:tc>
        <w:tc>
          <w:tcPr>
            <w:tcW w:w="808" w:type="dxa"/>
            <w:tcBorders>
              <w:top w:val="nil"/>
              <w:bottom w:val="nil"/>
            </w:tcBorders>
          </w:tcPr>
          <w:p w:rsidR="00000000" w:rsidRDefault="00000000">
            <w:pPr>
              <w:rPr>
                <w:kern w:val="20"/>
                <w:sz w:val="18"/>
              </w:rPr>
            </w:pPr>
            <w:r>
              <w:rPr>
                <w:kern w:val="20"/>
                <w:sz w:val="18"/>
              </w:rPr>
              <w:t xml:space="preserve">    0.04</w:t>
            </w:r>
          </w:p>
        </w:tc>
        <w:tc>
          <w:tcPr>
            <w:tcW w:w="892" w:type="dxa"/>
            <w:tcBorders>
              <w:top w:val="nil"/>
              <w:bottom w:val="nil"/>
            </w:tcBorders>
          </w:tcPr>
          <w:p w:rsidR="00000000" w:rsidRDefault="00000000">
            <w:pPr>
              <w:rPr>
                <w:kern w:val="20"/>
                <w:sz w:val="18"/>
              </w:rPr>
            </w:pPr>
            <w:r>
              <w:rPr>
                <w:kern w:val="20"/>
                <w:sz w:val="18"/>
              </w:rPr>
              <w:t xml:space="preserve">     29.02</w:t>
            </w:r>
          </w:p>
        </w:tc>
        <w:tc>
          <w:tcPr>
            <w:tcW w:w="777" w:type="dxa"/>
            <w:tcBorders>
              <w:top w:val="nil"/>
              <w:bottom w:val="nil"/>
            </w:tcBorders>
          </w:tcPr>
          <w:p w:rsidR="00000000" w:rsidRDefault="00000000">
            <w:pPr>
              <w:rPr>
                <w:kern w:val="20"/>
                <w:sz w:val="18"/>
              </w:rPr>
            </w:pPr>
            <w:r>
              <w:rPr>
                <w:kern w:val="20"/>
                <w:sz w:val="18"/>
              </w:rPr>
              <w:t xml:space="preserve">   29.34</w:t>
            </w:r>
          </w:p>
        </w:tc>
        <w:tc>
          <w:tcPr>
            <w:tcW w:w="851" w:type="dxa"/>
            <w:tcBorders>
              <w:top w:val="nil"/>
              <w:bottom w:val="nil"/>
            </w:tcBorders>
          </w:tcPr>
          <w:p w:rsidR="00000000" w:rsidRDefault="00000000">
            <w:pPr>
              <w:rPr>
                <w:kern w:val="20"/>
                <w:sz w:val="18"/>
              </w:rPr>
            </w:pPr>
            <w:r>
              <w:rPr>
                <w:kern w:val="20"/>
                <w:sz w:val="18"/>
              </w:rPr>
              <w:t xml:space="preserve">     30.56</w:t>
            </w:r>
          </w:p>
        </w:tc>
      </w:tr>
      <w:tr w:rsidR="00000000">
        <w:tblPrEx>
          <w:tblCellMar>
            <w:top w:w="0" w:type="dxa"/>
            <w:bottom w:w="0" w:type="dxa"/>
          </w:tblCellMar>
        </w:tblPrEx>
        <w:tc>
          <w:tcPr>
            <w:tcW w:w="1700" w:type="dxa"/>
            <w:tcBorders>
              <w:top w:val="nil"/>
            </w:tcBorders>
          </w:tcPr>
          <w:p w:rsidR="00000000" w:rsidRDefault="00000000">
            <w:pPr>
              <w:rPr>
                <w:kern w:val="20"/>
                <w:sz w:val="18"/>
              </w:rPr>
            </w:pPr>
            <w:r>
              <w:rPr>
                <w:kern w:val="20"/>
                <w:sz w:val="18"/>
              </w:rPr>
              <w:t>Children (0</w:t>
            </w:r>
            <w:r>
              <w:rPr>
                <w:kern w:val="20"/>
                <w:sz w:val="18"/>
              </w:rPr>
              <w:noBreakHyphen/>
              <w:t>9)</w:t>
            </w:r>
          </w:p>
        </w:tc>
        <w:tc>
          <w:tcPr>
            <w:tcW w:w="992" w:type="dxa"/>
            <w:tcBorders>
              <w:top w:val="nil"/>
            </w:tcBorders>
          </w:tcPr>
          <w:p w:rsidR="00000000" w:rsidRDefault="00000000">
            <w:pPr>
              <w:rPr>
                <w:kern w:val="20"/>
                <w:sz w:val="18"/>
              </w:rPr>
            </w:pPr>
            <w:r>
              <w:rPr>
                <w:kern w:val="20"/>
                <w:sz w:val="18"/>
              </w:rPr>
              <w:t xml:space="preserve">     20.10</w:t>
            </w:r>
          </w:p>
        </w:tc>
        <w:tc>
          <w:tcPr>
            <w:tcW w:w="891" w:type="dxa"/>
            <w:gridSpan w:val="2"/>
            <w:tcBorders>
              <w:top w:val="nil"/>
            </w:tcBorders>
          </w:tcPr>
          <w:p w:rsidR="00000000" w:rsidRDefault="00000000">
            <w:pPr>
              <w:jc w:val="center"/>
              <w:rPr>
                <w:kern w:val="20"/>
                <w:sz w:val="18"/>
              </w:rPr>
            </w:pPr>
            <w:r>
              <w:rPr>
                <w:kern w:val="20"/>
                <w:sz w:val="18"/>
              </w:rPr>
              <w:t>49</w:t>
            </w:r>
          </w:p>
        </w:tc>
        <w:tc>
          <w:tcPr>
            <w:tcW w:w="709" w:type="dxa"/>
            <w:tcBorders>
              <w:top w:val="nil"/>
            </w:tcBorders>
          </w:tcPr>
          <w:p w:rsidR="00000000" w:rsidRDefault="00000000">
            <w:pPr>
              <w:rPr>
                <w:kern w:val="20"/>
                <w:sz w:val="18"/>
              </w:rPr>
            </w:pPr>
            <w:r>
              <w:rPr>
                <w:kern w:val="20"/>
                <w:sz w:val="18"/>
              </w:rPr>
              <w:t xml:space="preserve">   0.24</w:t>
            </w:r>
          </w:p>
        </w:tc>
        <w:tc>
          <w:tcPr>
            <w:tcW w:w="850" w:type="dxa"/>
            <w:tcBorders>
              <w:top w:val="nil"/>
            </w:tcBorders>
          </w:tcPr>
          <w:p w:rsidR="00000000" w:rsidRDefault="00000000">
            <w:pPr>
              <w:rPr>
                <w:kern w:val="20"/>
                <w:sz w:val="18"/>
              </w:rPr>
            </w:pPr>
            <w:r>
              <w:rPr>
                <w:kern w:val="20"/>
                <w:sz w:val="18"/>
              </w:rPr>
              <w:t xml:space="preserve">     0.15</w:t>
            </w:r>
          </w:p>
        </w:tc>
        <w:tc>
          <w:tcPr>
            <w:tcW w:w="993" w:type="dxa"/>
            <w:tcBorders>
              <w:top w:val="nil"/>
            </w:tcBorders>
          </w:tcPr>
          <w:p w:rsidR="00000000" w:rsidRDefault="00000000">
            <w:pPr>
              <w:rPr>
                <w:kern w:val="20"/>
                <w:sz w:val="18"/>
              </w:rPr>
            </w:pPr>
            <w:r>
              <w:rPr>
                <w:kern w:val="20"/>
                <w:sz w:val="18"/>
              </w:rPr>
              <w:t xml:space="preserve">      29.27</w:t>
            </w:r>
          </w:p>
        </w:tc>
        <w:tc>
          <w:tcPr>
            <w:tcW w:w="708" w:type="dxa"/>
            <w:tcBorders>
              <w:top w:val="nil"/>
            </w:tcBorders>
          </w:tcPr>
          <w:p w:rsidR="00000000" w:rsidRDefault="00000000">
            <w:pPr>
              <w:rPr>
                <w:kern w:val="20"/>
                <w:sz w:val="18"/>
              </w:rPr>
            </w:pPr>
            <w:r>
              <w:rPr>
                <w:kern w:val="20"/>
                <w:sz w:val="18"/>
              </w:rPr>
              <w:t xml:space="preserve">   31.58</w:t>
            </w:r>
          </w:p>
        </w:tc>
        <w:tc>
          <w:tcPr>
            <w:tcW w:w="851" w:type="dxa"/>
            <w:tcBorders>
              <w:top w:val="nil"/>
            </w:tcBorders>
          </w:tcPr>
          <w:p w:rsidR="00000000" w:rsidRDefault="00000000">
            <w:pPr>
              <w:rPr>
                <w:kern w:val="20"/>
                <w:sz w:val="18"/>
              </w:rPr>
            </w:pPr>
            <w:r>
              <w:rPr>
                <w:kern w:val="20"/>
                <w:sz w:val="18"/>
              </w:rPr>
              <w:t xml:space="preserve">    32.75</w:t>
            </w:r>
          </w:p>
        </w:tc>
        <w:tc>
          <w:tcPr>
            <w:tcW w:w="953" w:type="dxa"/>
            <w:tcBorders>
              <w:top w:val="nil"/>
            </w:tcBorders>
          </w:tcPr>
          <w:p w:rsidR="00000000" w:rsidRDefault="00000000">
            <w:pPr>
              <w:rPr>
                <w:kern w:val="20"/>
                <w:sz w:val="18"/>
              </w:rPr>
            </w:pPr>
            <w:r>
              <w:rPr>
                <w:kern w:val="20"/>
                <w:sz w:val="18"/>
              </w:rPr>
              <w:t xml:space="preserve">        25</w:t>
            </w:r>
          </w:p>
        </w:tc>
        <w:tc>
          <w:tcPr>
            <w:tcW w:w="751" w:type="dxa"/>
            <w:tcBorders>
              <w:top w:val="nil"/>
            </w:tcBorders>
          </w:tcPr>
          <w:p w:rsidR="00000000" w:rsidRDefault="00000000">
            <w:pPr>
              <w:rPr>
                <w:kern w:val="20"/>
                <w:sz w:val="18"/>
              </w:rPr>
            </w:pPr>
            <w:r>
              <w:rPr>
                <w:kern w:val="20"/>
                <w:sz w:val="18"/>
              </w:rPr>
              <w:t xml:space="preserve">    0.11</w:t>
            </w:r>
          </w:p>
        </w:tc>
        <w:tc>
          <w:tcPr>
            <w:tcW w:w="808" w:type="dxa"/>
            <w:tcBorders>
              <w:top w:val="nil"/>
            </w:tcBorders>
          </w:tcPr>
          <w:p w:rsidR="00000000" w:rsidRDefault="00000000">
            <w:pPr>
              <w:rPr>
                <w:kern w:val="20"/>
                <w:sz w:val="18"/>
              </w:rPr>
            </w:pPr>
            <w:r>
              <w:rPr>
                <w:kern w:val="20"/>
                <w:sz w:val="18"/>
              </w:rPr>
              <w:t xml:space="preserve">    0.07</w:t>
            </w:r>
          </w:p>
        </w:tc>
        <w:tc>
          <w:tcPr>
            <w:tcW w:w="892" w:type="dxa"/>
            <w:tcBorders>
              <w:top w:val="nil"/>
            </w:tcBorders>
          </w:tcPr>
          <w:p w:rsidR="00000000" w:rsidRDefault="00000000">
            <w:pPr>
              <w:rPr>
                <w:kern w:val="20"/>
                <w:sz w:val="18"/>
              </w:rPr>
            </w:pPr>
            <w:r>
              <w:rPr>
                <w:kern w:val="20"/>
                <w:sz w:val="18"/>
              </w:rPr>
              <w:t xml:space="preserve">     33.38</w:t>
            </w:r>
          </w:p>
        </w:tc>
        <w:tc>
          <w:tcPr>
            <w:tcW w:w="777" w:type="dxa"/>
            <w:tcBorders>
              <w:top w:val="nil"/>
            </w:tcBorders>
          </w:tcPr>
          <w:p w:rsidR="00000000" w:rsidRDefault="00000000">
            <w:pPr>
              <w:rPr>
                <w:kern w:val="20"/>
                <w:sz w:val="18"/>
              </w:rPr>
            </w:pPr>
            <w:r>
              <w:rPr>
                <w:kern w:val="20"/>
                <w:sz w:val="18"/>
              </w:rPr>
              <w:t xml:space="preserve">   34.19</w:t>
            </w:r>
          </w:p>
        </w:tc>
        <w:tc>
          <w:tcPr>
            <w:tcW w:w="851" w:type="dxa"/>
            <w:tcBorders>
              <w:top w:val="nil"/>
            </w:tcBorders>
          </w:tcPr>
          <w:p w:rsidR="00000000" w:rsidRDefault="00000000">
            <w:pPr>
              <w:rPr>
                <w:kern w:val="20"/>
                <w:sz w:val="18"/>
              </w:rPr>
            </w:pPr>
            <w:r>
              <w:rPr>
                <w:kern w:val="20"/>
                <w:sz w:val="18"/>
              </w:rPr>
              <w:t xml:space="preserve">     34.06</w:t>
            </w:r>
          </w:p>
        </w:tc>
      </w:tr>
    </w:tbl>
    <w:p w:rsidR="00000000" w:rsidRDefault="00000000">
      <w:r>
        <w:br w:type="page"/>
      </w:r>
    </w:p>
    <w:tbl>
      <w:tblPr>
        <w:tblW w:w="1272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28" w:type="dxa"/>
        </w:tblCellMar>
        <w:tblLook w:val="0000" w:firstRow="0" w:lastRow="0" w:firstColumn="0" w:lastColumn="0" w:noHBand="0" w:noVBand="0"/>
      </w:tblPr>
      <w:tblGrid>
        <w:gridCol w:w="1700"/>
        <w:gridCol w:w="992"/>
        <w:gridCol w:w="5"/>
        <w:gridCol w:w="886"/>
        <w:gridCol w:w="709"/>
        <w:gridCol w:w="850"/>
        <w:gridCol w:w="993"/>
        <w:gridCol w:w="708"/>
        <w:gridCol w:w="851"/>
        <w:gridCol w:w="927"/>
        <w:gridCol w:w="26"/>
        <w:gridCol w:w="751"/>
        <w:gridCol w:w="808"/>
        <w:gridCol w:w="892"/>
        <w:gridCol w:w="777"/>
        <w:gridCol w:w="851"/>
      </w:tblGrid>
      <w:tr w:rsidR="00000000">
        <w:tblPrEx>
          <w:tblCellMar>
            <w:top w:w="0" w:type="dxa"/>
            <w:bottom w:w="0" w:type="dxa"/>
          </w:tblCellMar>
        </w:tblPrEx>
        <w:trPr>
          <w:tblHeader/>
        </w:trPr>
        <w:tc>
          <w:tcPr>
            <w:tcW w:w="12726" w:type="dxa"/>
            <w:gridSpan w:val="16"/>
            <w:tcBorders>
              <w:top w:val="nil"/>
              <w:left w:val="nil"/>
              <w:right w:val="nil"/>
            </w:tcBorders>
          </w:tcPr>
          <w:p w:rsidR="00000000" w:rsidRDefault="00000000">
            <w:pPr>
              <w:jc w:val="center"/>
              <w:rPr>
                <w:b/>
                <w:bCs/>
              </w:rPr>
            </w:pPr>
            <w:r>
              <w:br w:type="page"/>
            </w:r>
            <w:r>
              <w:rPr>
                <w:b/>
                <w:bCs/>
              </w:rPr>
              <w:t>Table 45 (</w:t>
            </w:r>
            <w:r>
              <w:rPr>
                <w:b/>
                <w:bCs/>
                <w:u w:val="single"/>
              </w:rPr>
              <w:t>continued</w:t>
            </w:r>
            <w:r>
              <w:rPr>
                <w:b/>
                <w:bCs/>
              </w:rPr>
              <w:t>)</w:t>
            </w:r>
          </w:p>
          <w:p w:rsidR="00000000" w:rsidRDefault="00000000">
            <w:pPr>
              <w:jc w:val="center"/>
              <w:rPr>
                <w:b/>
                <w:bCs/>
              </w:rPr>
            </w:pPr>
          </w:p>
          <w:p w:rsidR="00000000" w:rsidRDefault="00000000">
            <w:pPr>
              <w:jc w:val="center"/>
              <w:rPr>
                <w:kern w:val="20"/>
                <w:sz w:val="18"/>
              </w:rPr>
            </w:pPr>
          </w:p>
        </w:tc>
      </w:tr>
      <w:tr w:rsidR="00000000">
        <w:tblPrEx>
          <w:tblCellMar>
            <w:top w:w="0" w:type="dxa"/>
            <w:bottom w:w="0" w:type="dxa"/>
          </w:tblCellMar>
        </w:tblPrEx>
        <w:trPr>
          <w:cantSplit/>
          <w:tblHeader/>
        </w:trPr>
        <w:tc>
          <w:tcPr>
            <w:tcW w:w="1700" w:type="dxa"/>
            <w:tcBorders>
              <w:bottom w:val="nil"/>
            </w:tcBorders>
          </w:tcPr>
          <w:p w:rsidR="00000000" w:rsidRDefault="00000000">
            <w:pPr>
              <w:rPr>
                <w:kern w:val="20"/>
                <w:sz w:val="18"/>
              </w:rPr>
            </w:pPr>
          </w:p>
        </w:tc>
        <w:tc>
          <w:tcPr>
            <w:tcW w:w="997" w:type="dxa"/>
            <w:gridSpan w:val="2"/>
            <w:tcBorders>
              <w:bottom w:val="nil"/>
            </w:tcBorders>
          </w:tcPr>
          <w:p w:rsidR="00000000" w:rsidRDefault="00000000">
            <w:pPr>
              <w:jc w:val="center"/>
              <w:rPr>
                <w:kern w:val="20"/>
                <w:sz w:val="18"/>
              </w:rPr>
            </w:pPr>
          </w:p>
        </w:tc>
        <w:tc>
          <w:tcPr>
            <w:tcW w:w="4997" w:type="dxa"/>
            <w:gridSpan w:val="6"/>
          </w:tcPr>
          <w:p w:rsidR="00000000" w:rsidRDefault="00000000">
            <w:pPr>
              <w:jc w:val="center"/>
              <w:rPr>
                <w:kern w:val="20"/>
                <w:sz w:val="18"/>
              </w:rPr>
            </w:pPr>
            <w:r>
              <w:rPr>
                <w:kern w:val="20"/>
                <w:sz w:val="18"/>
              </w:rPr>
              <w:t>Poverty line</w:t>
            </w:r>
          </w:p>
        </w:tc>
        <w:tc>
          <w:tcPr>
            <w:tcW w:w="5032" w:type="dxa"/>
            <w:gridSpan w:val="7"/>
          </w:tcPr>
          <w:p w:rsidR="00000000" w:rsidRDefault="00000000">
            <w:pPr>
              <w:jc w:val="center"/>
              <w:rPr>
                <w:kern w:val="20"/>
                <w:sz w:val="18"/>
              </w:rPr>
            </w:pPr>
            <w:r>
              <w:rPr>
                <w:kern w:val="20"/>
                <w:sz w:val="18"/>
              </w:rPr>
              <w:t>Extreme poverty line</w:t>
            </w:r>
          </w:p>
        </w:tc>
      </w:tr>
      <w:tr w:rsidR="00000000">
        <w:tblPrEx>
          <w:tblCellMar>
            <w:top w:w="0" w:type="dxa"/>
            <w:bottom w:w="0" w:type="dxa"/>
          </w:tblCellMar>
        </w:tblPrEx>
        <w:trPr>
          <w:tblHeader/>
        </w:trPr>
        <w:tc>
          <w:tcPr>
            <w:tcW w:w="1700" w:type="dxa"/>
            <w:tcBorders>
              <w:top w:val="nil"/>
              <w:bottom w:val="nil"/>
            </w:tcBorders>
          </w:tcPr>
          <w:p w:rsidR="00000000" w:rsidRDefault="00000000">
            <w:pPr>
              <w:rPr>
                <w:kern w:val="20"/>
                <w:sz w:val="18"/>
              </w:rPr>
            </w:pPr>
          </w:p>
        </w:tc>
        <w:tc>
          <w:tcPr>
            <w:tcW w:w="992" w:type="dxa"/>
            <w:tcBorders>
              <w:top w:val="nil"/>
            </w:tcBorders>
          </w:tcPr>
          <w:p w:rsidR="00000000" w:rsidRDefault="00000000">
            <w:pPr>
              <w:rPr>
                <w:kern w:val="20"/>
                <w:sz w:val="18"/>
              </w:rPr>
            </w:pPr>
          </w:p>
        </w:tc>
        <w:tc>
          <w:tcPr>
            <w:tcW w:w="2450" w:type="dxa"/>
            <w:gridSpan w:val="4"/>
          </w:tcPr>
          <w:p w:rsidR="00000000" w:rsidRDefault="00000000">
            <w:pPr>
              <w:jc w:val="center"/>
              <w:rPr>
                <w:kern w:val="20"/>
                <w:sz w:val="18"/>
              </w:rPr>
            </w:pPr>
            <w:r>
              <w:rPr>
                <w:kern w:val="20"/>
                <w:sz w:val="18"/>
              </w:rPr>
              <w:t>Incidence of poverty within category</w:t>
            </w:r>
          </w:p>
        </w:tc>
        <w:tc>
          <w:tcPr>
            <w:tcW w:w="2552" w:type="dxa"/>
            <w:gridSpan w:val="3"/>
          </w:tcPr>
          <w:p w:rsidR="00000000" w:rsidRDefault="00000000">
            <w:pPr>
              <w:jc w:val="center"/>
              <w:rPr>
                <w:kern w:val="20"/>
                <w:sz w:val="18"/>
              </w:rPr>
            </w:pPr>
            <w:r>
              <w:rPr>
                <w:kern w:val="20"/>
                <w:sz w:val="18"/>
              </w:rPr>
              <w:t>Distribution of poverty across category</w:t>
            </w:r>
          </w:p>
        </w:tc>
        <w:tc>
          <w:tcPr>
            <w:tcW w:w="2512" w:type="dxa"/>
            <w:gridSpan w:val="4"/>
          </w:tcPr>
          <w:p w:rsidR="00000000" w:rsidRDefault="00000000">
            <w:pPr>
              <w:jc w:val="center"/>
              <w:rPr>
                <w:kern w:val="20"/>
                <w:sz w:val="18"/>
              </w:rPr>
            </w:pPr>
            <w:r>
              <w:rPr>
                <w:kern w:val="20"/>
                <w:sz w:val="18"/>
              </w:rPr>
              <w:t>Incidence of poverty within category</w:t>
            </w:r>
          </w:p>
        </w:tc>
        <w:tc>
          <w:tcPr>
            <w:tcW w:w="2520" w:type="dxa"/>
            <w:gridSpan w:val="3"/>
          </w:tcPr>
          <w:p w:rsidR="00000000" w:rsidRDefault="00000000">
            <w:pPr>
              <w:jc w:val="center"/>
              <w:rPr>
                <w:kern w:val="20"/>
                <w:sz w:val="18"/>
              </w:rPr>
            </w:pPr>
            <w:r>
              <w:rPr>
                <w:kern w:val="20"/>
                <w:sz w:val="18"/>
              </w:rPr>
              <w:t>Distribution of poverty across category</w:t>
            </w:r>
          </w:p>
        </w:tc>
      </w:tr>
      <w:tr w:rsidR="00000000">
        <w:tblPrEx>
          <w:tblCellMar>
            <w:top w:w="0" w:type="dxa"/>
            <w:bottom w:w="0" w:type="dxa"/>
          </w:tblCellMar>
        </w:tblPrEx>
        <w:trPr>
          <w:tblHeader/>
        </w:trPr>
        <w:tc>
          <w:tcPr>
            <w:tcW w:w="1700" w:type="dxa"/>
            <w:tcBorders>
              <w:top w:val="nil"/>
            </w:tcBorders>
          </w:tcPr>
          <w:p w:rsidR="00000000" w:rsidRDefault="00000000">
            <w:pPr>
              <w:rPr>
                <w:kern w:val="20"/>
                <w:sz w:val="18"/>
              </w:rPr>
            </w:pPr>
          </w:p>
        </w:tc>
        <w:tc>
          <w:tcPr>
            <w:tcW w:w="992" w:type="dxa"/>
          </w:tcPr>
          <w:p w:rsidR="00000000" w:rsidRDefault="00000000">
            <w:pPr>
              <w:jc w:val="center"/>
              <w:rPr>
                <w:kern w:val="20"/>
                <w:sz w:val="18"/>
              </w:rPr>
            </w:pPr>
            <w:r>
              <w:rPr>
                <w:kern w:val="20"/>
                <w:sz w:val="18"/>
              </w:rPr>
              <w:t>Frequency</w:t>
            </w:r>
          </w:p>
          <w:p w:rsidR="00000000" w:rsidRDefault="00000000">
            <w:pPr>
              <w:jc w:val="center"/>
              <w:rPr>
                <w:kern w:val="20"/>
                <w:sz w:val="18"/>
              </w:rPr>
            </w:pPr>
            <w:r>
              <w:rPr>
                <w:kern w:val="20"/>
                <w:sz w:val="18"/>
              </w:rPr>
              <w:t>in the population</w:t>
            </w:r>
          </w:p>
        </w:tc>
        <w:tc>
          <w:tcPr>
            <w:tcW w:w="891" w:type="dxa"/>
            <w:gridSpan w:val="2"/>
          </w:tcPr>
          <w:p w:rsidR="00000000" w:rsidRDefault="00000000">
            <w:pPr>
              <w:jc w:val="center"/>
              <w:rPr>
                <w:kern w:val="20"/>
                <w:sz w:val="18"/>
              </w:rPr>
            </w:pPr>
            <w:r>
              <w:rPr>
                <w:kern w:val="20"/>
                <w:sz w:val="18"/>
              </w:rPr>
              <w:t>Percentage</w:t>
            </w:r>
          </w:p>
          <w:p w:rsidR="00000000" w:rsidRDefault="00000000">
            <w:pPr>
              <w:jc w:val="center"/>
              <w:rPr>
                <w:kern w:val="20"/>
                <w:sz w:val="18"/>
              </w:rPr>
            </w:pPr>
            <w:r>
              <w:rPr>
                <w:kern w:val="20"/>
                <w:sz w:val="18"/>
              </w:rPr>
              <w:t>of poor</w:t>
            </w:r>
          </w:p>
        </w:tc>
        <w:tc>
          <w:tcPr>
            <w:tcW w:w="709" w:type="dxa"/>
          </w:tcPr>
          <w:p w:rsidR="00000000" w:rsidRDefault="00000000">
            <w:pPr>
              <w:jc w:val="center"/>
              <w:rPr>
                <w:kern w:val="20"/>
                <w:sz w:val="18"/>
              </w:rPr>
            </w:pPr>
            <w:r>
              <w:rPr>
                <w:kern w:val="20"/>
                <w:sz w:val="18"/>
              </w:rPr>
              <w:t>Average income gap</w:t>
            </w:r>
          </w:p>
        </w:tc>
        <w:tc>
          <w:tcPr>
            <w:tcW w:w="850" w:type="dxa"/>
          </w:tcPr>
          <w:p w:rsidR="00000000" w:rsidRDefault="00000000">
            <w:pPr>
              <w:jc w:val="center"/>
              <w:rPr>
                <w:kern w:val="20"/>
                <w:sz w:val="18"/>
              </w:rPr>
            </w:pPr>
            <w:r>
              <w:rPr>
                <w:kern w:val="20"/>
                <w:sz w:val="18"/>
              </w:rPr>
              <w:t>Quadratic average income</w:t>
            </w:r>
          </w:p>
          <w:p w:rsidR="00000000" w:rsidRDefault="00000000">
            <w:pPr>
              <w:jc w:val="center"/>
              <w:rPr>
                <w:kern w:val="20"/>
                <w:sz w:val="18"/>
              </w:rPr>
            </w:pPr>
            <w:r>
              <w:rPr>
                <w:kern w:val="20"/>
                <w:sz w:val="18"/>
              </w:rPr>
              <w:t>gap</w:t>
            </w:r>
          </w:p>
        </w:tc>
        <w:tc>
          <w:tcPr>
            <w:tcW w:w="993" w:type="dxa"/>
          </w:tcPr>
          <w:p w:rsidR="00000000" w:rsidRDefault="00000000">
            <w:pPr>
              <w:jc w:val="center"/>
              <w:rPr>
                <w:kern w:val="20"/>
                <w:sz w:val="18"/>
              </w:rPr>
            </w:pPr>
            <w:r>
              <w:rPr>
                <w:kern w:val="20"/>
                <w:sz w:val="18"/>
              </w:rPr>
              <w:t>Percentage of poor</w:t>
            </w:r>
          </w:p>
        </w:tc>
        <w:tc>
          <w:tcPr>
            <w:tcW w:w="708" w:type="dxa"/>
          </w:tcPr>
          <w:p w:rsidR="00000000" w:rsidRDefault="00000000">
            <w:pPr>
              <w:jc w:val="center"/>
              <w:rPr>
                <w:kern w:val="20"/>
                <w:sz w:val="18"/>
              </w:rPr>
            </w:pPr>
            <w:r>
              <w:rPr>
                <w:kern w:val="20"/>
                <w:sz w:val="18"/>
              </w:rPr>
              <w:t>Average income gap</w:t>
            </w:r>
          </w:p>
        </w:tc>
        <w:tc>
          <w:tcPr>
            <w:tcW w:w="851" w:type="dxa"/>
          </w:tcPr>
          <w:p w:rsidR="00000000" w:rsidRDefault="00000000">
            <w:pPr>
              <w:jc w:val="center"/>
              <w:rPr>
                <w:kern w:val="20"/>
                <w:sz w:val="18"/>
              </w:rPr>
            </w:pPr>
            <w:r>
              <w:rPr>
                <w:kern w:val="20"/>
                <w:sz w:val="18"/>
              </w:rPr>
              <w:t>Quadratic average income</w:t>
            </w:r>
          </w:p>
          <w:p w:rsidR="00000000" w:rsidRDefault="00000000">
            <w:pPr>
              <w:jc w:val="center"/>
              <w:rPr>
                <w:kern w:val="20"/>
                <w:sz w:val="18"/>
              </w:rPr>
            </w:pPr>
            <w:r>
              <w:rPr>
                <w:kern w:val="20"/>
                <w:sz w:val="18"/>
              </w:rPr>
              <w:t>gap</w:t>
            </w:r>
          </w:p>
        </w:tc>
        <w:tc>
          <w:tcPr>
            <w:tcW w:w="927" w:type="dxa"/>
          </w:tcPr>
          <w:p w:rsidR="00000000" w:rsidRDefault="00000000">
            <w:pPr>
              <w:jc w:val="center"/>
              <w:rPr>
                <w:kern w:val="20"/>
                <w:sz w:val="18"/>
              </w:rPr>
            </w:pPr>
            <w:r>
              <w:rPr>
                <w:kern w:val="20"/>
                <w:sz w:val="18"/>
              </w:rPr>
              <w:t>Percentage of poor</w:t>
            </w:r>
          </w:p>
        </w:tc>
        <w:tc>
          <w:tcPr>
            <w:tcW w:w="777" w:type="dxa"/>
            <w:gridSpan w:val="2"/>
          </w:tcPr>
          <w:p w:rsidR="00000000" w:rsidRDefault="00000000">
            <w:pPr>
              <w:jc w:val="center"/>
              <w:rPr>
                <w:kern w:val="20"/>
                <w:sz w:val="18"/>
              </w:rPr>
            </w:pPr>
            <w:r>
              <w:rPr>
                <w:kern w:val="20"/>
                <w:sz w:val="18"/>
              </w:rPr>
              <w:t>Average income gap</w:t>
            </w:r>
          </w:p>
        </w:tc>
        <w:tc>
          <w:tcPr>
            <w:tcW w:w="808" w:type="dxa"/>
          </w:tcPr>
          <w:p w:rsidR="00000000" w:rsidRDefault="00000000">
            <w:pPr>
              <w:jc w:val="center"/>
              <w:rPr>
                <w:kern w:val="20"/>
                <w:sz w:val="18"/>
              </w:rPr>
            </w:pPr>
            <w:r>
              <w:rPr>
                <w:kern w:val="20"/>
                <w:sz w:val="18"/>
              </w:rPr>
              <w:t>Quadratic average income</w:t>
            </w:r>
          </w:p>
          <w:p w:rsidR="00000000" w:rsidRDefault="00000000">
            <w:pPr>
              <w:jc w:val="center"/>
              <w:rPr>
                <w:kern w:val="20"/>
                <w:sz w:val="18"/>
              </w:rPr>
            </w:pPr>
            <w:r>
              <w:rPr>
                <w:kern w:val="20"/>
                <w:sz w:val="18"/>
              </w:rPr>
              <w:t>gap</w:t>
            </w:r>
          </w:p>
        </w:tc>
        <w:tc>
          <w:tcPr>
            <w:tcW w:w="892" w:type="dxa"/>
          </w:tcPr>
          <w:p w:rsidR="00000000" w:rsidRDefault="00000000">
            <w:pPr>
              <w:jc w:val="center"/>
              <w:rPr>
                <w:kern w:val="20"/>
                <w:sz w:val="18"/>
              </w:rPr>
            </w:pPr>
            <w:r>
              <w:rPr>
                <w:kern w:val="20"/>
                <w:sz w:val="18"/>
              </w:rPr>
              <w:t>Percentage of poor</w:t>
            </w:r>
          </w:p>
        </w:tc>
        <w:tc>
          <w:tcPr>
            <w:tcW w:w="777" w:type="dxa"/>
          </w:tcPr>
          <w:p w:rsidR="00000000" w:rsidRDefault="00000000">
            <w:pPr>
              <w:jc w:val="center"/>
              <w:rPr>
                <w:kern w:val="20"/>
                <w:sz w:val="18"/>
              </w:rPr>
            </w:pPr>
            <w:r>
              <w:rPr>
                <w:kern w:val="20"/>
                <w:sz w:val="18"/>
              </w:rPr>
              <w:t>Average income</w:t>
            </w:r>
          </w:p>
          <w:p w:rsidR="00000000" w:rsidRDefault="00000000">
            <w:pPr>
              <w:ind w:right="34"/>
              <w:jc w:val="center"/>
              <w:rPr>
                <w:kern w:val="20"/>
                <w:sz w:val="18"/>
              </w:rPr>
            </w:pPr>
            <w:r>
              <w:rPr>
                <w:kern w:val="20"/>
                <w:sz w:val="18"/>
              </w:rPr>
              <w:t>gap</w:t>
            </w:r>
          </w:p>
        </w:tc>
        <w:tc>
          <w:tcPr>
            <w:tcW w:w="851" w:type="dxa"/>
          </w:tcPr>
          <w:p w:rsidR="00000000" w:rsidRDefault="00000000">
            <w:pPr>
              <w:jc w:val="center"/>
              <w:rPr>
                <w:kern w:val="20"/>
                <w:sz w:val="18"/>
              </w:rPr>
            </w:pPr>
            <w:r>
              <w:rPr>
                <w:kern w:val="20"/>
                <w:sz w:val="18"/>
              </w:rPr>
              <w:t>Quadratic average income gap</w:t>
            </w:r>
          </w:p>
        </w:tc>
      </w:tr>
      <w:tr w:rsidR="00000000">
        <w:tblPrEx>
          <w:tblCellMar>
            <w:top w:w="0" w:type="dxa"/>
            <w:bottom w:w="0" w:type="dxa"/>
          </w:tblCellMar>
        </w:tblPrEx>
        <w:trPr>
          <w:cantSplit/>
        </w:trPr>
        <w:tc>
          <w:tcPr>
            <w:tcW w:w="1700" w:type="dxa"/>
          </w:tcPr>
          <w:p w:rsidR="00000000" w:rsidRDefault="00000000">
            <w:pPr>
              <w:rPr>
                <w:b/>
                <w:bCs/>
                <w:kern w:val="20"/>
                <w:sz w:val="18"/>
              </w:rPr>
            </w:pPr>
            <w:r>
              <w:rPr>
                <w:b/>
                <w:bCs/>
                <w:kern w:val="20"/>
                <w:sz w:val="18"/>
              </w:rPr>
              <w:t>Activity sector</w:t>
            </w:r>
          </w:p>
        </w:tc>
        <w:tc>
          <w:tcPr>
            <w:tcW w:w="11026" w:type="dxa"/>
            <w:gridSpan w:val="15"/>
          </w:tcPr>
          <w:p w:rsidR="00000000" w:rsidRDefault="00000000">
            <w:pPr>
              <w:rPr>
                <w:kern w:val="20"/>
                <w:sz w:val="18"/>
              </w:rPr>
            </w:pPr>
          </w:p>
        </w:tc>
      </w:tr>
      <w:tr w:rsidR="00000000">
        <w:tblPrEx>
          <w:tblCellMar>
            <w:top w:w="0" w:type="dxa"/>
            <w:bottom w:w="0" w:type="dxa"/>
          </w:tblCellMar>
        </w:tblPrEx>
        <w:tc>
          <w:tcPr>
            <w:tcW w:w="1700" w:type="dxa"/>
            <w:tcBorders>
              <w:bottom w:val="nil"/>
            </w:tcBorders>
          </w:tcPr>
          <w:p w:rsidR="00000000" w:rsidRDefault="00000000">
            <w:pPr>
              <w:rPr>
                <w:kern w:val="20"/>
                <w:sz w:val="18"/>
              </w:rPr>
            </w:pPr>
            <w:r>
              <w:rPr>
                <w:kern w:val="20"/>
                <w:sz w:val="18"/>
              </w:rPr>
              <w:t>Employed</w:t>
            </w:r>
          </w:p>
        </w:tc>
        <w:tc>
          <w:tcPr>
            <w:tcW w:w="992" w:type="dxa"/>
            <w:tcBorders>
              <w:bottom w:val="nil"/>
            </w:tcBorders>
          </w:tcPr>
          <w:p w:rsidR="00000000" w:rsidRDefault="00000000">
            <w:pPr>
              <w:rPr>
                <w:kern w:val="20"/>
                <w:sz w:val="18"/>
              </w:rPr>
            </w:pPr>
            <w:r>
              <w:rPr>
                <w:kern w:val="20"/>
                <w:sz w:val="18"/>
              </w:rPr>
              <w:t xml:space="preserve">      44.00</w:t>
            </w:r>
          </w:p>
        </w:tc>
        <w:tc>
          <w:tcPr>
            <w:tcW w:w="891" w:type="dxa"/>
            <w:gridSpan w:val="2"/>
            <w:tcBorders>
              <w:bottom w:val="nil"/>
            </w:tcBorders>
          </w:tcPr>
          <w:p w:rsidR="00000000" w:rsidRDefault="00000000">
            <w:pPr>
              <w:jc w:val="center"/>
              <w:rPr>
                <w:kern w:val="20"/>
                <w:sz w:val="18"/>
              </w:rPr>
            </w:pPr>
            <w:r>
              <w:rPr>
                <w:kern w:val="20"/>
                <w:sz w:val="18"/>
              </w:rPr>
              <w:t>27</w:t>
            </w:r>
          </w:p>
        </w:tc>
        <w:tc>
          <w:tcPr>
            <w:tcW w:w="709" w:type="dxa"/>
            <w:tcBorders>
              <w:bottom w:val="nil"/>
            </w:tcBorders>
          </w:tcPr>
          <w:p w:rsidR="00000000" w:rsidRDefault="00000000">
            <w:pPr>
              <w:rPr>
                <w:kern w:val="20"/>
                <w:sz w:val="18"/>
              </w:rPr>
            </w:pPr>
            <w:r>
              <w:rPr>
                <w:kern w:val="20"/>
                <w:sz w:val="18"/>
              </w:rPr>
              <w:t xml:space="preserve">   0.11</w:t>
            </w:r>
          </w:p>
        </w:tc>
        <w:tc>
          <w:tcPr>
            <w:tcW w:w="850" w:type="dxa"/>
            <w:tcBorders>
              <w:bottom w:val="nil"/>
            </w:tcBorders>
          </w:tcPr>
          <w:p w:rsidR="00000000" w:rsidRDefault="00000000">
            <w:pPr>
              <w:rPr>
                <w:kern w:val="20"/>
                <w:sz w:val="18"/>
              </w:rPr>
            </w:pPr>
            <w:r>
              <w:rPr>
                <w:kern w:val="20"/>
                <w:sz w:val="18"/>
              </w:rPr>
              <w:t xml:space="preserve">      0.07</w:t>
            </w:r>
          </w:p>
        </w:tc>
        <w:tc>
          <w:tcPr>
            <w:tcW w:w="993" w:type="dxa"/>
            <w:tcBorders>
              <w:bottom w:val="nil"/>
            </w:tcBorders>
          </w:tcPr>
          <w:p w:rsidR="00000000" w:rsidRDefault="00000000">
            <w:pPr>
              <w:rPr>
                <w:kern w:val="20"/>
                <w:sz w:val="18"/>
              </w:rPr>
            </w:pPr>
            <w:r>
              <w:rPr>
                <w:kern w:val="20"/>
                <w:sz w:val="18"/>
              </w:rPr>
              <w:t xml:space="preserve">      35.04</w:t>
            </w:r>
          </w:p>
        </w:tc>
        <w:tc>
          <w:tcPr>
            <w:tcW w:w="708" w:type="dxa"/>
            <w:tcBorders>
              <w:bottom w:val="nil"/>
            </w:tcBorders>
          </w:tcPr>
          <w:p w:rsidR="00000000" w:rsidRDefault="00000000">
            <w:pPr>
              <w:rPr>
                <w:kern w:val="20"/>
                <w:sz w:val="18"/>
              </w:rPr>
            </w:pPr>
            <w:r>
              <w:rPr>
                <w:kern w:val="20"/>
                <w:sz w:val="18"/>
              </w:rPr>
              <w:t xml:space="preserve">  32.84</w:t>
            </w:r>
          </w:p>
        </w:tc>
        <w:tc>
          <w:tcPr>
            <w:tcW w:w="851" w:type="dxa"/>
            <w:tcBorders>
              <w:bottom w:val="nil"/>
            </w:tcBorders>
          </w:tcPr>
          <w:p w:rsidR="00000000" w:rsidRDefault="00000000">
            <w:pPr>
              <w:rPr>
                <w:kern w:val="20"/>
                <w:sz w:val="18"/>
              </w:rPr>
            </w:pPr>
            <w:r>
              <w:rPr>
                <w:kern w:val="20"/>
                <w:sz w:val="18"/>
              </w:rPr>
              <w:t xml:space="preserve">    31.03</w:t>
            </w:r>
          </w:p>
        </w:tc>
        <w:tc>
          <w:tcPr>
            <w:tcW w:w="953" w:type="dxa"/>
            <w:gridSpan w:val="2"/>
            <w:tcBorders>
              <w:bottom w:val="nil"/>
            </w:tcBorders>
          </w:tcPr>
          <w:p w:rsidR="00000000" w:rsidRDefault="00000000">
            <w:pPr>
              <w:rPr>
                <w:kern w:val="20"/>
                <w:sz w:val="18"/>
              </w:rPr>
            </w:pPr>
            <w:r>
              <w:rPr>
                <w:kern w:val="20"/>
                <w:sz w:val="18"/>
              </w:rPr>
              <w:t xml:space="preserve">        11</w:t>
            </w:r>
          </w:p>
        </w:tc>
        <w:tc>
          <w:tcPr>
            <w:tcW w:w="751" w:type="dxa"/>
            <w:tcBorders>
              <w:bottom w:val="nil"/>
            </w:tcBorders>
          </w:tcPr>
          <w:p w:rsidR="00000000" w:rsidRDefault="00000000">
            <w:pPr>
              <w:rPr>
                <w:kern w:val="20"/>
                <w:sz w:val="18"/>
              </w:rPr>
            </w:pPr>
            <w:r>
              <w:rPr>
                <w:kern w:val="20"/>
                <w:sz w:val="18"/>
              </w:rPr>
              <w:t xml:space="preserve">    0.04</w:t>
            </w:r>
          </w:p>
        </w:tc>
        <w:tc>
          <w:tcPr>
            <w:tcW w:w="808" w:type="dxa"/>
            <w:tcBorders>
              <w:bottom w:val="nil"/>
            </w:tcBorders>
          </w:tcPr>
          <w:p w:rsidR="00000000" w:rsidRDefault="00000000">
            <w:pPr>
              <w:rPr>
                <w:kern w:val="20"/>
                <w:sz w:val="18"/>
              </w:rPr>
            </w:pPr>
            <w:r>
              <w:rPr>
                <w:kern w:val="20"/>
                <w:sz w:val="18"/>
              </w:rPr>
              <w:t xml:space="preserve">     0.02</w:t>
            </w:r>
          </w:p>
        </w:tc>
        <w:tc>
          <w:tcPr>
            <w:tcW w:w="892" w:type="dxa"/>
            <w:tcBorders>
              <w:bottom w:val="nil"/>
            </w:tcBorders>
          </w:tcPr>
          <w:p w:rsidR="00000000" w:rsidRDefault="00000000">
            <w:pPr>
              <w:rPr>
                <w:kern w:val="20"/>
                <w:sz w:val="18"/>
              </w:rPr>
            </w:pPr>
            <w:r>
              <w:rPr>
                <w:kern w:val="20"/>
                <w:sz w:val="18"/>
              </w:rPr>
              <w:t xml:space="preserve">    31.97</w:t>
            </w:r>
          </w:p>
        </w:tc>
        <w:tc>
          <w:tcPr>
            <w:tcW w:w="777" w:type="dxa"/>
            <w:tcBorders>
              <w:bottom w:val="nil"/>
            </w:tcBorders>
          </w:tcPr>
          <w:p w:rsidR="00000000" w:rsidRDefault="00000000">
            <w:pPr>
              <w:rPr>
                <w:kern w:val="20"/>
                <w:sz w:val="18"/>
              </w:rPr>
            </w:pPr>
            <w:r>
              <w:rPr>
                <w:kern w:val="20"/>
                <w:sz w:val="18"/>
              </w:rPr>
              <w:t xml:space="preserve">   28.87</w:t>
            </w:r>
          </w:p>
        </w:tc>
        <w:tc>
          <w:tcPr>
            <w:tcW w:w="851" w:type="dxa"/>
            <w:tcBorders>
              <w:bottom w:val="nil"/>
            </w:tcBorders>
          </w:tcPr>
          <w:p w:rsidR="00000000" w:rsidRDefault="00000000">
            <w:pPr>
              <w:rPr>
                <w:kern w:val="20"/>
                <w:sz w:val="18"/>
              </w:rPr>
            </w:pPr>
            <w:r>
              <w:rPr>
                <w:kern w:val="20"/>
                <w:sz w:val="18"/>
              </w:rPr>
              <w:t xml:space="preserve">   25.62</w:t>
            </w:r>
          </w:p>
        </w:tc>
      </w:tr>
      <w:tr w:rsidR="00000000">
        <w:tblPrEx>
          <w:tblCellMar>
            <w:top w:w="0" w:type="dxa"/>
            <w:bottom w:w="0" w:type="dxa"/>
          </w:tblCellMar>
        </w:tblPrEx>
        <w:tc>
          <w:tcPr>
            <w:tcW w:w="1700" w:type="dxa"/>
            <w:tcBorders>
              <w:top w:val="nil"/>
              <w:bottom w:val="nil"/>
            </w:tcBorders>
          </w:tcPr>
          <w:p w:rsidR="00000000" w:rsidRDefault="00000000">
            <w:pPr>
              <w:rPr>
                <w:kern w:val="20"/>
                <w:sz w:val="18"/>
              </w:rPr>
            </w:pPr>
            <w:r>
              <w:rPr>
                <w:kern w:val="20"/>
                <w:sz w:val="18"/>
              </w:rPr>
              <w:t>Civil construction</w:t>
            </w:r>
          </w:p>
        </w:tc>
        <w:tc>
          <w:tcPr>
            <w:tcW w:w="992" w:type="dxa"/>
            <w:tcBorders>
              <w:top w:val="nil"/>
              <w:bottom w:val="nil"/>
            </w:tcBorders>
          </w:tcPr>
          <w:p w:rsidR="00000000" w:rsidRDefault="00000000">
            <w:pPr>
              <w:rPr>
                <w:kern w:val="20"/>
                <w:sz w:val="18"/>
              </w:rPr>
            </w:pPr>
            <w:r>
              <w:rPr>
                <w:kern w:val="20"/>
                <w:sz w:val="18"/>
              </w:rPr>
              <w:t xml:space="preserve">        2.90</w:t>
            </w:r>
          </w:p>
        </w:tc>
        <w:tc>
          <w:tcPr>
            <w:tcW w:w="891" w:type="dxa"/>
            <w:gridSpan w:val="2"/>
            <w:tcBorders>
              <w:top w:val="nil"/>
              <w:bottom w:val="nil"/>
            </w:tcBorders>
          </w:tcPr>
          <w:p w:rsidR="00000000" w:rsidRDefault="00000000">
            <w:pPr>
              <w:jc w:val="center"/>
              <w:rPr>
                <w:kern w:val="20"/>
                <w:sz w:val="18"/>
              </w:rPr>
            </w:pPr>
            <w:r>
              <w:rPr>
                <w:kern w:val="20"/>
                <w:sz w:val="18"/>
              </w:rPr>
              <w:t>27</w:t>
            </w:r>
          </w:p>
        </w:tc>
        <w:tc>
          <w:tcPr>
            <w:tcW w:w="709" w:type="dxa"/>
            <w:tcBorders>
              <w:top w:val="nil"/>
              <w:bottom w:val="nil"/>
            </w:tcBorders>
          </w:tcPr>
          <w:p w:rsidR="00000000" w:rsidRDefault="00000000">
            <w:pPr>
              <w:rPr>
                <w:kern w:val="20"/>
                <w:sz w:val="18"/>
              </w:rPr>
            </w:pPr>
            <w:r>
              <w:rPr>
                <w:kern w:val="20"/>
                <w:sz w:val="18"/>
              </w:rPr>
              <w:t xml:space="preserve">   0.09</w:t>
            </w:r>
          </w:p>
        </w:tc>
        <w:tc>
          <w:tcPr>
            <w:tcW w:w="850" w:type="dxa"/>
            <w:tcBorders>
              <w:top w:val="nil"/>
              <w:bottom w:val="nil"/>
            </w:tcBorders>
          </w:tcPr>
          <w:p w:rsidR="00000000" w:rsidRDefault="00000000">
            <w:pPr>
              <w:rPr>
                <w:kern w:val="20"/>
                <w:sz w:val="18"/>
              </w:rPr>
            </w:pPr>
            <w:r>
              <w:rPr>
                <w:kern w:val="20"/>
                <w:sz w:val="18"/>
              </w:rPr>
              <w:t xml:space="preserve">      0.05</w:t>
            </w:r>
          </w:p>
        </w:tc>
        <w:tc>
          <w:tcPr>
            <w:tcW w:w="993" w:type="dxa"/>
            <w:tcBorders>
              <w:top w:val="nil"/>
              <w:bottom w:val="nil"/>
            </w:tcBorders>
          </w:tcPr>
          <w:p w:rsidR="00000000" w:rsidRDefault="00000000">
            <w:pPr>
              <w:rPr>
                <w:kern w:val="20"/>
                <w:sz w:val="18"/>
              </w:rPr>
            </w:pPr>
            <w:r>
              <w:rPr>
                <w:kern w:val="20"/>
                <w:sz w:val="18"/>
              </w:rPr>
              <w:t xml:space="preserve">        2.29</w:t>
            </w:r>
          </w:p>
        </w:tc>
        <w:tc>
          <w:tcPr>
            <w:tcW w:w="708" w:type="dxa"/>
            <w:tcBorders>
              <w:top w:val="nil"/>
              <w:bottom w:val="nil"/>
            </w:tcBorders>
          </w:tcPr>
          <w:p w:rsidR="00000000" w:rsidRDefault="00000000">
            <w:pPr>
              <w:rPr>
                <w:kern w:val="20"/>
                <w:sz w:val="18"/>
              </w:rPr>
            </w:pPr>
            <w:r>
              <w:rPr>
                <w:kern w:val="20"/>
                <w:sz w:val="18"/>
              </w:rPr>
              <w:t xml:space="preserve">    1.77</w:t>
            </w:r>
          </w:p>
        </w:tc>
        <w:tc>
          <w:tcPr>
            <w:tcW w:w="851" w:type="dxa"/>
            <w:tcBorders>
              <w:top w:val="nil"/>
              <w:bottom w:val="nil"/>
            </w:tcBorders>
          </w:tcPr>
          <w:p w:rsidR="00000000" w:rsidRDefault="00000000">
            <w:pPr>
              <w:rPr>
                <w:kern w:val="20"/>
                <w:sz w:val="18"/>
              </w:rPr>
            </w:pPr>
            <w:r>
              <w:rPr>
                <w:kern w:val="20"/>
                <w:sz w:val="18"/>
              </w:rPr>
              <w:t xml:space="preserve">      1.48</w:t>
            </w:r>
          </w:p>
        </w:tc>
        <w:tc>
          <w:tcPr>
            <w:tcW w:w="953" w:type="dxa"/>
            <w:gridSpan w:val="2"/>
            <w:tcBorders>
              <w:top w:val="nil"/>
              <w:bottom w:val="nil"/>
            </w:tcBorders>
          </w:tcPr>
          <w:p w:rsidR="00000000" w:rsidRDefault="00000000">
            <w:pPr>
              <w:rPr>
                <w:kern w:val="20"/>
                <w:sz w:val="18"/>
              </w:rPr>
            </w:pPr>
            <w:r>
              <w:rPr>
                <w:kern w:val="20"/>
                <w:sz w:val="18"/>
              </w:rPr>
              <w:t xml:space="preserve">          7</w:t>
            </w:r>
          </w:p>
        </w:tc>
        <w:tc>
          <w:tcPr>
            <w:tcW w:w="751" w:type="dxa"/>
            <w:tcBorders>
              <w:top w:val="nil"/>
              <w:bottom w:val="nil"/>
            </w:tcBorders>
          </w:tcPr>
          <w:p w:rsidR="00000000" w:rsidRDefault="00000000">
            <w:pPr>
              <w:rPr>
                <w:kern w:val="20"/>
                <w:sz w:val="18"/>
              </w:rPr>
            </w:pPr>
            <w:r>
              <w:rPr>
                <w:kern w:val="20"/>
                <w:sz w:val="18"/>
              </w:rPr>
              <w:t xml:space="preserve">    0.02</w:t>
            </w:r>
          </w:p>
        </w:tc>
        <w:tc>
          <w:tcPr>
            <w:tcW w:w="808" w:type="dxa"/>
            <w:tcBorders>
              <w:top w:val="nil"/>
              <w:bottom w:val="nil"/>
            </w:tcBorders>
          </w:tcPr>
          <w:p w:rsidR="00000000" w:rsidRDefault="00000000">
            <w:pPr>
              <w:rPr>
                <w:kern w:val="20"/>
                <w:sz w:val="18"/>
              </w:rPr>
            </w:pPr>
            <w:r>
              <w:rPr>
                <w:kern w:val="20"/>
                <w:sz w:val="18"/>
              </w:rPr>
              <w:t xml:space="preserve">     0.01</w:t>
            </w:r>
          </w:p>
        </w:tc>
        <w:tc>
          <w:tcPr>
            <w:tcW w:w="892" w:type="dxa"/>
            <w:tcBorders>
              <w:top w:val="nil"/>
              <w:bottom w:val="nil"/>
            </w:tcBorders>
          </w:tcPr>
          <w:p w:rsidR="00000000" w:rsidRDefault="00000000">
            <w:pPr>
              <w:rPr>
                <w:kern w:val="20"/>
                <w:sz w:val="18"/>
              </w:rPr>
            </w:pPr>
            <w:r>
              <w:rPr>
                <w:kern w:val="20"/>
                <w:sz w:val="18"/>
              </w:rPr>
              <w:t xml:space="preserve">      1.38</w:t>
            </w:r>
          </w:p>
        </w:tc>
        <w:tc>
          <w:tcPr>
            <w:tcW w:w="777" w:type="dxa"/>
            <w:tcBorders>
              <w:top w:val="nil"/>
              <w:bottom w:val="nil"/>
            </w:tcBorders>
          </w:tcPr>
          <w:p w:rsidR="00000000" w:rsidRDefault="00000000">
            <w:pPr>
              <w:rPr>
                <w:kern w:val="20"/>
                <w:sz w:val="18"/>
              </w:rPr>
            </w:pPr>
            <w:r>
              <w:rPr>
                <w:kern w:val="20"/>
                <w:sz w:val="18"/>
              </w:rPr>
              <w:t xml:space="preserve">     1.12</w:t>
            </w:r>
          </w:p>
        </w:tc>
        <w:tc>
          <w:tcPr>
            <w:tcW w:w="851" w:type="dxa"/>
            <w:tcBorders>
              <w:top w:val="nil"/>
              <w:bottom w:val="nil"/>
            </w:tcBorders>
          </w:tcPr>
          <w:p w:rsidR="00000000" w:rsidRDefault="00000000">
            <w:pPr>
              <w:rPr>
                <w:kern w:val="20"/>
                <w:sz w:val="18"/>
              </w:rPr>
            </w:pPr>
            <w:r>
              <w:rPr>
                <w:kern w:val="20"/>
                <w:sz w:val="18"/>
              </w:rPr>
              <w:t xml:space="preserve">     1.05</w:t>
            </w:r>
          </w:p>
        </w:tc>
      </w:tr>
      <w:tr w:rsidR="00000000">
        <w:tblPrEx>
          <w:tblCellMar>
            <w:top w:w="0" w:type="dxa"/>
            <w:bottom w:w="0" w:type="dxa"/>
          </w:tblCellMar>
        </w:tblPrEx>
        <w:tc>
          <w:tcPr>
            <w:tcW w:w="1700" w:type="dxa"/>
            <w:tcBorders>
              <w:top w:val="nil"/>
              <w:bottom w:val="nil"/>
            </w:tcBorders>
          </w:tcPr>
          <w:p w:rsidR="00000000" w:rsidRDefault="00000000">
            <w:pPr>
              <w:rPr>
                <w:kern w:val="20"/>
                <w:sz w:val="18"/>
              </w:rPr>
            </w:pPr>
            <w:r>
              <w:rPr>
                <w:kern w:val="20"/>
                <w:sz w:val="18"/>
              </w:rPr>
              <w:t>Transformation</w:t>
            </w:r>
          </w:p>
          <w:p w:rsidR="00000000" w:rsidRDefault="00000000">
            <w:pPr>
              <w:rPr>
                <w:kern w:val="20"/>
                <w:sz w:val="18"/>
              </w:rPr>
            </w:pPr>
            <w:r>
              <w:rPr>
                <w:kern w:val="20"/>
                <w:sz w:val="18"/>
              </w:rPr>
              <w:t xml:space="preserve">  industry</w:t>
            </w:r>
          </w:p>
        </w:tc>
        <w:tc>
          <w:tcPr>
            <w:tcW w:w="992" w:type="dxa"/>
            <w:tcBorders>
              <w:top w:val="nil"/>
              <w:bottom w:val="nil"/>
            </w:tcBorders>
          </w:tcPr>
          <w:p w:rsidR="00000000" w:rsidRDefault="00000000">
            <w:pPr>
              <w:rPr>
                <w:kern w:val="20"/>
                <w:sz w:val="18"/>
              </w:rPr>
            </w:pPr>
            <w:r>
              <w:rPr>
                <w:kern w:val="20"/>
                <w:sz w:val="18"/>
              </w:rPr>
              <w:t xml:space="preserve">        5.30</w:t>
            </w:r>
          </w:p>
        </w:tc>
        <w:tc>
          <w:tcPr>
            <w:tcW w:w="891" w:type="dxa"/>
            <w:gridSpan w:val="2"/>
            <w:tcBorders>
              <w:top w:val="nil"/>
              <w:bottom w:val="nil"/>
            </w:tcBorders>
          </w:tcPr>
          <w:p w:rsidR="00000000" w:rsidRDefault="00000000">
            <w:pPr>
              <w:jc w:val="center"/>
              <w:rPr>
                <w:kern w:val="20"/>
                <w:sz w:val="18"/>
              </w:rPr>
            </w:pPr>
            <w:r>
              <w:rPr>
                <w:kern w:val="20"/>
                <w:sz w:val="18"/>
              </w:rPr>
              <w:t>16</w:t>
            </w:r>
          </w:p>
        </w:tc>
        <w:tc>
          <w:tcPr>
            <w:tcW w:w="709" w:type="dxa"/>
            <w:tcBorders>
              <w:top w:val="nil"/>
              <w:bottom w:val="nil"/>
            </w:tcBorders>
          </w:tcPr>
          <w:p w:rsidR="00000000" w:rsidRDefault="00000000">
            <w:pPr>
              <w:rPr>
                <w:kern w:val="20"/>
                <w:sz w:val="18"/>
              </w:rPr>
            </w:pPr>
            <w:r>
              <w:rPr>
                <w:kern w:val="20"/>
                <w:sz w:val="18"/>
              </w:rPr>
              <w:t xml:space="preserve">   0.05</w:t>
            </w:r>
          </w:p>
        </w:tc>
        <w:tc>
          <w:tcPr>
            <w:tcW w:w="850" w:type="dxa"/>
            <w:tcBorders>
              <w:top w:val="nil"/>
              <w:bottom w:val="nil"/>
            </w:tcBorders>
          </w:tcPr>
          <w:p w:rsidR="00000000" w:rsidRDefault="00000000">
            <w:pPr>
              <w:rPr>
                <w:kern w:val="20"/>
                <w:sz w:val="18"/>
              </w:rPr>
            </w:pPr>
            <w:r>
              <w:rPr>
                <w:kern w:val="20"/>
                <w:sz w:val="18"/>
              </w:rPr>
              <w:t xml:space="preserve">      0.03</w:t>
            </w:r>
          </w:p>
        </w:tc>
        <w:tc>
          <w:tcPr>
            <w:tcW w:w="993" w:type="dxa"/>
            <w:tcBorders>
              <w:top w:val="nil"/>
              <w:bottom w:val="nil"/>
            </w:tcBorders>
          </w:tcPr>
          <w:p w:rsidR="00000000" w:rsidRDefault="00000000">
            <w:pPr>
              <w:rPr>
                <w:kern w:val="20"/>
                <w:sz w:val="18"/>
              </w:rPr>
            </w:pPr>
            <w:r>
              <w:rPr>
                <w:kern w:val="20"/>
                <w:sz w:val="18"/>
              </w:rPr>
              <w:t xml:space="preserve">        2.51</w:t>
            </w:r>
          </w:p>
        </w:tc>
        <w:tc>
          <w:tcPr>
            <w:tcW w:w="708" w:type="dxa"/>
            <w:tcBorders>
              <w:top w:val="nil"/>
              <w:bottom w:val="nil"/>
            </w:tcBorders>
          </w:tcPr>
          <w:p w:rsidR="00000000" w:rsidRDefault="00000000">
            <w:pPr>
              <w:rPr>
                <w:kern w:val="20"/>
                <w:sz w:val="18"/>
              </w:rPr>
            </w:pPr>
            <w:r>
              <w:rPr>
                <w:kern w:val="20"/>
                <w:sz w:val="18"/>
              </w:rPr>
              <w:t xml:space="preserve">    1.84</w:t>
            </w:r>
          </w:p>
        </w:tc>
        <w:tc>
          <w:tcPr>
            <w:tcW w:w="851" w:type="dxa"/>
            <w:tcBorders>
              <w:top w:val="nil"/>
              <w:bottom w:val="nil"/>
            </w:tcBorders>
          </w:tcPr>
          <w:p w:rsidR="00000000" w:rsidRDefault="00000000">
            <w:pPr>
              <w:rPr>
                <w:kern w:val="20"/>
                <w:sz w:val="18"/>
              </w:rPr>
            </w:pPr>
            <w:r>
              <w:rPr>
                <w:kern w:val="20"/>
                <w:sz w:val="18"/>
              </w:rPr>
              <w:t xml:space="preserve">      1.45</w:t>
            </w:r>
          </w:p>
        </w:tc>
        <w:tc>
          <w:tcPr>
            <w:tcW w:w="953" w:type="dxa"/>
            <w:gridSpan w:val="2"/>
            <w:tcBorders>
              <w:top w:val="nil"/>
              <w:bottom w:val="nil"/>
            </w:tcBorders>
          </w:tcPr>
          <w:p w:rsidR="00000000" w:rsidRDefault="00000000">
            <w:pPr>
              <w:rPr>
                <w:kern w:val="20"/>
                <w:sz w:val="18"/>
              </w:rPr>
            </w:pPr>
            <w:r>
              <w:rPr>
                <w:kern w:val="20"/>
                <w:sz w:val="18"/>
              </w:rPr>
              <w:t xml:space="preserve">          4</w:t>
            </w:r>
          </w:p>
        </w:tc>
        <w:tc>
          <w:tcPr>
            <w:tcW w:w="751" w:type="dxa"/>
            <w:tcBorders>
              <w:top w:val="nil"/>
              <w:bottom w:val="nil"/>
            </w:tcBorders>
          </w:tcPr>
          <w:p w:rsidR="00000000" w:rsidRDefault="00000000">
            <w:pPr>
              <w:rPr>
                <w:kern w:val="20"/>
                <w:sz w:val="18"/>
              </w:rPr>
            </w:pPr>
            <w:r>
              <w:rPr>
                <w:kern w:val="20"/>
                <w:sz w:val="18"/>
              </w:rPr>
              <w:t xml:space="preserve">    0.01</w:t>
            </w:r>
          </w:p>
        </w:tc>
        <w:tc>
          <w:tcPr>
            <w:tcW w:w="808" w:type="dxa"/>
            <w:tcBorders>
              <w:top w:val="nil"/>
              <w:bottom w:val="nil"/>
            </w:tcBorders>
          </w:tcPr>
          <w:p w:rsidR="00000000" w:rsidRDefault="00000000">
            <w:pPr>
              <w:rPr>
                <w:kern w:val="20"/>
                <w:sz w:val="18"/>
              </w:rPr>
            </w:pPr>
            <w:r>
              <w:rPr>
                <w:kern w:val="20"/>
                <w:sz w:val="18"/>
              </w:rPr>
              <w:t xml:space="preserve">     0.01</w:t>
            </w:r>
          </w:p>
        </w:tc>
        <w:tc>
          <w:tcPr>
            <w:tcW w:w="892" w:type="dxa"/>
            <w:tcBorders>
              <w:top w:val="nil"/>
              <w:bottom w:val="nil"/>
            </w:tcBorders>
          </w:tcPr>
          <w:p w:rsidR="00000000" w:rsidRDefault="00000000">
            <w:pPr>
              <w:rPr>
                <w:kern w:val="20"/>
                <w:sz w:val="18"/>
              </w:rPr>
            </w:pPr>
            <w:r>
              <w:rPr>
                <w:kern w:val="20"/>
                <w:sz w:val="18"/>
              </w:rPr>
              <w:t xml:space="preserve">      1.47</w:t>
            </w:r>
          </w:p>
        </w:tc>
        <w:tc>
          <w:tcPr>
            <w:tcW w:w="777" w:type="dxa"/>
            <w:tcBorders>
              <w:top w:val="nil"/>
              <w:bottom w:val="nil"/>
            </w:tcBorders>
          </w:tcPr>
          <w:p w:rsidR="00000000" w:rsidRDefault="00000000">
            <w:pPr>
              <w:rPr>
                <w:kern w:val="20"/>
                <w:sz w:val="18"/>
              </w:rPr>
            </w:pPr>
            <w:r>
              <w:rPr>
                <w:kern w:val="20"/>
                <w:sz w:val="18"/>
              </w:rPr>
              <w:t xml:space="preserve">     0.97</w:t>
            </w:r>
          </w:p>
        </w:tc>
        <w:tc>
          <w:tcPr>
            <w:tcW w:w="851" w:type="dxa"/>
            <w:tcBorders>
              <w:top w:val="nil"/>
              <w:bottom w:val="nil"/>
            </w:tcBorders>
          </w:tcPr>
          <w:p w:rsidR="00000000" w:rsidRDefault="00000000">
            <w:pPr>
              <w:rPr>
                <w:kern w:val="20"/>
                <w:sz w:val="18"/>
              </w:rPr>
            </w:pPr>
            <w:r>
              <w:rPr>
                <w:kern w:val="20"/>
                <w:sz w:val="18"/>
              </w:rPr>
              <w:t xml:space="preserve">     0.68</w:t>
            </w:r>
          </w:p>
        </w:tc>
      </w:tr>
      <w:tr w:rsidR="00000000">
        <w:tblPrEx>
          <w:tblCellMar>
            <w:top w:w="0" w:type="dxa"/>
            <w:bottom w:w="0" w:type="dxa"/>
          </w:tblCellMar>
        </w:tblPrEx>
        <w:tc>
          <w:tcPr>
            <w:tcW w:w="1700" w:type="dxa"/>
            <w:tcBorders>
              <w:top w:val="nil"/>
              <w:bottom w:val="nil"/>
            </w:tcBorders>
          </w:tcPr>
          <w:p w:rsidR="00000000" w:rsidRDefault="00000000">
            <w:pPr>
              <w:rPr>
                <w:kern w:val="20"/>
                <w:sz w:val="18"/>
              </w:rPr>
            </w:pPr>
            <w:r>
              <w:rPr>
                <w:kern w:val="20"/>
                <w:sz w:val="18"/>
              </w:rPr>
              <w:t>Other</w:t>
            </w:r>
          </w:p>
        </w:tc>
        <w:tc>
          <w:tcPr>
            <w:tcW w:w="992" w:type="dxa"/>
            <w:tcBorders>
              <w:top w:val="nil"/>
              <w:bottom w:val="nil"/>
            </w:tcBorders>
          </w:tcPr>
          <w:p w:rsidR="00000000" w:rsidRDefault="00000000">
            <w:pPr>
              <w:rPr>
                <w:kern w:val="20"/>
                <w:sz w:val="18"/>
              </w:rPr>
            </w:pPr>
            <w:r>
              <w:rPr>
                <w:kern w:val="20"/>
                <w:sz w:val="18"/>
              </w:rPr>
              <w:t xml:space="preserve">      11.80</w:t>
            </w:r>
          </w:p>
        </w:tc>
        <w:tc>
          <w:tcPr>
            <w:tcW w:w="891" w:type="dxa"/>
            <w:gridSpan w:val="2"/>
            <w:tcBorders>
              <w:top w:val="nil"/>
              <w:bottom w:val="nil"/>
            </w:tcBorders>
          </w:tcPr>
          <w:p w:rsidR="00000000" w:rsidRDefault="00000000">
            <w:pPr>
              <w:jc w:val="center"/>
              <w:rPr>
                <w:kern w:val="20"/>
                <w:sz w:val="18"/>
              </w:rPr>
            </w:pPr>
            <w:r>
              <w:rPr>
                <w:kern w:val="20"/>
                <w:sz w:val="18"/>
              </w:rPr>
              <w:t>52</w:t>
            </w:r>
          </w:p>
        </w:tc>
        <w:tc>
          <w:tcPr>
            <w:tcW w:w="709" w:type="dxa"/>
            <w:tcBorders>
              <w:top w:val="nil"/>
              <w:bottom w:val="nil"/>
            </w:tcBorders>
          </w:tcPr>
          <w:p w:rsidR="00000000" w:rsidRDefault="00000000">
            <w:pPr>
              <w:rPr>
                <w:kern w:val="20"/>
                <w:sz w:val="18"/>
              </w:rPr>
            </w:pPr>
            <w:r>
              <w:rPr>
                <w:kern w:val="20"/>
                <w:sz w:val="18"/>
              </w:rPr>
              <w:t xml:space="preserve">   0.26</w:t>
            </w:r>
          </w:p>
        </w:tc>
        <w:tc>
          <w:tcPr>
            <w:tcW w:w="850" w:type="dxa"/>
            <w:tcBorders>
              <w:top w:val="nil"/>
              <w:bottom w:val="nil"/>
            </w:tcBorders>
          </w:tcPr>
          <w:p w:rsidR="00000000" w:rsidRDefault="00000000">
            <w:pPr>
              <w:rPr>
                <w:kern w:val="20"/>
                <w:sz w:val="18"/>
              </w:rPr>
            </w:pPr>
            <w:r>
              <w:rPr>
                <w:kern w:val="20"/>
                <w:sz w:val="18"/>
              </w:rPr>
              <w:t xml:space="preserve">      0.16</w:t>
            </w:r>
          </w:p>
        </w:tc>
        <w:tc>
          <w:tcPr>
            <w:tcW w:w="993" w:type="dxa"/>
            <w:tcBorders>
              <w:top w:val="nil"/>
              <w:bottom w:val="nil"/>
            </w:tcBorders>
          </w:tcPr>
          <w:p w:rsidR="00000000" w:rsidRDefault="00000000">
            <w:pPr>
              <w:rPr>
                <w:kern w:val="20"/>
                <w:sz w:val="18"/>
              </w:rPr>
            </w:pPr>
            <w:r>
              <w:rPr>
                <w:kern w:val="20"/>
                <w:sz w:val="18"/>
              </w:rPr>
              <w:t xml:space="preserve">      18.00</w:t>
            </w:r>
          </w:p>
        </w:tc>
        <w:tc>
          <w:tcPr>
            <w:tcW w:w="708" w:type="dxa"/>
            <w:tcBorders>
              <w:top w:val="nil"/>
              <w:bottom w:val="nil"/>
            </w:tcBorders>
          </w:tcPr>
          <w:p w:rsidR="00000000" w:rsidRDefault="00000000">
            <w:pPr>
              <w:rPr>
                <w:kern w:val="20"/>
                <w:sz w:val="18"/>
              </w:rPr>
            </w:pPr>
            <w:r>
              <w:rPr>
                <w:kern w:val="20"/>
                <w:sz w:val="18"/>
              </w:rPr>
              <w:t xml:space="preserve">  19.67</w:t>
            </w:r>
          </w:p>
        </w:tc>
        <w:tc>
          <w:tcPr>
            <w:tcW w:w="851" w:type="dxa"/>
            <w:tcBorders>
              <w:top w:val="nil"/>
              <w:bottom w:val="nil"/>
            </w:tcBorders>
          </w:tcPr>
          <w:p w:rsidR="00000000" w:rsidRDefault="00000000">
            <w:pPr>
              <w:rPr>
                <w:kern w:val="20"/>
                <w:sz w:val="18"/>
              </w:rPr>
            </w:pPr>
            <w:r>
              <w:rPr>
                <w:kern w:val="20"/>
                <w:sz w:val="18"/>
              </w:rPr>
              <w:t xml:space="preserve">    20.28</w:t>
            </w:r>
          </w:p>
        </w:tc>
        <w:tc>
          <w:tcPr>
            <w:tcW w:w="953" w:type="dxa"/>
            <w:gridSpan w:val="2"/>
            <w:tcBorders>
              <w:top w:val="nil"/>
              <w:bottom w:val="nil"/>
            </w:tcBorders>
          </w:tcPr>
          <w:p w:rsidR="00000000" w:rsidRDefault="00000000">
            <w:pPr>
              <w:rPr>
                <w:kern w:val="20"/>
                <w:sz w:val="18"/>
              </w:rPr>
            </w:pPr>
            <w:r>
              <w:rPr>
                <w:kern w:val="20"/>
                <w:sz w:val="18"/>
              </w:rPr>
              <w:t xml:space="preserve">        27</w:t>
            </w:r>
          </w:p>
        </w:tc>
        <w:tc>
          <w:tcPr>
            <w:tcW w:w="751" w:type="dxa"/>
            <w:tcBorders>
              <w:top w:val="nil"/>
              <w:bottom w:val="nil"/>
            </w:tcBorders>
          </w:tcPr>
          <w:p w:rsidR="00000000" w:rsidRDefault="00000000">
            <w:pPr>
              <w:rPr>
                <w:kern w:val="20"/>
                <w:sz w:val="18"/>
              </w:rPr>
            </w:pPr>
            <w:r>
              <w:rPr>
                <w:kern w:val="20"/>
                <w:sz w:val="18"/>
              </w:rPr>
              <w:t xml:space="preserve">    0.11</w:t>
            </w:r>
          </w:p>
        </w:tc>
        <w:tc>
          <w:tcPr>
            <w:tcW w:w="808" w:type="dxa"/>
            <w:tcBorders>
              <w:top w:val="nil"/>
              <w:bottom w:val="nil"/>
            </w:tcBorders>
          </w:tcPr>
          <w:p w:rsidR="00000000" w:rsidRDefault="00000000">
            <w:pPr>
              <w:rPr>
                <w:kern w:val="20"/>
                <w:sz w:val="18"/>
              </w:rPr>
            </w:pPr>
            <w:r>
              <w:rPr>
                <w:kern w:val="20"/>
                <w:sz w:val="18"/>
              </w:rPr>
              <w:t xml:space="preserve">     0.07</w:t>
            </w:r>
          </w:p>
        </w:tc>
        <w:tc>
          <w:tcPr>
            <w:tcW w:w="892" w:type="dxa"/>
            <w:tcBorders>
              <w:top w:val="nil"/>
              <w:bottom w:val="nil"/>
            </w:tcBorders>
          </w:tcPr>
          <w:p w:rsidR="00000000" w:rsidRDefault="00000000">
            <w:pPr>
              <w:rPr>
                <w:kern w:val="20"/>
                <w:sz w:val="18"/>
              </w:rPr>
            </w:pPr>
            <w:r>
              <w:rPr>
                <w:kern w:val="20"/>
                <w:sz w:val="18"/>
              </w:rPr>
              <w:t xml:space="preserve">    21.23</w:t>
            </w:r>
          </w:p>
        </w:tc>
        <w:tc>
          <w:tcPr>
            <w:tcW w:w="777" w:type="dxa"/>
            <w:tcBorders>
              <w:top w:val="nil"/>
              <w:bottom w:val="nil"/>
            </w:tcBorders>
          </w:tcPr>
          <w:p w:rsidR="00000000" w:rsidRDefault="00000000">
            <w:pPr>
              <w:rPr>
                <w:kern w:val="20"/>
                <w:sz w:val="18"/>
              </w:rPr>
            </w:pPr>
            <w:r>
              <w:rPr>
                <w:kern w:val="20"/>
                <w:sz w:val="18"/>
              </w:rPr>
              <w:t xml:space="preserve">   21.13</w:t>
            </w:r>
          </w:p>
        </w:tc>
        <w:tc>
          <w:tcPr>
            <w:tcW w:w="851" w:type="dxa"/>
            <w:tcBorders>
              <w:top w:val="nil"/>
              <w:bottom w:val="nil"/>
            </w:tcBorders>
          </w:tcPr>
          <w:p w:rsidR="00000000" w:rsidRDefault="00000000">
            <w:pPr>
              <w:rPr>
                <w:kern w:val="20"/>
                <w:sz w:val="18"/>
              </w:rPr>
            </w:pPr>
            <w:r>
              <w:rPr>
                <w:kern w:val="20"/>
                <w:sz w:val="18"/>
              </w:rPr>
              <w:t xml:space="preserve">   19.71</w:t>
            </w:r>
          </w:p>
        </w:tc>
      </w:tr>
      <w:tr w:rsidR="00000000">
        <w:tblPrEx>
          <w:tblCellMar>
            <w:top w:w="0" w:type="dxa"/>
            <w:bottom w:w="0" w:type="dxa"/>
          </w:tblCellMar>
        </w:tblPrEx>
        <w:tc>
          <w:tcPr>
            <w:tcW w:w="1700" w:type="dxa"/>
            <w:tcBorders>
              <w:top w:val="nil"/>
              <w:bottom w:val="nil"/>
            </w:tcBorders>
          </w:tcPr>
          <w:p w:rsidR="00000000" w:rsidRDefault="00000000">
            <w:pPr>
              <w:rPr>
                <w:kern w:val="20"/>
                <w:sz w:val="18"/>
              </w:rPr>
            </w:pPr>
            <w:r>
              <w:rPr>
                <w:kern w:val="20"/>
                <w:sz w:val="18"/>
              </w:rPr>
              <w:t>Distribution services</w:t>
            </w:r>
          </w:p>
        </w:tc>
        <w:tc>
          <w:tcPr>
            <w:tcW w:w="992" w:type="dxa"/>
            <w:tcBorders>
              <w:top w:val="nil"/>
              <w:bottom w:val="nil"/>
            </w:tcBorders>
          </w:tcPr>
          <w:p w:rsidR="00000000" w:rsidRDefault="00000000">
            <w:pPr>
              <w:rPr>
                <w:kern w:val="20"/>
                <w:sz w:val="18"/>
              </w:rPr>
            </w:pPr>
            <w:r>
              <w:rPr>
                <w:kern w:val="20"/>
                <w:sz w:val="18"/>
              </w:rPr>
              <w:t xml:space="preserve">        7.50</w:t>
            </w:r>
          </w:p>
        </w:tc>
        <w:tc>
          <w:tcPr>
            <w:tcW w:w="891" w:type="dxa"/>
            <w:gridSpan w:val="2"/>
            <w:tcBorders>
              <w:top w:val="nil"/>
              <w:bottom w:val="nil"/>
            </w:tcBorders>
          </w:tcPr>
          <w:p w:rsidR="00000000" w:rsidRDefault="00000000">
            <w:pPr>
              <w:jc w:val="center"/>
              <w:rPr>
                <w:kern w:val="20"/>
                <w:sz w:val="18"/>
              </w:rPr>
            </w:pPr>
            <w:r>
              <w:rPr>
                <w:kern w:val="20"/>
                <w:sz w:val="18"/>
              </w:rPr>
              <w:t>16</w:t>
            </w:r>
          </w:p>
        </w:tc>
        <w:tc>
          <w:tcPr>
            <w:tcW w:w="709" w:type="dxa"/>
            <w:tcBorders>
              <w:top w:val="nil"/>
              <w:bottom w:val="nil"/>
            </w:tcBorders>
          </w:tcPr>
          <w:p w:rsidR="00000000" w:rsidRDefault="00000000">
            <w:pPr>
              <w:rPr>
                <w:kern w:val="20"/>
                <w:sz w:val="18"/>
              </w:rPr>
            </w:pPr>
            <w:r>
              <w:rPr>
                <w:kern w:val="20"/>
                <w:sz w:val="18"/>
              </w:rPr>
              <w:t xml:space="preserve">   0.06</w:t>
            </w:r>
          </w:p>
        </w:tc>
        <w:tc>
          <w:tcPr>
            <w:tcW w:w="850" w:type="dxa"/>
            <w:tcBorders>
              <w:top w:val="nil"/>
              <w:bottom w:val="nil"/>
            </w:tcBorders>
          </w:tcPr>
          <w:p w:rsidR="00000000" w:rsidRDefault="00000000">
            <w:pPr>
              <w:rPr>
                <w:kern w:val="20"/>
                <w:sz w:val="18"/>
              </w:rPr>
            </w:pPr>
            <w:r>
              <w:rPr>
                <w:kern w:val="20"/>
                <w:sz w:val="18"/>
              </w:rPr>
              <w:t xml:space="preserve">      0.03</w:t>
            </w:r>
          </w:p>
        </w:tc>
        <w:tc>
          <w:tcPr>
            <w:tcW w:w="993" w:type="dxa"/>
            <w:tcBorders>
              <w:top w:val="nil"/>
              <w:bottom w:val="nil"/>
            </w:tcBorders>
          </w:tcPr>
          <w:p w:rsidR="00000000" w:rsidRDefault="00000000">
            <w:pPr>
              <w:rPr>
                <w:kern w:val="20"/>
                <w:sz w:val="18"/>
              </w:rPr>
            </w:pPr>
            <w:r>
              <w:rPr>
                <w:kern w:val="20"/>
                <w:sz w:val="18"/>
              </w:rPr>
              <w:t xml:space="preserve">        3.63</w:t>
            </w:r>
          </w:p>
        </w:tc>
        <w:tc>
          <w:tcPr>
            <w:tcW w:w="708" w:type="dxa"/>
            <w:tcBorders>
              <w:top w:val="nil"/>
              <w:bottom w:val="nil"/>
            </w:tcBorders>
          </w:tcPr>
          <w:p w:rsidR="00000000" w:rsidRDefault="00000000">
            <w:pPr>
              <w:rPr>
                <w:kern w:val="20"/>
                <w:sz w:val="18"/>
              </w:rPr>
            </w:pPr>
            <w:r>
              <w:rPr>
                <w:kern w:val="20"/>
                <w:sz w:val="18"/>
              </w:rPr>
              <w:t xml:space="preserve">    2.83</w:t>
            </w:r>
          </w:p>
        </w:tc>
        <w:tc>
          <w:tcPr>
            <w:tcW w:w="851" w:type="dxa"/>
            <w:tcBorders>
              <w:top w:val="nil"/>
              <w:bottom w:val="nil"/>
            </w:tcBorders>
          </w:tcPr>
          <w:p w:rsidR="00000000" w:rsidRDefault="00000000">
            <w:pPr>
              <w:rPr>
                <w:kern w:val="20"/>
                <w:sz w:val="18"/>
              </w:rPr>
            </w:pPr>
            <w:r>
              <w:rPr>
                <w:kern w:val="20"/>
                <w:sz w:val="18"/>
              </w:rPr>
              <w:t xml:space="preserve">      2.32</w:t>
            </w:r>
          </w:p>
        </w:tc>
        <w:tc>
          <w:tcPr>
            <w:tcW w:w="953" w:type="dxa"/>
            <w:gridSpan w:val="2"/>
            <w:tcBorders>
              <w:top w:val="nil"/>
              <w:bottom w:val="nil"/>
            </w:tcBorders>
          </w:tcPr>
          <w:p w:rsidR="00000000" w:rsidRDefault="00000000">
            <w:pPr>
              <w:rPr>
                <w:kern w:val="20"/>
                <w:sz w:val="18"/>
              </w:rPr>
            </w:pPr>
            <w:r>
              <w:rPr>
                <w:kern w:val="20"/>
                <w:sz w:val="18"/>
              </w:rPr>
              <w:t xml:space="preserve">          5</w:t>
            </w:r>
          </w:p>
        </w:tc>
        <w:tc>
          <w:tcPr>
            <w:tcW w:w="751" w:type="dxa"/>
            <w:tcBorders>
              <w:top w:val="nil"/>
              <w:bottom w:val="nil"/>
            </w:tcBorders>
          </w:tcPr>
          <w:p w:rsidR="00000000" w:rsidRDefault="00000000">
            <w:pPr>
              <w:rPr>
                <w:kern w:val="20"/>
                <w:sz w:val="18"/>
              </w:rPr>
            </w:pPr>
            <w:r>
              <w:rPr>
                <w:kern w:val="20"/>
                <w:sz w:val="18"/>
              </w:rPr>
              <w:t xml:space="preserve">    0.01</w:t>
            </w:r>
          </w:p>
        </w:tc>
        <w:tc>
          <w:tcPr>
            <w:tcW w:w="808" w:type="dxa"/>
            <w:tcBorders>
              <w:top w:val="nil"/>
              <w:bottom w:val="nil"/>
            </w:tcBorders>
          </w:tcPr>
          <w:p w:rsidR="00000000" w:rsidRDefault="00000000">
            <w:pPr>
              <w:rPr>
                <w:kern w:val="20"/>
                <w:sz w:val="18"/>
              </w:rPr>
            </w:pPr>
            <w:r>
              <w:rPr>
                <w:kern w:val="20"/>
                <w:sz w:val="18"/>
              </w:rPr>
              <w:t xml:space="preserve">     0.01</w:t>
            </w:r>
          </w:p>
        </w:tc>
        <w:tc>
          <w:tcPr>
            <w:tcW w:w="892" w:type="dxa"/>
            <w:tcBorders>
              <w:top w:val="nil"/>
              <w:bottom w:val="nil"/>
            </w:tcBorders>
          </w:tcPr>
          <w:p w:rsidR="00000000" w:rsidRDefault="00000000">
            <w:pPr>
              <w:rPr>
                <w:kern w:val="20"/>
                <w:sz w:val="18"/>
              </w:rPr>
            </w:pPr>
            <w:r>
              <w:rPr>
                <w:kern w:val="20"/>
                <w:sz w:val="18"/>
              </w:rPr>
              <w:t xml:space="preserve">      2.35</w:t>
            </w:r>
          </w:p>
        </w:tc>
        <w:tc>
          <w:tcPr>
            <w:tcW w:w="777" w:type="dxa"/>
            <w:tcBorders>
              <w:top w:val="nil"/>
              <w:bottom w:val="nil"/>
            </w:tcBorders>
          </w:tcPr>
          <w:p w:rsidR="00000000" w:rsidRDefault="00000000">
            <w:pPr>
              <w:rPr>
                <w:kern w:val="20"/>
                <w:sz w:val="18"/>
              </w:rPr>
            </w:pPr>
            <w:r>
              <w:rPr>
                <w:kern w:val="20"/>
                <w:sz w:val="18"/>
              </w:rPr>
              <w:t xml:space="preserve">     1.67</w:t>
            </w:r>
          </w:p>
        </w:tc>
        <w:tc>
          <w:tcPr>
            <w:tcW w:w="851" w:type="dxa"/>
            <w:tcBorders>
              <w:top w:val="nil"/>
              <w:bottom w:val="nil"/>
            </w:tcBorders>
          </w:tcPr>
          <w:p w:rsidR="00000000" w:rsidRDefault="00000000">
            <w:pPr>
              <w:rPr>
                <w:kern w:val="20"/>
                <w:sz w:val="18"/>
              </w:rPr>
            </w:pPr>
            <w:r>
              <w:rPr>
                <w:kern w:val="20"/>
                <w:sz w:val="18"/>
              </w:rPr>
              <w:t xml:space="preserve">     1.28</w:t>
            </w:r>
          </w:p>
        </w:tc>
      </w:tr>
      <w:tr w:rsidR="00000000">
        <w:tblPrEx>
          <w:tblCellMar>
            <w:top w:w="0" w:type="dxa"/>
            <w:bottom w:w="0" w:type="dxa"/>
          </w:tblCellMar>
        </w:tblPrEx>
        <w:tc>
          <w:tcPr>
            <w:tcW w:w="1700" w:type="dxa"/>
            <w:tcBorders>
              <w:top w:val="nil"/>
              <w:bottom w:val="nil"/>
            </w:tcBorders>
          </w:tcPr>
          <w:p w:rsidR="00000000" w:rsidRDefault="00000000">
            <w:pPr>
              <w:rPr>
                <w:kern w:val="20"/>
                <w:sz w:val="18"/>
              </w:rPr>
            </w:pPr>
            <w:r>
              <w:rPr>
                <w:kern w:val="20"/>
                <w:sz w:val="18"/>
              </w:rPr>
              <w:t>Personal services</w:t>
            </w:r>
          </w:p>
        </w:tc>
        <w:tc>
          <w:tcPr>
            <w:tcW w:w="992" w:type="dxa"/>
            <w:tcBorders>
              <w:top w:val="nil"/>
              <w:bottom w:val="nil"/>
            </w:tcBorders>
          </w:tcPr>
          <w:p w:rsidR="00000000" w:rsidRDefault="00000000">
            <w:pPr>
              <w:rPr>
                <w:kern w:val="20"/>
                <w:sz w:val="18"/>
              </w:rPr>
            </w:pPr>
            <w:r>
              <w:rPr>
                <w:kern w:val="20"/>
                <w:sz w:val="18"/>
              </w:rPr>
              <w:t xml:space="preserve">        8.20</w:t>
            </w:r>
          </w:p>
        </w:tc>
        <w:tc>
          <w:tcPr>
            <w:tcW w:w="891" w:type="dxa"/>
            <w:gridSpan w:val="2"/>
            <w:tcBorders>
              <w:top w:val="nil"/>
              <w:bottom w:val="nil"/>
            </w:tcBorders>
          </w:tcPr>
          <w:p w:rsidR="00000000" w:rsidRDefault="00000000">
            <w:pPr>
              <w:jc w:val="center"/>
              <w:rPr>
                <w:kern w:val="20"/>
                <w:sz w:val="18"/>
              </w:rPr>
            </w:pPr>
            <w:r>
              <w:rPr>
                <w:kern w:val="20"/>
                <w:sz w:val="18"/>
              </w:rPr>
              <w:t>25</w:t>
            </w:r>
          </w:p>
        </w:tc>
        <w:tc>
          <w:tcPr>
            <w:tcW w:w="709" w:type="dxa"/>
            <w:tcBorders>
              <w:top w:val="nil"/>
              <w:bottom w:val="nil"/>
            </w:tcBorders>
          </w:tcPr>
          <w:p w:rsidR="00000000" w:rsidRDefault="00000000">
            <w:pPr>
              <w:rPr>
                <w:kern w:val="20"/>
                <w:sz w:val="18"/>
              </w:rPr>
            </w:pPr>
            <w:r>
              <w:rPr>
                <w:kern w:val="20"/>
                <w:sz w:val="18"/>
              </w:rPr>
              <w:t xml:space="preserve">   0.09</w:t>
            </w:r>
          </w:p>
        </w:tc>
        <w:tc>
          <w:tcPr>
            <w:tcW w:w="850" w:type="dxa"/>
            <w:tcBorders>
              <w:top w:val="nil"/>
              <w:bottom w:val="nil"/>
            </w:tcBorders>
          </w:tcPr>
          <w:p w:rsidR="00000000" w:rsidRDefault="00000000">
            <w:pPr>
              <w:rPr>
                <w:kern w:val="20"/>
                <w:sz w:val="18"/>
              </w:rPr>
            </w:pPr>
            <w:r>
              <w:rPr>
                <w:kern w:val="20"/>
                <w:sz w:val="18"/>
              </w:rPr>
              <w:t xml:space="preserve">      0.05</w:t>
            </w:r>
          </w:p>
        </w:tc>
        <w:tc>
          <w:tcPr>
            <w:tcW w:w="993" w:type="dxa"/>
            <w:tcBorders>
              <w:top w:val="nil"/>
              <w:bottom w:val="nil"/>
            </w:tcBorders>
          </w:tcPr>
          <w:p w:rsidR="00000000" w:rsidRDefault="00000000">
            <w:pPr>
              <w:rPr>
                <w:kern w:val="20"/>
                <w:sz w:val="18"/>
              </w:rPr>
            </w:pPr>
            <w:r>
              <w:rPr>
                <w:kern w:val="20"/>
                <w:sz w:val="18"/>
              </w:rPr>
              <w:t xml:space="preserve">        6.04</w:t>
            </w:r>
          </w:p>
        </w:tc>
        <w:tc>
          <w:tcPr>
            <w:tcW w:w="708" w:type="dxa"/>
            <w:tcBorders>
              <w:top w:val="nil"/>
              <w:bottom w:val="nil"/>
            </w:tcBorders>
          </w:tcPr>
          <w:p w:rsidR="00000000" w:rsidRDefault="00000000">
            <w:pPr>
              <w:rPr>
                <w:kern w:val="20"/>
                <w:sz w:val="18"/>
              </w:rPr>
            </w:pPr>
            <w:r>
              <w:rPr>
                <w:kern w:val="20"/>
                <w:sz w:val="18"/>
              </w:rPr>
              <w:t xml:space="preserve">    4.75</w:t>
            </w:r>
          </w:p>
        </w:tc>
        <w:tc>
          <w:tcPr>
            <w:tcW w:w="851" w:type="dxa"/>
            <w:tcBorders>
              <w:top w:val="nil"/>
              <w:bottom w:val="nil"/>
            </w:tcBorders>
          </w:tcPr>
          <w:p w:rsidR="00000000" w:rsidRDefault="00000000">
            <w:pPr>
              <w:rPr>
                <w:kern w:val="20"/>
                <w:sz w:val="18"/>
              </w:rPr>
            </w:pPr>
            <w:r>
              <w:rPr>
                <w:kern w:val="20"/>
                <w:sz w:val="18"/>
              </w:rPr>
              <w:t xml:space="preserve">      3.91</w:t>
            </w:r>
          </w:p>
        </w:tc>
        <w:tc>
          <w:tcPr>
            <w:tcW w:w="953" w:type="dxa"/>
            <w:gridSpan w:val="2"/>
            <w:tcBorders>
              <w:top w:val="nil"/>
              <w:bottom w:val="nil"/>
            </w:tcBorders>
          </w:tcPr>
          <w:p w:rsidR="00000000" w:rsidRDefault="00000000">
            <w:pPr>
              <w:rPr>
                <w:kern w:val="20"/>
                <w:sz w:val="18"/>
              </w:rPr>
            </w:pPr>
            <w:r>
              <w:rPr>
                <w:kern w:val="20"/>
                <w:sz w:val="18"/>
              </w:rPr>
              <w:t xml:space="preserve">          7</w:t>
            </w:r>
          </w:p>
        </w:tc>
        <w:tc>
          <w:tcPr>
            <w:tcW w:w="751" w:type="dxa"/>
            <w:tcBorders>
              <w:top w:val="nil"/>
              <w:bottom w:val="nil"/>
            </w:tcBorders>
          </w:tcPr>
          <w:p w:rsidR="00000000" w:rsidRDefault="00000000">
            <w:pPr>
              <w:rPr>
                <w:kern w:val="20"/>
                <w:sz w:val="18"/>
              </w:rPr>
            </w:pPr>
            <w:r>
              <w:rPr>
                <w:kern w:val="20"/>
                <w:sz w:val="18"/>
              </w:rPr>
              <w:t xml:space="preserve">    0.02</w:t>
            </w:r>
          </w:p>
        </w:tc>
        <w:tc>
          <w:tcPr>
            <w:tcW w:w="808" w:type="dxa"/>
            <w:tcBorders>
              <w:top w:val="nil"/>
              <w:bottom w:val="nil"/>
            </w:tcBorders>
          </w:tcPr>
          <w:p w:rsidR="00000000" w:rsidRDefault="00000000">
            <w:pPr>
              <w:rPr>
                <w:kern w:val="20"/>
                <w:sz w:val="18"/>
              </w:rPr>
            </w:pPr>
            <w:r>
              <w:rPr>
                <w:kern w:val="20"/>
                <w:sz w:val="18"/>
              </w:rPr>
              <w:t xml:space="preserve">     0.01</w:t>
            </w:r>
          </w:p>
        </w:tc>
        <w:tc>
          <w:tcPr>
            <w:tcW w:w="892" w:type="dxa"/>
            <w:tcBorders>
              <w:top w:val="nil"/>
              <w:bottom w:val="nil"/>
            </w:tcBorders>
          </w:tcPr>
          <w:p w:rsidR="00000000" w:rsidRDefault="00000000">
            <w:pPr>
              <w:rPr>
                <w:kern w:val="20"/>
                <w:sz w:val="18"/>
              </w:rPr>
            </w:pPr>
            <w:r>
              <w:rPr>
                <w:kern w:val="20"/>
                <w:sz w:val="18"/>
              </w:rPr>
              <w:t xml:space="preserve">      3.92</w:t>
            </w:r>
          </w:p>
        </w:tc>
        <w:tc>
          <w:tcPr>
            <w:tcW w:w="777" w:type="dxa"/>
            <w:tcBorders>
              <w:top w:val="nil"/>
              <w:bottom w:val="nil"/>
            </w:tcBorders>
          </w:tcPr>
          <w:p w:rsidR="00000000" w:rsidRDefault="00000000">
            <w:pPr>
              <w:rPr>
                <w:kern w:val="20"/>
                <w:sz w:val="18"/>
              </w:rPr>
            </w:pPr>
            <w:r>
              <w:rPr>
                <w:kern w:val="20"/>
                <w:sz w:val="18"/>
              </w:rPr>
              <w:t xml:space="preserve">     2.86</w:t>
            </w:r>
          </w:p>
        </w:tc>
        <w:tc>
          <w:tcPr>
            <w:tcW w:w="851" w:type="dxa"/>
            <w:tcBorders>
              <w:top w:val="nil"/>
              <w:bottom w:val="nil"/>
            </w:tcBorders>
          </w:tcPr>
          <w:p w:rsidR="00000000" w:rsidRDefault="00000000">
            <w:pPr>
              <w:rPr>
                <w:kern w:val="20"/>
                <w:sz w:val="18"/>
              </w:rPr>
            </w:pPr>
            <w:r>
              <w:rPr>
                <w:kern w:val="20"/>
                <w:sz w:val="18"/>
              </w:rPr>
              <w:t xml:space="preserve">     2.13</w:t>
            </w:r>
          </w:p>
        </w:tc>
      </w:tr>
      <w:tr w:rsidR="00000000">
        <w:tblPrEx>
          <w:tblCellMar>
            <w:top w:w="0" w:type="dxa"/>
            <w:bottom w:w="0" w:type="dxa"/>
          </w:tblCellMar>
        </w:tblPrEx>
        <w:tc>
          <w:tcPr>
            <w:tcW w:w="1700" w:type="dxa"/>
            <w:tcBorders>
              <w:top w:val="nil"/>
              <w:bottom w:val="nil"/>
            </w:tcBorders>
          </w:tcPr>
          <w:p w:rsidR="00000000" w:rsidRDefault="00000000">
            <w:pPr>
              <w:rPr>
                <w:kern w:val="20"/>
                <w:sz w:val="18"/>
              </w:rPr>
            </w:pPr>
            <w:r>
              <w:rPr>
                <w:kern w:val="20"/>
                <w:sz w:val="18"/>
              </w:rPr>
              <w:t>Productive services</w:t>
            </w:r>
          </w:p>
        </w:tc>
        <w:tc>
          <w:tcPr>
            <w:tcW w:w="992" w:type="dxa"/>
            <w:tcBorders>
              <w:top w:val="nil"/>
              <w:bottom w:val="nil"/>
            </w:tcBorders>
          </w:tcPr>
          <w:p w:rsidR="00000000" w:rsidRDefault="00000000">
            <w:pPr>
              <w:rPr>
                <w:kern w:val="20"/>
                <w:sz w:val="18"/>
              </w:rPr>
            </w:pPr>
            <w:r>
              <w:rPr>
                <w:kern w:val="20"/>
                <w:sz w:val="18"/>
              </w:rPr>
              <w:t xml:space="preserve">        2.10</w:t>
            </w:r>
          </w:p>
        </w:tc>
        <w:tc>
          <w:tcPr>
            <w:tcW w:w="891" w:type="dxa"/>
            <w:gridSpan w:val="2"/>
            <w:tcBorders>
              <w:top w:val="nil"/>
              <w:bottom w:val="nil"/>
            </w:tcBorders>
          </w:tcPr>
          <w:p w:rsidR="00000000" w:rsidRDefault="00000000">
            <w:pPr>
              <w:jc w:val="center"/>
              <w:rPr>
                <w:kern w:val="20"/>
                <w:sz w:val="18"/>
              </w:rPr>
            </w:pPr>
            <w:r>
              <w:rPr>
                <w:kern w:val="20"/>
                <w:sz w:val="18"/>
              </w:rPr>
              <w:t xml:space="preserve">  6</w:t>
            </w:r>
          </w:p>
        </w:tc>
        <w:tc>
          <w:tcPr>
            <w:tcW w:w="709" w:type="dxa"/>
            <w:tcBorders>
              <w:top w:val="nil"/>
              <w:bottom w:val="nil"/>
            </w:tcBorders>
          </w:tcPr>
          <w:p w:rsidR="00000000" w:rsidRDefault="00000000">
            <w:pPr>
              <w:rPr>
                <w:kern w:val="20"/>
                <w:sz w:val="18"/>
              </w:rPr>
            </w:pPr>
            <w:r>
              <w:rPr>
                <w:kern w:val="20"/>
                <w:sz w:val="18"/>
              </w:rPr>
              <w:t xml:space="preserve">   0.02</w:t>
            </w:r>
          </w:p>
        </w:tc>
        <w:tc>
          <w:tcPr>
            <w:tcW w:w="850" w:type="dxa"/>
            <w:tcBorders>
              <w:top w:val="nil"/>
              <w:bottom w:val="nil"/>
            </w:tcBorders>
          </w:tcPr>
          <w:p w:rsidR="00000000" w:rsidRDefault="00000000">
            <w:pPr>
              <w:rPr>
                <w:kern w:val="20"/>
                <w:sz w:val="18"/>
              </w:rPr>
            </w:pPr>
            <w:r>
              <w:rPr>
                <w:kern w:val="20"/>
                <w:sz w:val="18"/>
              </w:rPr>
              <w:t xml:space="preserve">      0.01</w:t>
            </w:r>
          </w:p>
        </w:tc>
        <w:tc>
          <w:tcPr>
            <w:tcW w:w="993" w:type="dxa"/>
            <w:tcBorders>
              <w:top w:val="nil"/>
              <w:bottom w:val="nil"/>
            </w:tcBorders>
          </w:tcPr>
          <w:p w:rsidR="00000000" w:rsidRDefault="00000000">
            <w:pPr>
              <w:rPr>
                <w:kern w:val="20"/>
                <w:sz w:val="18"/>
              </w:rPr>
            </w:pPr>
            <w:r>
              <w:rPr>
                <w:kern w:val="20"/>
                <w:sz w:val="18"/>
              </w:rPr>
              <w:t xml:space="preserve">        0.39</w:t>
            </w:r>
          </w:p>
        </w:tc>
        <w:tc>
          <w:tcPr>
            <w:tcW w:w="708" w:type="dxa"/>
            <w:tcBorders>
              <w:top w:val="nil"/>
              <w:bottom w:val="nil"/>
            </w:tcBorders>
          </w:tcPr>
          <w:p w:rsidR="00000000" w:rsidRDefault="00000000">
            <w:pPr>
              <w:rPr>
                <w:kern w:val="20"/>
                <w:sz w:val="18"/>
              </w:rPr>
            </w:pPr>
            <w:r>
              <w:rPr>
                <w:kern w:val="20"/>
                <w:sz w:val="18"/>
              </w:rPr>
              <w:t xml:space="preserve">    0.28</w:t>
            </w:r>
          </w:p>
        </w:tc>
        <w:tc>
          <w:tcPr>
            <w:tcW w:w="851" w:type="dxa"/>
            <w:tcBorders>
              <w:top w:val="nil"/>
              <w:bottom w:val="nil"/>
            </w:tcBorders>
          </w:tcPr>
          <w:p w:rsidR="00000000" w:rsidRDefault="00000000">
            <w:pPr>
              <w:rPr>
                <w:kern w:val="20"/>
                <w:sz w:val="18"/>
              </w:rPr>
            </w:pPr>
            <w:r>
              <w:rPr>
                <w:kern w:val="20"/>
                <w:sz w:val="18"/>
              </w:rPr>
              <w:t xml:space="preserve">      0.22</w:t>
            </w:r>
          </w:p>
        </w:tc>
        <w:tc>
          <w:tcPr>
            <w:tcW w:w="953" w:type="dxa"/>
            <w:gridSpan w:val="2"/>
            <w:tcBorders>
              <w:top w:val="nil"/>
              <w:bottom w:val="nil"/>
            </w:tcBorders>
          </w:tcPr>
          <w:p w:rsidR="00000000" w:rsidRDefault="00000000">
            <w:pPr>
              <w:rPr>
                <w:kern w:val="20"/>
                <w:sz w:val="18"/>
              </w:rPr>
            </w:pPr>
            <w:r>
              <w:rPr>
                <w:kern w:val="20"/>
                <w:sz w:val="18"/>
              </w:rPr>
              <w:t xml:space="preserve">          1</w:t>
            </w:r>
          </w:p>
        </w:tc>
        <w:tc>
          <w:tcPr>
            <w:tcW w:w="751" w:type="dxa"/>
            <w:tcBorders>
              <w:top w:val="nil"/>
              <w:bottom w:val="nil"/>
            </w:tcBorders>
          </w:tcPr>
          <w:p w:rsidR="00000000" w:rsidRDefault="00000000">
            <w:pPr>
              <w:rPr>
                <w:kern w:val="20"/>
                <w:sz w:val="18"/>
              </w:rPr>
            </w:pPr>
            <w:r>
              <w:rPr>
                <w:kern w:val="20"/>
                <w:sz w:val="18"/>
              </w:rPr>
              <w:t xml:space="preserve">    0.00</w:t>
            </w:r>
          </w:p>
        </w:tc>
        <w:tc>
          <w:tcPr>
            <w:tcW w:w="808" w:type="dxa"/>
            <w:tcBorders>
              <w:top w:val="nil"/>
              <w:bottom w:val="nil"/>
            </w:tcBorders>
          </w:tcPr>
          <w:p w:rsidR="00000000" w:rsidRDefault="00000000">
            <w:pPr>
              <w:rPr>
                <w:kern w:val="20"/>
                <w:sz w:val="18"/>
              </w:rPr>
            </w:pPr>
            <w:r>
              <w:rPr>
                <w:kern w:val="20"/>
                <w:sz w:val="18"/>
              </w:rPr>
              <w:t xml:space="preserve">     0.00</w:t>
            </w:r>
          </w:p>
        </w:tc>
        <w:tc>
          <w:tcPr>
            <w:tcW w:w="892" w:type="dxa"/>
            <w:tcBorders>
              <w:top w:val="nil"/>
              <w:bottom w:val="nil"/>
            </w:tcBorders>
          </w:tcPr>
          <w:p w:rsidR="00000000" w:rsidRDefault="00000000">
            <w:pPr>
              <w:rPr>
                <w:kern w:val="20"/>
                <w:sz w:val="18"/>
              </w:rPr>
            </w:pPr>
            <w:r>
              <w:rPr>
                <w:kern w:val="20"/>
                <w:sz w:val="18"/>
              </w:rPr>
              <w:t xml:space="preserve">      0.21</w:t>
            </w:r>
          </w:p>
        </w:tc>
        <w:tc>
          <w:tcPr>
            <w:tcW w:w="777" w:type="dxa"/>
            <w:tcBorders>
              <w:top w:val="nil"/>
              <w:bottom w:val="nil"/>
            </w:tcBorders>
          </w:tcPr>
          <w:p w:rsidR="00000000" w:rsidRDefault="00000000">
            <w:pPr>
              <w:rPr>
                <w:kern w:val="20"/>
                <w:sz w:val="18"/>
              </w:rPr>
            </w:pPr>
            <w:r>
              <w:rPr>
                <w:kern w:val="20"/>
                <w:sz w:val="18"/>
              </w:rPr>
              <w:t xml:space="preserve">     0.13</w:t>
            </w:r>
          </w:p>
        </w:tc>
        <w:tc>
          <w:tcPr>
            <w:tcW w:w="851" w:type="dxa"/>
            <w:tcBorders>
              <w:top w:val="nil"/>
              <w:bottom w:val="nil"/>
            </w:tcBorders>
          </w:tcPr>
          <w:p w:rsidR="00000000" w:rsidRDefault="00000000">
            <w:pPr>
              <w:rPr>
                <w:kern w:val="20"/>
                <w:sz w:val="18"/>
              </w:rPr>
            </w:pPr>
            <w:r>
              <w:rPr>
                <w:kern w:val="20"/>
                <w:sz w:val="18"/>
              </w:rPr>
              <w:t xml:space="preserve">     0.08</w:t>
            </w:r>
          </w:p>
        </w:tc>
      </w:tr>
      <w:tr w:rsidR="00000000">
        <w:tblPrEx>
          <w:tblCellMar>
            <w:top w:w="0" w:type="dxa"/>
            <w:bottom w:w="0" w:type="dxa"/>
          </w:tblCellMar>
        </w:tblPrEx>
        <w:tc>
          <w:tcPr>
            <w:tcW w:w="1700" w:type="dxa"/>
            <w:tcBorders>
              <w:top w:val="nil"/>
              <w:bottom w:val="nil"/>
            </w:tcBorders>
          </w:tcPr>
          <w:p w:rsidR="00000000" w:rsidRDefault="00000000">
            <w:pPr>
              <w:rPr>
                <w:kern w:val="20"/>
                <w:sz w:val="18"/>
              </w:rPr>
            </w:pPr>
            <w:r>
              <w:rPr>
                <w:kern w:val="20"/>
                <w:sz w:val="18"/>
              </w:rPr>
              <w:t>Social services</w:t>
            </w:r>
          </w:p>
        </w:tc>
        <w:tc>
          <w:tcPr>
            <w:tcW w:w="992" w:type="dxa"/>
            <w:tcBorders>
              <w:top w:val="nil"/>
              <w:bottom w:val="nil"/>
            </w:tcBorders>
          </w:tcPr>
          <w:p w:rsidR="00000000" w:rsidRDefault="00000000">
            <w:pPr>
              <w:rPr>
                <w:kern w:val="20"/>
                <w:sz w:val="18"/>
              </w:rPr>
            </w:pPr>
            <w:r>
              <w:rPr>
                <w:kern w:val="20"/>
                <w:sz w:val="18"/>
              </w:rPr>
              <w:t xml:space="preserve">        6.30</w:t>
            </w:r>
          </w:p>
        </w:tc>
        <w:tc>
          <w:tcPr>
            <w:tcW w:w="891" w:type="dxa"/>
            <w:gridSpan w:val="2"/>
            <w:tcBorders>
              <w:top w:val="nil"/>
              <w:bottom w:val="nil"/>
            </w:tcBorders>
          </w:tcPr>
          <w:p w:rsidR="00000000" w:rsidRDefault="00000000">
            <w:pPr>
              <w:jc w:val="center"/>
              <w:rPr>
                <w:kern w:val="20"/>
                <w:sz w:val="18"/>
              </w:rPr>
            </w:pPr>
            <w:r>
              <w:rPr>
                <w:kern w:val="20"/>
                <w:sz w:val="18"/>
              </w:rPr>
              <w:t>12</w:t>
            </w:r>
          </w:p>
        </w:tc>
        <w:tc>
          <w:tcPr>
            <w:tcW w:w="709" w:type="dxa"/>
            <w:tcBorders>
              <w:top w:val="nil"/>
              <w:bottom w:val="nil"/>
            </w:tcBorders>
          </w:tcPr>
          <w:p w:rsidR="00000000" w:rsidRDefault="00000000">
            <w:pPr>
              <w:rPr>
                <w:kern w:val="20"/>
                <w:sz w:val="18"/>
              </w:rPr>
            </w:pPr>
            <w:r>
              <w:rPr>
                <w:kern w:val="20"/>
                <w:sz w:val="18"/>
              </w:rPr>
              <w:t xml:space="preserve">   0.04</w:t>
            </w:r>
          </w:p>
        </w:tc>
        <w:tc>
          <w:tcPr>
            <w:tcW w:w="850" w:type="dxa"/>
            <w:tcBorders>
              <w:top w:val="nil"/>
              <w:bottom w:val="nil"/>
            </w:tcBorders>
          </w:tcPr>
          <w:p w:rsidR="00000000" w:rsidRDefault="00000000">
            <w:pPr>
              <w:rPr>
                <w:kern w:val="20"/>
                <w:sz w:val="18"/>
              </w:rPr>
            </w:pPr>
            <w:r>
              <w:rPr>
                <w:kern w:val="20"/>
                <w:sz w:val="18"/>
              </w:rPr>
              <w:t xml:space="preserve">      0.02</w:t>
            </w:r>
          </w:p>
        </w:tc>
        <w:tc>
          <w:tcPr>
            <w:tcW w:w="993" w:type="dxa"/>
            <w:tcBorders>
              <w:top w:val="nil"/>
              <w:bottom w:val="nil"/>
            </w:tcBorders>
          </w:tcPr>
          <w:p w:rsidR="00000000" w:rsidRDefault="00000000">
            <w:pPr>
              <w:rPr>
                <w:kern w:val="20"/>
                <w:sz w:val="18"/>
              </w:rPr>
            </w:pPr>
            <w:r>
              <w:rPr>
                <w:kern w:val="20"/>
                <w:sz w:val="18"/>
              </w:rPr>
              <w:t xml:space="preserve">        2.18</w:t>
            </w:r>
          </w:p>
        </w:tc>
        <w:tc>
          <w:tcPr>
            <w:tcW w:w="708" w:type="dxa"/>
            <w:tcBorders>
              <w:top w:val="nil"/>
              <w:bottom w:val="nil"/>
            </w:tcBorders>
          </w:tcPr>
          <w:p w:rsidR="00000000" w:rsidRDefault="00000000">
            <w:pPr>
              <w:rPr>
                <w:kern w:val="20"/>
                <w:sz w:val="18"/>
              </w:rPr>
            </w:pPr>
            <w:r>
              <w:rPr>
                <w:kern w:val="20"/>
                <w:sz w:val="18"/>
              </w:rPr>
              <w:t xml:space="preserve">    1.66</w:t>
            </w:r>
          </w:p>
        </w:tc>
        <w:tc>
          <w:tcPr>
            <w:tcW w:w="851" w:type="dxa"/>
            <w:tcBorders>
              <w:top w:val="nil"/>
              <w:bottom w:val="nil"/>
            </w:tcBorders>
          </w:tcPr>
          <w:p w:rsidR="00000000" w:rsidRDefault="00000000">
            <w:pPr>
              <w:rPr>
                <w:kern w:val="20"/>
                <w:sz w:val="18"/>
              </w:rPr>
            </w:pPr>
            <w:r>
              <w:rPr>
                <w:kern w:val="20"/>
                <w:sz w:val="18"/>
              </w:rPr>
              <w:t xml:space="preserve">      1.32</w:t>
            </w:r>
          </w:p>
        </w:tc>
        <w:tc>
          <w:tcPr>
            <w:tcW w:w="953" w:type="dxa"/>
            <w:gridSpan w:val="2"/>
            <w:tcBorders>
              <w:top w:val="nil"/>
              <w:bottom w:val="nil"/>
            </w:tcBorders>
          </w:tcPr>
          <w:p w:rsidR="00000000" w:rsidRDefault="00000000">
            <w:pPr>
              <w:rPr>
                <w:kern w:val="20"/>
                <w:sz w:val="18"/>
              </w:rPr>
            </w:pPr>
            <w:r>
              <w:rPr>
                <w:kern w:val="20"/>
                <w:sz w:val="18"/>
              </w:rPr>
              <w:t xml:space="preserve">          3</w:t>
            </w:r>
          </w:p>
        </w:tc>
        <w:tc>
          <w:tcPr>
            <w:tcW w:w="751" w:type="dxa"/>
            <w:tcBorders>
              <w:top w:val="nil"/>
              <w:bottom w:val="nil"/>
            </w:tcBorders>
          </w:tcPr>
          <w:p w:rsidR="00000000" w:rsidRDefault="00000000">
            <w:pPr>
              <w:rPr>
                <w:kern w:val="20"/>
                <w:sz w:val="18"/>
              </w:rPr>
            </w:pPr>
            <w:r>
              <w:rPr>
                <w:kern w:val="20"/>
                <w:sz w:val="18"/>
              </w:rPr>
              <w:t xml:space="preserve">    0.01</w:t>
            </w:r>
          </w:p>
        </w:tc>
        <w:tc>
          <w:tcPr>
            <w:tcW w:w="808" w:type="dxa"/>
            <w:tcBorders>
              <w:top w:val="nil"/>
              <w:bottom w:val="nil"/>
            </w:tcBorders>
          </w:tcPr>
          <w:p w:rsidR="00000000" w:rsidRDefault="00000000">
            <w:pPr>
              <w:rPr>
                <w:kern w:val="20"/>
                <w:sz w:val="18"/>
              </w:rPr>
            </w:pPr>
            <w:r>
              <w:rPr>
                <w:kern w:val="20"/>
                <w:sz w:val="18"/>
              </w:rPr>
              <w:t xml:space="preserve">     0.00</w:t>
            </w:r>
          </w:p>
        </w:tc>
        <w:tc>
          <w:tcPr>
            <w:tcW w:w="892" w:type="dxa"/>
            <w:tcBorders>
              <w:top w:val="nil"/>
              <w:bottom w:val="nil"/>
            </w:tcBorders>
          </w:tcPr>
          <w:p w:rsidR="00000000" w:rsidRDefault="00000000">
            <w:pPr>
              <w:rPr>
                <w:kern w:val="20"/>
                <w:sz w:val="18"/>
              </w:rPr>
            </w:pPr>
            <w:r>
              <w:rPr>
                <w:kern w:val="20"/>
                <w:sz w:val="18"/>
              </w:rPr>
              <w:t xml:space="preserve">      1.36</w:t>
            </w:r>
          </w:p>
        </w:tc>
        <w:tc>
          <w:tcPr>
            <w:tcW w:w="777" w:type="dxa"/>
            <w:tcBorders>
              <w:top w:val="nil"/>
              <w:bottom w:val="nil"/>
            </w:tcBorders>
          </w:tcPr>
          <w:p w:rsidR="00000000" w:rsidRDefault="00000000">
            <w:pPr>
              <w:rPr>
                <w:kern w:val="20"/>
                <w:sz w:val="18"/>
              </w:rPr>
            </w:pPr>
            <w:r>
              <w:rPr>
                <w:kern w:val="20"/>
                <w:sz w:val="18"/>
              </w:rPr>
              <w:t xml:space="preserve">     0.91</w:t>
            </w:r>
          </w:p>
        </w:tc>
        <w:tc>
          <w:tcPr>
            <w:tcW w:w="851" w:type="dxa"/>
            <w:tcBorders>
              <w:top w:val="nil"/>
              <w:bottom w:val="nil"/>
            </w:tcBorders>
          </w:tcPr>
          <w:p w:rsidR="00000000" w:rsidRDefault="00000000">
            <w:pPr>
              <w:rPr>
                <w:kern w:val="20"/>
                <w:sz w:val="18"/>
              </w:rPr>
            </w:pPr>
            <w:r>
              <w:rPr>
                <w:kern w:val="20"/>
                <w:sz w:val="18"/>
              </w:rPr>
              <w:t xml:space="preserve">     0.64</w:t>
            </w:r>
          </w:p>
        </w:tc>
      </w:tr>
      <w:tr w:rsidR="00000000">
        <w:tblPrEx>
          <w:tblCellMar>
            <w:top w:w="0" w:type="dxa"/>
            <w:bottom w:w="0" w:type="dxa"/>
          </w:tblCellMar>
        </w:tblPrEx>
        <w:tc>
          <w:tcPr>
            <w:tcW w:w="1700" w:type="dxa"/>
            <w:tcBorders>
              <w:top w:val="nil"/>
              <w:bottom w:val="nil"/>
            </w:tcBorders>
          </w:tcPr>
          <w:p w:rsidR="00000000" w:rsidRDefault="00000000">
            <w:pPr>
              <w:rPr>
                <w:kern w:val="20"/>
                <w:sz w:val="18"/>
              </w:rPr>
            </w:pPr>
            <w:r>
              <w:rPr>
                <w:kern w:val="20"/>
                <w:sz w:val="18"/>
              </w:rPr>
              <w:t>Unemployed</w:t>
            </w:r>
          </w:p>
        </w:tc>
        <w:tc>
          <w:tcPr>
            <w:tcW w:w="992" w:type="dxa"/>
            <w:tcBorders>
              <w:top w:val="nil"/>
              <w:bottom w:val="nil"/>
            </w:tcBorders>
          </w:tcPr>
          <w:p w:rsidR="00000000" w:rsidRDefault="00000000">
            <w:pPr>
              <w:rPr>
                <w:kern w:val="20"/>
                <w:sz w:val="18"/>
              </w:rPr>
            </w:pPr>
            <w:r>
              <w:rPr>
                <w:kern w:val="20"/>
                <w:sz w:val="18"/>
              </w:rPr>
              <w:t xml:space="preserve">        3.80</w:t>
            </w:r>
          </w:p>
        </w:tc>
        <w:tc>
          <w:tcPr>
            <w:tcW w:w="891" w:type="dxa"/>
            <w:gridSpan w:val="2"/>
            <w:tcBorders>
              <w:top w:val="nil"/>
              <w:bottom w:val="nil"/>
            </w:tcBorders>
          </w:tcPr>
          <w:p w:rsidR="00000000" w:rsidRDefault="00000000">
            <w:pPr>
              <w:jc w:val="center"/>
              <w:rPr>
                <w:kern w:val="20"/>
                <w:sz w:val="18"/>
              </w:rPr>
            </w:pPr>
            <w:r>
              <w:rPr>
                <w:kern w:val="20"/>
                <w:sz w:val="18"/>
              </w:rPr>
              <w:t>43</w:t>
            </w:r>
          </w:p>
        </w:tc>
        <w:tc>
          <w:tcPr>
            <w:tcW w:w="709" w:type="dxa"/>
            <w:tcBorders>
              <w:top w:val="nil"/>
              <w:bottom w:val="nil"/>
            </w:tcBorders>
          </w:tcPr>
          <w:p w:rsidR="00000000" w:rsidRDefault="00000000">
            <w:pPr>
              <w:rPr>
                <w:kern w:val="20"/>
                <w:sz w:val="18"/>
              </w:rPr>
            </w:pPr>
            <w:r>
              <w:rPr>
                <w:kern w:val="20"/>
                <w:sz w:val="18"/>
              </w:rPr>
              <w:t xml:space="preserve">   0.23</w:t>
            </w:r>
          </w:p>
        </w:tc>
        <w:tc>
          <w:tcPr>
            <w:tcW w:w="850" w:type="dxa"/>
            <w:tcBorders>
              <w:top w:val="nil"/>
              <w:bottom w:val="nil"/>
            </w:tcBorders>
          </w:tcPr>
          <w:p w:rsidR="00000000" w:rsidRDefault="00000000">
            <w:pPr>
              <w:rPr>
                <w:kern w:val="20"/>
                <w:sz w:val="18"/>
              </w:rPr>
            </w:pPr>
            <w:r>
              <w:rPr>
                <w:kern w:val="20"/>
                <w:sz w:val="18"/>
              </w:rPr>
              <w:t xml:space="preserve">      0.16</w:t>
            </w:r>
          </w:p>
        </w:tc>
        <w:tc>
          <w:tcPr>
            <w:tcW w:w="993" w:type="dxa"/>
            <w:tcBorders>
              <w:top w:val="nil"/>
              <w:bottom w:val="nil"/>
            </w:tcBorders>
          </w:tcPr>
          <w:p w:rsidR="00000000" w:rsidRDefault="00000000">
            <w:pPr>
              <w:rPr>
                <w:kern w:val="20"/>
                <w:sz w:val="18"/>
              </w:rPr>
            </w:pPr>
            <w:r>
              <w:rPr>
                <w:kern w:val="20"/>
                <w:sz w:val="18"/>
              </w:rPr>
              <w:t xml:space="preserve">        4.88</w:t>
            </w:r>
          </w:p>
        </w:tc>
        <w:tc>
          <w:tcPr>
            <w:tcW w:w="708" w:type="dxa"/>
            <w:tcBorders>
              <w:top w:val="nil"/>
              <w:bottom w:val="nil"/>
            </w:tcBorders>
          </w:tcPr>
          <w:p w:rsidR="00000000" w:rsidRDefault="00000000">
            <w:pPr>
              <w:rPr>
                <w:kern w:val="20"/>
                <w:sz w:val="18"/>
              </w:rPr>
            </w:pPr>
            <w:r>
              <w:rPr>
                <w:kern w:val="20"/>
                <w:sz w:val="18"/>
              </w:rPr>
              <w:t xml:space="preserve">    5.64</w:t>
            </w:r>
          </w:p>
        </w:tc>
        <w:tc>
          <w:tcPr>
            <w:tcW w:w="851" w:type="dxa"/>
            <w:tcBorders>
              <w:top w:val="nil"/>
              <w:bottom w:val="nil"/>
            </w:tcBorders>
          </w:tcPr>
          <w:p w:rsidR="00000000" w:rsidRDefault="00000000">
            <w:pPr>
              <w:rPr>
                <w:kern w:val="20"/>
                <w:sz w:val="18"/>
              </w:rPr>
            </w:pPr>
            <w:r>
              <w:rPr>
                <w:kern w:val="20"/>
                <w:sz w:val="18"/>
              </w:rPr>
              <w:t xml:space="preserve">      6.53</w:t>
            </w:r>
          </w:p>
        </w:tc>
        <w:tc>
          <w:tcPr>
            <w:tcW w:w="953" w:type="dxa"/>
            <w:gridSpan w:val="2"/>
            <w:tcBorders>
              <w:top w:val="nil"/>
              <w:bottom w:val="nil"/>
            </w:tcBorders>
          </w:tcPr>
          <w:p w:rsidR="00000000" w:rsidRDefault="00000000">
            <w:pPr>
              <w:rPr>
                <w:kern w:val="20"/>
                <w:sz w:val="18"/>
              </w:rPr>
            </w:pPr>
            <w:r>
              <w:rPr>
                <w:kern w:val="20"/>
                <w:sz w:val="18"/>
              </w:rPr>
              <w:t xml:space="preserve">        22</w:t>
            </w:r>
          </w:p>
        </w:tc>
        <w:tc>
          <w:tcPr>
            <w:tcW w:w="751" w:type="dxa"/>
            <w:tcBorders>
              <w:top w:val="nil"/>
              <w:bottom w:val="nil"/>
            </w:tcBorders>
          </w:tcPr>
          <w:p w:rsidR="00000000" w:rsidRDefault="00000000">
            <w:pPr>
              <w:rPr>
                <w:kern w:val="20"/>
                <w:sz w:val="18"/>
              </w:rPr>
            </w:pPr>
            <w:r>
              <w:rPr>
                <w:kern w:val="20"/>
                <w:sz w:val="18"/>
              </w:rPr>
              <w:t xml:space="preserve">    0.13</w:t>
            </w:r>
          </w:p>
        </w:tc>
        <w:tc>
          <w:tcPr>
            <w:tcW w:w="808" w:type="dxa"/>
            <w:tcBorders>
              <w:top w:val="nil"/>
              <w:bottom w:val="nil"/>
            </w:tcBorders>
          </w:tcPr>
          <w:p w:rsidR="00000000" w:rsidRDefault="00000000">
            <w:pPr>
              <w:rPr>
                <w:kern w:val="20"/>
                <w:sz w:val="18"/>
              </w:rPr>
            </w:pPr>
            <w:r>
              <w:rPr>
                <w:kern w:val="20"/>
                <w:sz w:val="18"/>
              </w:rPr>
              <w:t xml:space="preserve">     0.10</w:t>
            </w:r>
          </w:p>
        </w:tc>
        <w:tc>
          <w:tcPr>
            <w:tcW w:w="892" w:type="dxa"/>
            <w:tcBorders>
              <w:top w:val="nil"/>
              <w:bottom w:val="nil"/>
            </w:tcBorders>
          </w:tcPr>
          <w:p w:rsidR="00000000" w:rsidRDefault="00000000">
            <w:pPr>
              <w:rPr>
                <w:kern w:val="20"/>
                <w:sz w:val="18"/>
              </w:rPr>
            </w:pPr>
            <w:r>
              <w:rPr>
                <w:kern w:val="20"/>
                <w:sz w:val="18"/>
              </w:rPr>
              <w:t xml:space="preserve">      5.66</w:t>
            </w:r>
          </w:p>
        </w:tc>
        <w:tc>
          <w:tcPr>
            <w:tcW w:w="777" w:type="dxa"/>
            <w:tcBorders>
              <w:top w:val="nil"/>
              <w:bottom w:val="nil"/>
            </w:tcBorders>
          </w:tcPr>
          <w:p w:rsidR="00000000" w:rsidRDefault="00000000">
            <w:pPr>
              <w:rPr>
                <w:kern w:val="20"/>
                <w:sz w:val="18"/>
              </w:rPr>
            </w:pPr>
            <w:r>
              <w:rPr>
                <w:kern w:val="20"/>
                <w:sz w:val="18"/>
              </w:rPr>
              <w:t xml:space="preserve">     7.65</w:t>
            </w:r>
          </w:p>
        </w:tc>
        <w:tc>
          <w:tcPr>
            <w:tcW w:w="851" w:type="dxa"/>
            <w:tcBorders>
              <w:top w:val="nil"/>
              <w:bottom w:val="nil"/>
            </w:tcBorders>
          </w:tcPr>
          <w:p w:rsidR="00000000" w:rsidRDefault="00000000">
            <w:pPr>
              <w:rPr>
                <w:kern w:val="20"/>
                <w:sz w:val="18"/>
              </w:rPr>
            </w:pPr>
            <w:r>
              <w:rPr>
                <w:kern w:val="20"/>
                <w:sz w:val="18"/>
              </w:rPr>
              <w:t xml:space="preserve">     9.79</w:t>
            </w:r>
          </w:p>
        </w:tc>
      </w:tr>
      <w:tr w:rsidR="00000000">
        <w:tblPrEx>
          <w:tblCellMar>
            <w:top w:w="0" w:type="dxa"/>
            <w:bottom w:w="0" w:type="dxa"/>
          </w:tblCellMar>
        </w:tblPrEx>
        <w:tc>
          <w:tcPr>
            <w:tcW w:w="1700" w:type="dxa"/>
            <w:tcBorders>
              <w:top w:val="nil"/>
              <w:bottom w:val="nil"/>
            </w:tcBorders>
          </w:tcPr>
          <w:p w:rsidR="00000000" w:rsidRDefault="00000000">
            <w:pPr>
              <w:rPr>
                <w:kern w:val="20"/>
                <w:sz w:val="18"/>
              </w:rPr>
            </w:pPr>
            <w:r>
              <w:rPr>
                <w:kern w:val="20"/>
                <w:sz w:val="18"/>
              </w:rPr>
              <w:t>Inactive</w:t>
            </w:r>
          </w:p>
        </w:tc>
        <w:tc>
          <w:tcPr>
            <w:tcW w:w="992" w:type="dxa"/>
            <w:tcBorders>
              <w:top w:val="nil"/>
              <w:bottom w:val="nil"/>
            </w:tcBorders>
          </w:tcPr>
          <w:p w:rsidR="00000000" w:rsidRDefault="00000000">
            <w:pPr>
              <w:rPr>
                <w:kern w:val="20"/>
                <w:sz w:val="18"/>
              </w:rPr>
            </w:pPr>
            <w:r>
              <w:rPr>
                <w:kern w:val="20"/>
                <w:sz w:val="18"/>
              </w:rPr>
              <w:t xml:space="preserve">      32.10</w:t>
            </w:r>
          </w:p>
        </w:tc>
        <w:tc>
          <w:tcPr>
            <w:tcW w:w="891" w:type="dxa"/>
            <w:gridSpan w:val="2"/>
            <w:tcBorders>
              <w:top w:val="nil"/>
              <w:bottom w:val="nil"/>
            </w:tcBorders>
          </w:tcPr>
          <w:p w:rsidR="00000000" w:rsidRDefault="00000000">
            <w:pPr>
              <w:jc w:val="center"/>
              <w:rPr>
                <w:kern w:val="20"/>
                <w:sz w:val="18"/>
              </w:rPr>
            </w:pPr>
            <w:r>
              <w:rPr>
                <w:kern w:val="20"/>
                <w:sz w:val="18"/>
              </w:rPr>
              <w:t>33</w:t>
            </w:r>
          </w:p>
        </w:tc>
        <w:tc>
          <w:tcPr>
            <w:tcW w:w="709" w:type="dxa"/>
            <w:tcBorders>
              <w:top w:val="nil"/>
              <w:bottom w:val="nil"/>
            </w:tcBorders>
          </w:tcPr>
          <w:p w:rsidR="00000000" w:rsidRDefault="00000000">
            <w:pPr>
              <w:rPr>
                <w:kern w:val="20"/>
                <w:sz w:val="18"/>
              </w:rPr>
            </w:pPr>
            <w:r>
              <w:rPr>
                <w:kern w:val="20"/>
                <w:sz w:val="18"/>
              </w:rPr>
              <w:t xml:space="preserve">   0.14</w:t>
            </w:r>
          </w:p>
        </w:tc>
        <w:tc>
          <w:tcPr>
            <w:tcW w:w="850" w:type="dxa"/>
            <w:tcBorders>
              <w:top w:val="nil"/>
              <w:bottom w:val="nil"/>
            </w:tcBorders>
          </w:tcPr>
          <w:p w:rsidR="00000000" w:rsidRDefault="00000000">
            <w:pPr>
              <w:rPr>
                <w:kern w:val="20"/>
                <w:sz w:val="18"/>
              </w:rPr>
            </w:pPr>
            <w:r>
              <w:rPr>
                <w:kern w:val="20"/>
                <w:sz w:val="18"/>
              </w:rPr>
              <w:t xml:space="preserve">      0.09</w:t>
            </w:r>
          </w:p>
        </w:tc>
        <w:tc>
          <w:tcPr>
            <w:tcW w:w="993" w:type="dxa"/>
            <w:tcBorders>
              <w:top w:val="nil"/>
              <w:bottom w:val="nil"/>
            </w:tcBorders>
          </w:tcPr>
          <w:p w:rsidR="00000000" w:rsidRDefault="00000000">
            <w:pPr>
              <w:rPr>
                <w:kern w:val="20"/>
                <w:sz w:val="18"/>
              </w:rPr>
            </w:pPr>
            <w:r>
              <w:rPr>
                <w:kern w:val="20"/>
                <w:sz w:val="18"/>
              </w:rPr>
              <w:t xml:space="preserve">      30.83</w:t>
            </w:r>
          </w:p>
        </w:tc>
        <w:tc>
          <w:tcPr>
            <w:tcW w:w="708" w:type="dxa"/>
            <w:tcBorders>
              <w:top w:val="nil"/>
              <w:bottom w:val="nil"/>
            </w:tcBorders>
          </w:tcPr>
          <w:p w:rsidR="00000000" w:rsidRDefault="00000000">
            <w:pPr>
              <w:rPr>
                <w:kern w:val="20"/>
                <w:sz w:val="18"/>
              </w:rPr>
            </w:pPr>
            <w:r>
              <w:rPr>
                <w:kern w:val="20"/>
                <w:sz w:val="18"/>
              </w:rPr>
              <w:t xml:space="preserve">  29.96</w:t>
            </w:r>
          </w:p>
        </w:tc>
        <w:tc>
          <w:tcPr>
            <w:tcW w:w="851" w:type="dxa"/>
            <w:tcBorders>
              <w:top w:val="nil"/>
              <w:bottom w:val="nil"/>
            </w:tcBorders>
          </w:tcPr>
          <w:p w:rsidR="00000000" w:rsidRDefault="00000000">
            <w:pPr>
              <w:rPr>
                <w:kern w:val="20"/>
                <w:sz w:val="18"/>
              </w:rPr>
            </w:pPr>
            <w:r>
              <w:rPr>
                <w:kern w:val="20"/>
                <w:sz w:val="18"/>
              </w:rPr>
              <w:t xml:space="preserve">    29.73</w:t>
            </w:r>
          </w:p>
        </w:tc>
        <w:tc>
          <w:tcPr>
            <w:tcW w:w="953" w:type="dxa"/>
            <w:gridSpan w:val="2"/>
            <w:tcBorders>
              <w:top w:val="nil"/>
              <w:bottom w:val="nil"/>
            </w:tcBorders>
          </w:tcPr>
          <w:p w:rsidR="00000000" w:rsidRDefault="00000000">
            <w:pPr>
              <w:rPr>
                <w:kern w:val="20"/>
                <w:sz w:val="18"/>
              </w:rPr>
            </w:pPr>
            <w:r>
              <w:rPr>
                <w:kern w:val="20"/>
                <w:sz w:val="18"/>
              </w:rPr>
              <w:t xml:space="preserve">        13</w:t>
            </w:r>
          </w:p>
        </w:tc>
        <w:tc>
          <w:tcPr>
            <w:tcW w:w="751" w:type="dxa"/>
            <w:tcBorders>
              <w:top w:val="nil"/>
              <w:bottom w:val="nil"/>
            </w:tcBorders>
          </w:tcPr>
          <w:p w:rsidR="00000000" w:rsidRDefault="00000000">
            <w:pPr>
              <w:rPr>
                <w:kern w:val="20"/>
                <w:sz w:val="18"/>
              </w:rPr>
            </w:pPr>
            <w:r>
              <w:rPr>
                <w:kern w:val="20"/>
                <w:sz w:val="18"/>
              </w:rPr>
              <w:t xml:space="preserve">    0.06</w:t>
            </w:r>
          </w:p>
        </w:tc>
        <w:tc>
          <w:tcPr>
            <w:tcW w:w="808" w:type="dxa"/>
            <w:tcBorders>
              <w:top w:val="nil"/>
              <w:bottom w:val="nil"/>
            </w:tcBorders>
          </w:tcPr>
          <w:p w:rsidR="00000000" w:rsidRDefault="00000000">
            <w:pPr>
              <w:rPr>
                <w:kern w:val="20"/>
                <w:sz w:val="18"/>
              </w:rPr>
            </w:pPr>
            <w:r>
              <w:rPr>
                <w:kern w:val="20"/>
                <w:sz w:val="18"/>
              </w:rPr>
              <w:t xml:space="preserve">     0.04</w:t>
            </w:r>
          </w:p>
        </w:tc>
        <w:tc>
          <w:tcPr>
            <w:tcW w:w="892" w:type="dxa"/>
            <w:tcBorders>
              <w:top w:val="nil"/>
              <w:bottom w:val="nil"/>
            </w:tcBorders>
          </w:tcPr>
          <w:p w:rsidR="00000000" w:rsidRDefault="00000000">
            <w:pPr>
              <w:rPr>
                <w:kern w:val="20"/>
                <w:sz w:val="18"/>
              </w:rPr>
            </w:pPr>
            <w:r>
              <w:rPr>
                <w:kern w:val="20"/>
                <w:sz w:val="18"/>
              </w:rPr>
              <w:t xml:space="preserve">    29.02 </w:t>
            </w:r>
          </w:p>
        </w:tc>
        <w:tc>
          <w:tcPr>
            <w:tcW w:w="777" w:type="dxa"/>
            <w:tcBorders>
              <w:top w:val="nil"/>
              <w:bottom w:val="nil"/>
            </w:tcBorders>
          </w:tcPr>
          <w:p w:rsidR="00000000" w:rsidRDefault="00000000">
            <w:pPr>
              <w:rPr>
                <w:kern w:val="20"/>
                <w:sz w:val="18"/>
              </w:rPr>
            </w:pPr>
            <w:r>
              <w:rPr>
                <w:kern w:val="20"/>
                <w:sz w:val="18"/>
              </w:rPr>
              <w:t xml:space="preserve">   29.34</w:t>
            </w:r>
          </w:p>
        </w:tc>
        <w:tc>
          <w:tcPr>
            <w:tcW w:w="851" w:type="dxa"/>
            <w:tcBorders>
              <w:top w:val="nil"/>
              <w:bottom w:val="nil"/>
            </w:tcBorders>
          </w:tcPr>
          <w:p w:rsidR="00000000" w:rsidRDefault="00000000">
            <w:pPr>
              <w:rPr>
                <w:kern w:val="20"/>
                <w:sz w:val="18"/>
              </w:rPr>
            </w:pPr>
            <w:r>
              <w:rPr>
                <w:kern w:val="20"/>
                <w:sz w:val="18"/>
              </w:rPr>
              <w:t xml:space="preserve">   30.56</w:t>
            </w:r>
          </w:p>
        </w:tc>
      </w:tr>
      <w:tr w:rsidR="00000000">
        <w:tblPrEx>
          <w:tblCellMar>
            <w:top w:w="0" w:type="dxa"/>
            <w:bottom w:w="0" w:type="dxa"/>
          </w:tblCellMar>
        </w:tblPrEx>
        <w:tc>
          <w:tcPr>
            <w:tcW w:w="1700" w:type="dxa"/>
            <w:tcBorders>
              <w:top w:val="nil"/>
            </w:tcBorders>
          </w:tcPr>
          <w:p w:rsidR="00000000" w:rsidRDefault="00000000">
            <w:pPr>
              <w:rPr>
                <w:kern w:val="20"/>
                <w:sz w:val="18"/>
              </w:rPr>
            </w:pPr>
            <w:r>
              <w:rPr>
                <w:kern w:val="20"/>
                <w:sz w:val="18"/>
              </w:rPr>
              <w:t>Children (0</w:t>
            </w:r>
            <w:r>
              <w:rPr>
                <w:kern w:val="20"/>
                <w:sz w:val="18"/>
              </w:rPr>
              <w:noBreakHyphen/>
              <w:t>9)</w:t>
            </w:r>
          </w:p>
        </w:tc>
        <w:tc>
          <w:tcPr>
            <w:tcW w:w="992" w:type="dxa"/>
            <w:tcBorders>
              <w:top w:val="nil"/>
            </w:tcBorders>
          </w:tcPr>
          <w:p w:rsidR="00000000" w:rsidRDefault="00000000">
            <w:pPr>
              <w:rPr>
                <w:kern w:val="20"/>
                <w:sz w:val="18"/>
              </w:rPr>
            </w:pPr>
            <w:r>
              <w:rPr>
                <w:kern w:val="20"/>
                <w:sz w:val="18"/>
              </w:rPr>
              <w:t xml:space="preserve">      20.10</w:t>
            </w:r>
          </w:p>
        </w:tc>
        <w:tc>
          <w:tcPr>
            <w:tcW w:w="891" w:type="dxa"/>
            <w:gridSpan w:val="2"/>
            <w:tcBorders>
              <w:top w:val="nil"/>
            </w:tcBorders>
          </w:tcPr>
          <w:p w:rsidR="00000000" w:rsidRDefault="00000000">
            <w:pPr>
              <w:jc w:val="center"/>
              <w:rPr>
                <w:kern w:val="20"/>
                <w:sz w:val="18"/>
              </w:rPr>
            </w:pPr>
            <w:r>
              <w:rPr>
                <w:kern w:val="20"/>
                <w:sz w:val="18"/>
              </w:rPr>
              <w:t>49</w:t>
            </w:r>
          </w:p>
        </w:tc>
        <w:tc>
          <w:tcPr>
            <w:tcW w:w="709" w:type="dxa"/>
            <w:tcBorders>
              <w:top w:val="nil"/>
            </w:tcBorders>
          </w:tcPr>
          <w:p w:rsidR="00000000" w:rsidRDefault="00000000">
            <w:pPr>
              <w:rPr>
                <w:kern w:val="20"/>
                <w:sz w:val="18"/>
              </w:rPr>
            </w:pPr>
            <w:r>
              <w:rPr>
                <w:kern w:val="20"/>
                <w:sz w:val="18"/>
              </w:rPr>
              <w:t xml:space="preserve">   0.24</w:t>
            </w:r>
          </w:p>
        </w:tc>
        <w:tc>
          <w:tcPr>
            <w:tcW w:w="850" w:type="dxa"/>
            <w:tcBorders>
              <w:top w:val="nil"/>
            </w:tcBorders>
          </w:tcPr>
          <w:p w:rsidR="00000000" w:rsidRDefault="00000000">
            <w:pPr>
              <w:rPr>
                <w:kern w:val="20"/>
                <w:sz w:val="18"/>
              </w:rPr>
            </w:pPr>
            <w:r>
              <w:rPr>
                <w:kern w:val="20"/>
                <w:sz w:val="18"/>
              </w:rPr>
              <w:t xml:space="preserve">      0.15</w:t>
            </w:r>
          </w:p>
        </w:tc>
        <w:tc>
          <w:tcPr>
            <w:tcW w:w="993" w:type="dxa"/>
            <w:tcBorders>
              <w:top w:val="nil"/>
            </w:tcBorders>
          </w:tcPr>
          <w:p w:rsidR="00000000" w:rsidRDefault="00000000">
            <w:pPr>
              <w:rPr>
                <w:kern w:val="20"/>
                <w:sz w:val="18"/>
              </w:rPr>
            </w:pPr>
            <w:r>
              <w:rPr>
                <w:kern w:val="20"/>
                <w:sz w:val="18"/>
              </w:rPr>
              <w:t xml:space="preserve">      29.27</w:t>
            </w:r>
          </w:p>
        </w:tc>
        <w:tc>
          <w:tcPr>
            <w:tcW w:w="708" w:type="dxa"/>
            <w:tcBorders>
              <w:top w:val="nil"/>
            </w:tcBorders>
          </w:tcPr>
          <w:p w:rsidR="00000000" w:rsidRDefault="00000000">
            <w:pPr>
              <w:rPr>
                <w:kern w:val="20"/>
                <w:sz w:val="18"/>
              </w:rPr>
            </w:pPr>
            <w:r>
              <w:rPr>
                <w:kern w:val="20"/>
                <w:sz w:val="18"/>
              </w:rPr>
              <w:t xml:space="preserve">  31.58</w:t>
            </w:r>
          </w:p>
        </w:tc>
        <w:tc>
          <w:tcPr>
            <w:tcW w:w="851" w:type="dxa"/>
            <w:tcBorders>
              <w:top w:val="nil"/>
            </w:tcBorders>
          </w:tcPr>
          <w:p w:rsidR="00000000" w:rsidRDefault="00000000">
            <w:pPr>
              <w:rPr>
                <w:kern w:val="20"/>
                <w:sz w:val="18"/>
              </w:rPr>
            </w:pPr>
            <w:r>
              <w:rPr>
                <w:kern w:val="20"/>
                <w:sz w:val="18"/>
              </w:rPr>
              <w:t xml:space="preserve">    32.75</w:t>
            </w:r>
          </w:p>
        </w:tc>
        <w:tc>
          <w:tcPr>
            <w:tcW w:w="953" w:type="dxa"/>
            <w:gridSpan w:val="2"/>
            <w:tcBorders>
              <w:top w:val="nil"/>
            </w:tcBorders>
          </w:tcPr>
          <w:p w:rsidR="00000000" w:rsidRDefault="00000000">
            <w:pPr>
              <w:rPr>
                <w:kern w:val="20"/>
                <w:sz w:val="18"/>
              </w:rPr>
            </w:pPr>
            <w:r>
              <w:rPr>
                <w:kern w:val="20"/>
                <w:sz w:val="18"/>
              </w:rPr>
              <w:t xml:space="preserve">        25</w:t>
            </w:r>
          </w:p>
        </w:tc>
        <w:tc>
          <w:tcPr>
            <w:tcW w:w="751" w:type="dxa"/>
            <w:tcBorders>
              <w:top w:val="nil"/>
            </w:tcBorders>
          </w:tcPr>
          <w:p w:rsidR="00000000" w:rsidRDefault="00000000">
            <w:pPr>
              <w:rPr>
                <w:kern w:val="20"/>
                <w:sz w:val="18"/>
              </w:rPr>
            </w:pPr>
            <w:r>
              <w:rPr>
                <w:kern w:val="20"/>
                <w:sz w:val="18"/>
              </w:rPr>
              <w:t xml:space="preserve">    0.11</w:t>
            </w:r>
          </w:p>
        </w:tc>
        <w:tc>
          <w:tcPr>
            <w:tcW w:w="808" w:type="dxa"/>
            <w:tcBorders>
              <w:top w:val="nil"/>
            </w:tcBorders>
          </w:tcPr>
          <w:p w:rsidR="00000000" w:rsidRDefault="00000000">
            <w:pPr>
              <w:rPr>
                <w:kern w:val="20"/>
                <w:sz w:val="18"/>
              </w:rPr>
            </w:pPr>
            <w:r>
              <w:rPr>
                <w:kern w:val="20"/>
                <w:sz w:val="18"/>
              </w:rPr>
              <w:t xml:space="preserve">     0.07</w:t>
            </w:r>
          </w:p>
        </w:tc>
        <w:tc>
          <w:tcPr>
            <w:tcW w:w="892" w:type="dxa"/>
            <w:tcBorders>
              <w:top w:val="nil"/>
            </w:tcBorders>
          </w:tcPr>
          <w:p w:rsidR="00000000" w:rsidRDefault="00000000">
            <w:pPr>
              <w:rPr>
                <w:kern w:val="20"/>
                <w:sz w:val="18"/>
              </w:rPr>
            </w:pPr>
            <w:r>
              <w:rPr>
                <w:kern w:val="20"/>
                <w:sz w:val="18"/>
              </w:rPr>
              <w:t xml:space="preserve">    33.38</w:t>
            </w:r>
          </w:p>
        </w:tc>
        <w:tc>
          <w:tcPr>
            <w:tcW w:w="777" w:type="dxa"/>
            <w:tcBorders>
              <w:top w:val="nil"/>
            </w:tcBorders>
          </w:tcPr>
          <w:p w:rsidR="00000000" w:rsidRDefault="00000000">
            <w:pPr>
              <w:rPr>
                <w:kern w:val="20"/>
                <w:sz w:val="18"/>
              </w:rPr>
            </w:pPr>
            <w:r>
              <w:rPr>
                <w:kern w:val="20"/>
                <w:sz w:val="18"/>
              </w:rPr>
              <w:t xml:space="preserve">   34.19</w:t>
            </w:r>
          </w:p>
        </w:tc>
        <w:tc>
          <w:tcPr>
            <w:tcW w:w="851" w:type="dxa"/>
            <w:tcBorders>
              <w:top w:val="nil"/>
            </w:tcBorders>
          </w:tcPr>
          <w:p w:rsidR="00000000" w:rsidRDefault="00000000">
            <w:pPr>
              <w:rPr>
                <w:kern w:val="20"/>
                <w:sz w:val="18"/>
              </w:rPr>
            </w:pPr>
            <w:r>
              <w:rPr>
                <w:kern w:val="20"/>
                <w:sz w:val="18"/>
              </w:rPr>
              <w:t xml:space="preserve">   34.06</w:t>
            </w:r>
          </w:p>
        </w:tc>
      </w:tr>
      <w:tr w:rsidR="00000000">
        <w:tblPrEx>
          <w:tblCellMar>
            <w:top w:w="0" w:type="dxa"/>
            <w:bottom w:w="0" w:type="dxa"/>
          </w:tblCellMar>
        </w:tblPrEx>
        <w:trPr>
          <w:cantSplit/>
        </w:trPr>
        <w:tc>
          <w:tcPr>
            <w:tcW w:w="1700" w:type="dxa"/>
          </w:tcPr>
          <w:p w:rsidR="00000000" w:rsidRDefault="00000000">
            <w:pPr>
              <w:rPr>
                <w:b/>
                <w:bCs/>
                <w:kern w:val="20"/>
                <w:sz w:val="18"/>
              </w:rPr>
            </w:pPr>
            <w:r>
              <w:rPr>
                <w:b/>
                <w:bCs/>
                <w:kern w:val="20"/>
                <w:sz w:val="18"/>
              </w:rPr>
              <w:t>Occupational group</w:t>
            </w:r>
          </w:p>
        </w:tc>
        <w:tc>
          <w:tcPr>
            <w:tcW w:w="11026" w:type="dxa"/>
            <w:gridSpan w:val="15"/>
          </w:tcPr>
          <w:p w:rsidR="00000000" w:rsidRDefault="00000000">
            <w:pPr>
              <w:rPr>
                <w:kern w:val="20"/>
                <w:sz w:val="18"/>
              </w:rPr>
            </w:pPr>
          </w:p>
        </w:tc>
      </w:tr>
      <w:tr w:rsidR="00000000">
        <w:tblPrEx>
          <w:tblCellMar>
            <w:top w:w="0" w:type="dxa"/>
            <w:bottom w:w="0" w:type="dxa"/>
          </w:tblCellMar>
        </w:tblPrEx>
        <w:tc>
          <w:tcPr>
            <w:tcW w:w="1700" w:type="dxa"/>
            <w:tcBorders>
              <w:bottom w:val="nil"/>
            </w:tcBorders>
          </w:tcPr>
          <w:p w:rsidR="00000000" w:rsidRDefault="00000000">
            <w:pPr>
              <w:rPr>
                <w:kern w:val="20"/>
                <w:sz w:val="18"/>
              </w:rPr>
            </w:pPr>
            <w:r>
              <w:rPr>
                <w:kern w:val="20"/>
                <w:sz w:val="18"/>
              </w:rPr>
              <w:t>Employed</w:t>
            </w:r>
          </w:p>
        </w:tc>
        <w:tc>
          <w:tcPr>
            <w:tcW w:w="992" w:type="dxa"/>
            <w:tcBorders>
              <w:bottom w:val="nil"/>
            </w:tcBorders>
          </w:tcPr>
          <w:p w:rsidR="00000000" w:rsidRDefault="00000000">
            <w:pPr>
              <w:rPr>
                <w:kern w:val="20"/>
                <w:sz w:val="18"/>
              </w:rPr>
            </w:pPr>
            <w:r>
              <w:rPr>
                <w:kern w:val="20"/>
                <w:sz w:val="18"/>
              </w:rPr>
              <w:t xml:space="preserve">      44.00</w:t>
            </w:r>
          </w:p>
        </w:tc>
        <w:tc>
          <w:tcPr>
            <w:tcW w:w="891" w:type="dxa"/>
            <w:gridSpan w:val="2"/>
            <w:tcBorders>
              <w:bottom w:val="nil"/>
            </w:tcBorders>
          </w:tcPr>
          <w:p w:rsidR="00000000" w:rsidRDefault="00000000">
            <w:pPr>
              <w:jc w:val="center"/>
              <w:rPr>
                <w:kern w:val="20"/>
                <w:sz w:val="18"/>
              </w:rPr>
            </w:pPr>
            <w:r>
              <w:rPr>
                <w:kern w:val="20"/>
                <w:sz w:val="18"/>
              </w:rPr>
              <w:t>27</w:t>
            </w:r>
          </w:p>
        </w:tc>
        <w:tc>
          <w:tcPr>
            <w:tcW w:w="709" w:type="dxa"/>
            <w:tcBorders>
              <w:bottom w:val="nil"/>
            </w:tcBorders>
          </w:tcPr>
          <w:p w:rsidR="00000000" w:rsidRDefault="00000000">
            <w:pPr>
              <w:rPr>
                <w:kern w:val="20"/>
                <w:sz w:val="18"/>
              </w:rPr>
            </w:pPr>
            <w:r>
              <w:rPr>
                <w:kern w:val="20"/>
                <w:sz w:val="18"/>
              </w:rPr>
              <w:t xml:space="preserve">   0.11</w:t>
            </w:r>
          </w:p>
        </w:tc>
        <w:tc>
          <w:tcPr>
            <w:tcW w:w="850" w:type="dxa"/>
            <w:tcBorders>
              <w:bottom w:val="nil"/>
            </w:tcBorders>
          </w:tcPr>
          <w:p w:rsidR="00000000" w:rsidRDefault="00000000">
            <w:pPr>
              <w:rPr>
                <w:kern w:val="20"/>
                <w:sz w:val="18"/>
              </w:rPr>
            </w:pPr>
            <w:r>
              <w:rPr>
                <w:kern w:val="20"/>
                <w:sz w:val="18"/>
              </w:rPr>
              <w:t xml:space="preserve">      0.07</w:t>
            </w:r>
          </w:p>
        </w:tc>
        <w:tc>
          <w:tcPr>
            <w:tcW w:w="993" w:type="dxa"/>
            <w:tcBorders>
              <w:bottom w:val="nil"/>
            </w:tcBorders>
          </w:tcPr>
          <w:p w:rsidR="00000000" w:rsidRDefault="00000000">
            <w:pPr>
              <w:rPr>
                <w:kern w:val="20"/>
                <w:sz w:val="18"/>
              </w:rPr>
            </w:pPr>
            <w:r>
              <w:rPr>
                <w:kern w:val="20"/>
                <w:sz w:val="18"/>
              </w:rPr>
              <w:t xml:space="preserve">      35.04</w:t>
            </w:r>
          </w:p>
        </w:tc>
        <w:tc>
          <w:tcPr>
            <w:tcW w:w="708" w:type="dxa"/>
            <w:tcBorders>
              <w:bottom w:val="nil"/>
            </w:tcBorders>
          </w:tcPr>
          <w:p w:rsidR="00000000" w:rsidRDefault="00000000">
            <w:pPr>
              <w:rPr>
                <w:kern w:val="20"/>
                <w:sz w:val="18"/>
              </w:rPr>
            </w:pPr>
            <w:r>
              <w:rPr>
                <w:kern w:val="20"/>
                <w:sz w:val="18"/>
              </w:rPr>
              <w:t xml:space="preserve">  32.84</w:t>
            </w:r>
          </w:p>
        </w:tc>
        <w:tc>
          <w:tcPr>
            <w:tcW w:w="851" w:type="dxa"/>
            <w:tcBorders>
              <w:bottom w:val="nil"/>
            </w:tcBorders>
          </w:tcPr>
          <w:p w:rsidR="00000000" w:rsidRDefault="00000000">
            <w:pPr>
              <w:rPr>
                <w:kern w:val="20"/>
                <w:sz w:val="18"/>
              </w:rPr>
            </w:pPr>
            <w:r>
              <w:rPr>
                <w:kern w:val="20"/>
                <w:sz w:val="18"/>
              </w:rPr>
              <w:t xml:space="preserve">    31.03</w:t>
            </w:r>
          </w:p>
        </w:tc>
        <w:tc>
          <w:tcPr>
            <w:tcW w:w="953" w:type="dxa"/>
            <w:gridSpan w:val="2"/>
            <w:tcBorders>
              <w:bottom w:val="nil"/>
            </w:tcBorders>
          </w:tcPr>
          <w:p w:rsidR="00000000" w:rsidRDefault="00000000">
            <w:pPr>
              <w:rPr>
                <w:kern w:val="20"/>
                <w:sz w:val="18"/>
              </w:rPr>
            </w:pPr>
            <w:r>
              <w:rPr>
                <w:kern w:val="20"/>
                <w:sz w:val="18"/>
              </w:rPr>
              <w:t xml:space="preserve">        11</w:t>
            </w:r>
          </w:p>
        </w:tc>
        <w:tc>
          <w:tcPr>
            <w:tcW w:w="751" w:type="dxa"/>
            <w:tcBorders>
              <w:bottom w:val="nil"/>
            </w:tcBorders>
          </w:tcPr>
          <w:p w:rsidR="00000000" w:rsidRDefault="00000000">
            <w:pPr>
              <w:rPr>
                <w:kern w:val="20"/>
                <w:sz w:val="18"/>
              </w:rPr>
            </w:pPr>
            <w:r>
              <w:rPr>
                <w:kern w:val="20"/>
                <w:sz w:val="18"/>
              </w:rPr>
              <w:t xml:space="preserve">    0.04</w:t>
            </w:r>
          </w:p>
        </w:tc>
        <w:tc>
          <w:tcPr>
            <w:tcW w:w="808" w:type="dxa"/>
            <w:tcBorders>
              <w:bottom w:val="nil"/>
            </w:tcBorders>
          </w:tcPr>
          <w:p w:rsidR="00000000" w:rsidRDefault="00000000">
            <w:pPr>
              <w:rPr>
                <w:kern w:val="20"/>
                <w:sz w:val="18"/>
              </w:rPr>
            </w:pPr>
            <w:r>
              <w:rPr>
                <w:kern w:val="20"/>
                <w:sz w:val="18"/>
              </w:rPr>
              <w:t xml:space="preserve">     0.02</w:t>
            </w:r>
          </w:p>
        </w:tc>
        <w:tc>
          <w:tcPr>
            <w:tcW w:w="892" w:type="dxa"/>
            <w:tcBorders>
              <w:bottom w:val="nil"/>
            </w:tcBorders>
          </w:tcPr>
          <w:p w:rsidR="00000000" w:rsidRDefault="00000000">
            <w:pPr>
              <w:rPr>
                <w:kern w:val="20"/>
                <w:sz w:val="18"/>
              </w:rPr>
            </w:pPr>
            <w:r>
              <w:rPr>
                <w:kern w:val="20"/>
                <w:sz w:val="18"/>
              </w:rPr>
              <w:t xml:space="preserve">    31.97</w:t>
            </w:r>
          </w:p>
        </w:tc>
        <w:tc>
          <w:tcPr>
            <w:tcW w:w="777" w:type="dxa"/>
            <w:tcBorders>
              <w:bottom w:val="nil"/>
            </w:tcBorders>
          </w:tcPr>
          <w:p w:rsidR="00000000" w:rsidRDefault="00000000">
            <w:pPr>
              <w:rPr>
                <w:kern w:val="20"/>
                <w:sz w:val="18"/>
              </w:rPr>
            </w:pPr>
            <w:r>
              <w:rPr>
                <w:kern w:val="20"/>
                <w:sz w:val="18"/>
              </w:rPr>
              <w:t xml:space="preserve">  28.87</w:t>
            </w:r>
          </w:p>
        </w:tc>
        <w:tc>
          <w:tcPr>
            <w:tcW w:w="851" w:type="dxa"/>
            <w:tcBorders>
              <w:bottom w:val="nil"/>
            </w:tcBorders>
          </w:tcPr>
          <w:p w:rsidR="00000000" w:rsidRDefault="00000000">
            <w:pPr>
              <w:rPr>
                <w:kern w:val="20"/>
                <w:sz w:val="18"/>
              </w:rPr>
            </w:pPr>
            <w:r>
              <w:rPr>
                <w:kern w:val="20"/>
                <w:sz w:val="18"/>
              </w:rPr>
              <w:t xml:space="preserve">   25.62</w:t>
            </w:r>
          </w:p>
        </w:tc>
      </w:tr>
      <w:tr w:rsidR="00000000">
        <w:tblPrEx>
          <w:tblCellMar>
            <w:top w:w="0" w:type="dxa"/>
            <w:bottom w:w="0" w:type="dxa"/>
          </w:tblCellMar>
        </w:tblPrEx>
        <w:tc>
          <w:tcPr>
            <w:tcW w:w="1700" w:type="dxa"/>
            <w:tcBorders>
              <w:top w:val="nil"/>
              <w:bottom w:val="nil"/>
            </w:tcBorders>
          </w:tcPr>
          <w:p w:rsidR="00000000" w:rsidRDefault="00000000">
            <w:pPr>
              <w:rPr>
                <w:kern w:val="20"/>
                <w:sz w:val="18"/>
              </w:rPr>
            </w:pPr>
            <w:r>
              <w:rPr>
                <w:kern w:val="20"/>
                <w:sz w:val="18"/>
              </w:rPr>
              <w:t>Agriculture</w:t>
            </w:r>
          </w:p>
        </w:tc>
        <w:tc>
          <w:tcPr>
            <w:tcW w:w="992" w:type="dxa"/>
            <w:tcBorders>
              <w:top w:val="nil"/>
              <w:bottom w:val="nil"/>
            </w:tcBorders>
          </w:tcPr>
          <w:p w:rsidR="00000000" w:rsidRDefault="00000000">
            <w:pPr>
              <w:rPr>
                <w:kern w:val="20"/>
                <w:sz w:val="18"/>
              </w:rPr>
            </w:pPr>
            <w:r>
              <w:rPr>
                <w:kern w:val="20"/>
                <w:sz w:val="18"/>
              </w:rPr>
              <w:t xml:space="preserve">        9.90</w:t>
            </w:r>
          </w:p>
        </w:tc>
        <w:tc>
          <w:tcPr>
            <w:tcW w:w="891" w:type="dxa"/>
            <w:gridSpan w:val="2"/>
            <w:tcBorders>
              <w:top w:val="nil"/>
              <w:bottom w:val="nil"/>
            </w:tcBorders>
          </w:tcPr>
          <w:p w:rsidR="00000000" w:rsidRDefault="00000000">
            <w:pPr>
              <w:jc w:val="center"/>
              <w:rPr>
                <w:kern w:val="20"/>
                <w:sz w:val="18"/>
              </w:rPr>
            </w:pPr>
            <w:r>
              <w:rPr>
                <w:kern w:val="20"/>
                <w:sz w:val="18"/>
              </w:rPr>
              <w:t>56</w:t>
            </w:r>
          </w:p>
        </w:tc>
        <w:tc>
          <w:tcPr>
            <w:tcW w:w="709" w:type="dxa"/>
            <w:tcBorders>
              <w:top w:val="nil"/>
              <w:bottom w:val="nil"/>
            </w:tcBorders>
          </w:tcPr>
          <w:p w:rsidR="00000000" w:rsidRDefault="00000000">
            <w:pPr>
              <w:rPr>
                <w:kern w:val="20"/>
                <w:sz w:val="18"/>
              </w:rPr>
            </w:pPr>
            <w:r>
              <w:rPr>
                <w:kern w:val="20"/>
                <w:sz w:val="18"/>
              </w:rPr>
              <w:t xml:space="preserve">   0.28</w:t>
            </w:r>
          </w:p>
        </w:tc>
        <w:tc>
          <w:tcPr>
            <w:tcW w:w="850" w:type="dxa"/>
            <w:tcBorders>
              <w:top w:val="nil"/>
              <w:bottom w:val="nil"/>
            </w:tcBorders>
          </w:tcPr>
          <w:p w:rsidR="00000000" w:rsidRDefault="00000000">
            <w:pPr>
              <w:rPr>
                <w:kern w:val="20"/>
                <w:sz w:val="18"/>
              </w:rPr>
            </w:pPr>
            <w:r>
              <w:rPr>
                <w:kern w:val="20"/>
                <w:sz w:val="18"/>
              </w:rPr>
              <w:t xml:space="preserve">      0.18</w:t>
            </w:r>
          </w:p>
        </w:tc>
        <w:tc>
          <w:tcPr>
            <w:tcW w:w="993" w:type="dxa"/>
            <w:tcBorders>
              <w:top w:val="nil"/>
              <w:bottom w:val="nil"/>
            </w:tcBorders>
          </w:tcPr>
          <w:p w:rsidR="00000000" w:rsidRDefault="00000000">
            <w:pPr>
              <w:rPr>
                <w:kern w:val="20"/>
                <w:sz w:val="18"/>
              </w:rPr>
            </w:pPr>
            <w:r>
              <w:rPr>
                <w:kern w:val="20"/>
                <w:sz w:val="18"/>
              </w:rPr>
              <w:t xml:space="preserve">      16.23</w:t>
            </w:r>
          </w:p>
        </w:tc>
        <w:tc>
          <w:tcPr>
            <w:tcW w:w="708" w:type="dxa"/>
            <w:tcBorders>
              <w:top w:val="nil"/>
              <w:bottom w:val="nil"/>
            </w:tcBorders>
          </w:tcPr>
          <w:p w:rsidR="00000000" w:rsidRDefault="00000000">
            <w:pPr>
              <w:rPr>
                <w:kern w:val="20"/>
                <w:sz w:val="18"/>
              </w:rPr>
            </w:pPr>
            <w:r>
              <w:rPr>
                <w:kern w:val="20"/>
                <w:sz w:val="18"/>
              </w:rPr>
              <w:t xml:space="preserve">  17.89</w:t>
            </w:r>
          </w:p>
        </w:tc>
        <w:tc>
          <w:tcPr>
            <w:tcW w:w="851" w:type="dxa"/>
            <w:tcBorders>
              <w:top w:val="nil"/>
              <w:bottom w:val="nil"/>
            </w:tcBorders>
          </w:tcPr>
          <w:p w:rsidR="00000000" w:rsidRDefault="00000000">
            <w:pPr>
              <w:rPr>
                <w:kern w:val="20"/>
                <w:sz w:val="18"/>
              </w:rPr>
            </w:pPr>
            <w:r>
              <w:rPr>
                <w:kern w:val="20"/>
                <w:sz w:val="18"/>
              </w:rPr>
              <w:t xml:space="preserve">    18.54</w:t>
            </w:r>
          </w:p>
        </w:tc>
        <w:tc>
          <w:tcPr>
            <w:tcW w:w="953" w:type="dxa"/>
            <w:gridSpan w:val="2"/>
            <w:tcBorders>
              <w:top w:val="nil"/>
              <w:bottom w:val="nil"/>
            </w:tcBorders>
          </w:tcPr>
          <w:p w:rsidR="00000000" w:rsidRDefault="00000000">
            <w:pPr>
              <w:rPr>
                <w:kern w:val="20"/>
                <w:sz w:val="18"/>
              </w:rPr>
            </w:pPr>
            <w:r>
              <w:rPr>
                <w:kern w:val="20"/>
                <w:sz w:val="18"/>
              </w:rPr>
              <w:t xml:space="preserve">        29</w:t>
            </w:r>
          </w:p>
        </w:tc>
        <w:tc>
          <w:tcPr>
            <w:tcW w:w="751" w:type="dxa"/>
            <w:tcBorders>
              <w:top w:val="nil"/>
              <w:bottom w:val="nil"/>
            </w:tcBorders>
          </w:tcPr>
          <w:p w:rsidR="00000000" w:rsidRDefault="00000000">
            <w:pPr>
              <w:rPr>
                <w:kern w:val="20"/>
                <w:sz w:val="18"/>
              </w:rPr>
            </w:pPr>
            <w:r>
              <w:rPr>
                <w:kern w:val="20"/>
                <w:sz w:val="18"/>
              </w:rPr>
              <w:t xml:space="preserve">    0.12</w:t>
            </w:r>
          </w:p>
        </w:tc>
        <w:tc>
          <w:tcPr>
            <w:tcW w:w="808" w:type="dxa"/>
            <w:tcBorders>
              <w:top w:val="nil"/>
              <w:bottom w:val="nil"/>
            </w:tcBorders>
          </w:tcPr>
          <w:p w:rsidR="00000000" w:rsidRDefault="00000000">
            <w:pPr>
              <w:rPr>
                <w:kern w:val="20"/>
                <w:sz w:val="18"/>
              </w:rPr>
            </w:pPr>
            <w:r>
              <w:rPr>
                <w:kern w:val="20"/>
                <w:sz w:val="18"/>
              </w:rPr>
              <w:t xml:space="preserve">     0.07</w:t>
            </w:r>
          </w:p>
        </w:tc>
        <w:tc>
          <w:tcPr>
            <w:tcW w:w="892" w:type="dxa"/>
            <w:tcBorders>
              <w:top w:val="nil"/>
              <w:bottom w:val="nil"/>
            </w:tcBorders>
          </w:tcPr>
          <w:p w:rsidR="00000000" w:rsidRDefault="00000000">
            <w:pPr>
              <w:rPr>
                <w:kern w:val="20"/>
                <w:sz w:val="18"/>
              </w:rPr>
            </w:pPr>
            <w:r>
              <w:rPr>
                <w:kern w:val="20"/>
                <w:sz w:val="18"/>
              </w:rPr>
              <w:t xml:space="preserve">    19.31</w:t>
            </w:r>
          </w:p>
        </w:tc>
        <w:tc>
          <w:tcPr>
            <w:tcW w:w="777" w:type="dxa"/>
            <w:tcBorders>
              <w:top w:val="nil"/>
              <w:bottom w:val="nil"/>
            </w:tcBorders>
          </w:tcPr>
          <w:p w:rsidR="00000000" w:rsidRDefault="00000000">
            <w:pPr>
              <w:rPr>
                <w:kern w:val="20"/>
                <w:sz w:val="18"/>
              </w:rPr>
            </w:pPr>
            <w:r>
              <w:rPr>
                <w:kern w:val="20"/>
                <w:sz w:val="18"/>
              </w:rPr>
              <w:t xml:space="preserve">  19.42</w:t>
            </w:r>
          </w:p>
        </w:tc>
        <w:tc>
          <w:tcPr>
            <w:tcW w:w="851" w:type="dxa"/>
            <w:tcBorders>
              <w:top w:val="nil"/>
              <w:bottom w:val="nil"/>
            </w:tcBorders>
          </w:tcPr>
          <w:p w:rsidR="00000000" w:rsidRDefault="00000000">
            <w:pPr>
              <w:rPr>
                <w:kern w:val="20"/>
                <w:sz w:val="18"/>
              </w:rPr>
            </w:pPr>
            <w:r>
              <w:rPr>
                <w:kern w:val="20"/>
                <w:sz w:val="18"/>
              </w:rPr>
              <w:t xml:space="preserve">   18.26</w:t>
            </w:r>
          </w:p>
        </w:tc>
      </w:tr>
      <w:tr w:rsidR="00000000">
        <w:tblPrEx>
          <w:tblCellMar>
            <w:top w:w="0" w:type="dxa"/>
            <w:bottom w:w="0" w:type="dxa"/>
          </w:tblCellMar>
        </w:tblPrEx>
        <w:tc>
          <w:tcPr>
            <w:tcW w:w="1700" w:type="dxa"/>
            <w:tcBorders>
              <w:top w:val="nil"/>
              <w:bottom w:val="nil"/>
            </w:tcBorders>
          </w:tcPr>
          <w:p w:rsidR="00000000" w:rsidRDefault="00000000">
            <w:pPr>
              <w:rPr>
                <w:kern w:val="20"/>
                <w:sz w:val="18"/>
              </w:rPr>
            </w:pPr>
            <w:r>
              <w:rPr>
                <w:kern w:val="20"/>
                <w:sz w:val="18"/>
              </w:rPr>
              <w:t>Street vendor</w:t>
            </w:r>
          </w:p>
        </w:tc>
        <w:tc>
          <w:tcPr>
            <w:tcW w:w="992" w:type="dxa"/>
            <w:tcBorders>
              <w:top w:val="nil"/>
              <w:bottom w:val="nil"/>
            </w:tcBorders>
          </w:tcPr>
          <w:p w:rsidR="00000000" w:rsidRDefault="00000000">
            <w:pPr>
              <w:rPr>
                <w:kern w:val="20"/>
                <w:sz w:val="18"/>
              </w:rPr>
            </w:pPr>
            <w:r>
              <w:rPr>
                <w:kern w:val="20"/>
                <w:sz w:val="18"/>
              </w:rPr>
              <w:t xml:space="preserve">        1.20</w:t>
            </w:r>
          </w:p>
        </w:tc>
        <w:tc>
          <w:tcPr>
            <w:tcW w:w="891" w:type="dxa"/>
            <w:gridSpan w:val="2"/>
            <w:tcBorders>
              <w:top w:val="nil"/>
              <w:bottom w:val="nil"/>
            </w:tcBorders>
          </w:tcPr>
          <w:p w:rsidR="00000000" w:rsidRDefault="00000000">
            <w:pPr>
              <w:jc w:val="center"/>
              <w:rPr>
                <w:kern w:val="20"/>
                <w:sz w:val="18"/>
              </w:rPr>
            </w:pPr>
            <w:r>
              <w:rPr>
                <w:kern w:val="20"/>
                <w:sz w:val="18"/>
              </w:rPr>
              <w:t>33</w:t>
            </w:r>
          </w:p>
        </w:tc>
        <w:tc>
          <w:tcPr>
            <w:tcW w:w="709" w:type="dxa"/>
            <w:tcBorders>
              <w:top w:val="nil"/>
              <w:bottom w:val="nil"/>
            </w:tcBorders>
          </w:tcPr>
          <w:p w:rsidR="00000000" w:rsidRDefault="00000000">
            <w:pPr>
              <w:rPr>
                <w:kern w:val="20"/>
                <w:sz w:val="18"/>
              </w:rPr>
            </w:pPr>
            <w:r>
              <w:rPr>
                <w:kern w:val="20"/>
                <w:sz w:val="18"/>
              </w:rPr>
              <w:t xml:space="preserve">   0.13</w:t>
            </w:r>
          </w:p>
        </w:tc>
        <w:tc>
          <w:tcPr>
            <w:tcW w:w="850" w:type="dxa"/>
            <w:tcBorders>
              <w:top w:val="nil"/>
              <w:bottom w:val="nil"/>
            </w:tcBorders>
          </w:tcPr>
          <w:p w:rsidR="00000000" w:rsidRDefault="00000000">
            <w:pPr>
              <w:rPr>
                <w:kern w:val="20"/>
                <w:sz w:val="18"/>
              </w:rPr>
            </w:pPr>
            <w:r>
              <w:rPr>
                <w:kern w:val="20"/>
                <w:sz w:val="18"/>
              </w:rPr>
              <w:t xml:space="preserve">      0.07</w:t>
            </w:r>
          </w:p>
        </w:tc>
        <w:tc>
          <w:tcPr>
            <w:tcW w:w="993" w:type="dxa"/>
            <w:tcBorders>
              <w:top w:val="nil"/>
              <w:bottom w:val="nil"/>
            </w:tcBorders>
          </w:tcPr>
          <w:p w:rsidR="00000000" w:rsidRDefault="00000000">
            <w:pPr>
              <w:rPr>
                <w:kern w:val="20"/>
                <w:sz w:val="18"/>
              </w:rPr>
            </w:pPr>
            <w:r>
              <w:rPr>
                <w:kern w:val="20"/>
                <w:sz w:val="18"/>
              </w:rPr>
              <w:t xml:space="preserve">        1.16</w:t>
            </w:r>
          </w:p>
        </w:tc>
        <w:tc>
          <w:tcPr>
            <w:tcW w:w="708" w:type="dxa"/>
            <w:tcBorders>
              <w:top w:val="nil"/>
              <w:bottom w:val="nil"/>
            </w:tcBorders>
          </w:tcPr>
          <w:p w:rsidR="00000000" w:rsidRDefault="00000000">
            <w:pPr>
              <w:rPr>
                <w:kern w:val="20"/>
                <w:sz w:val="18"/>
              </w:rPr>
            </w:pPr>
            <w:r>
              <w:rPr>
                <w:kern w:val="20"/>
                <w:sz w:val="18"/>
              </w:rPr>
              <w:t xml:space="preserve">    1.05</w:t>
            </w:r>
          </w:p>
        </w:tc>
        <w:tc>
          <w:tcPr>
            <w:tcW w:w="851" w:type="dxa"/>
            <w:tcBorders>
              <w:top w:val="nil"/>
              <w:bottom w:val="nil"/>
            </w:tcBorders>
          </w:tcPr>
          <w:p w:rsidR="00000000" w:rsidRDefault="00000000">
            <w:pPr>
              <w:rPr>
                <w:kern w:val="20"/>
                <w:sz w:val="18"/>
              </w:rPr>
            </w:pPr>
            <w:r>
              <w:rPr>
                <w:kern w:val="20"/>
                <w:sz w:val="18"/>
              </w:rPr>
              <w:t xml:space="preserve">      0.93</w:t>
            </w:r>
          </w:p>
        </w:tc>
        <w:tc>
          <w:tcPr>
            <w:tcW w:w="953" w:type="dxa"/>
            <w:gridSpan w:val="2"/>
            <w:tcBorders>
              <w:top w:val="nil"/>
              <w:bottom w:val="nil"/>
            </w:tcBorders>
          </w:tcPr>
          <w:p w:rsidR="00000000" w:rsidRDefault="00000000">
            <w:pPr>
              <w:rPr>
                <w:kern w:val="20"/>
                <w:sz w:val="18"/>
              </w:rPr>
            </w:pPr>
            <w:r>
              <w:rPr>
                <w:kern w:val="20"/>
                <w:sz w:val="18"/>
              </w:rPr>
              <w:t xml:space="preserve">        12</w:t>
            </w:r>
          </w:p>
        </w:tc>
        <w:tc>
          <w:tcPr>
            <w:tcW w:w="751" w:type="dxa"/>
            <w:tcBorders>
              <w:top w:val="nil"/>
              <w:bottom w:val="nil"/>
            </w:tcBorders>
          </w:tcPr>
          <w:p w:rsidR="00000000" w:rsidRDefault="00000000">
            <w:pPr>
              <w:rPr>
                <w:kern w:val="20"/>
                <w:sz w:val="18"/>
              </w:rPr>
            </w:pPr>
            <w:r>
              <w:rPr>
                <w:kern w:val="20"/>
                <w:sz w:val="18"/>
              </w:rPr>
              <w:t xml:space="preserve">    0.04</w:t>
            </w:r>
          </w:p>
        </w:tc>
        <w:tc>
          <w:tcPr>
            <w:tcW w:w="808" w:type="dxa"/>
            <w:tcBorders>
              <w:top w:val="nil"/>
              <w:bottom w:val="nil"/>
            </w:tcBorders>
          </w:tcPr>
          <w:p w:rsidR="00000000" w:rsidRDefault="00000000">
            <w:pPr>
              <w:rPr>
                <w:kern w:val="20"/>
                <w:sz w:val="18"/>
              </w:rPr>
            </w:pPr>
            <w:r>
              <w:rPr>
                <w:kern w:val="20"/>
                <w:sz w:val="18"/>
              </w:rPr>
              <w:t xml:space="preserve">     0.02</w:t>
            </w:r>
          </w:p>
        </w:tc>
        <w:tc>
          <w:tcPr>
            <w:tcW w:w="892" w:type="dxa"/>
            <w:tcBorders>
              <w:top w:val="nil"/>
              <w:bottom w:val="nil"/>
            </w:tcBorders>
          </w:tcPr>
          <w:p w:rsidR="00000000" w:rsidRDefault="00000000">
            <w:pPr>
              <w:rPr>
                <w:kern w:val="20"/>
                <w:sz w:val="18"/>
              </w:rPr>
            </w:pPr>
            <w:r>
              <w:rPr>
                <w:kern w:val="20"/>
                <w:sz w:val="18"/>
              </w:rPr>
              <w:t xml:space="preserve">      0.94</w:t>
            </w:r>
          </w:p>
        </w:tc>
        <w:tc>
          <w:tcPr>
            <w:tcW w:w="777" w:type="dxa"/>
            <w:tcBorders>
              <w:top w:val="nil"/>
              <w:bottom w:val="nil"/>
            </w:tcBorders>
          </w:tcPr>
          <w:p w:rsidR="00000000" w:rsidRDefault="00000000">
            <w:pPr>
              <w:rPr>
                <w:kern w:val="20"/>
                <w:sz w:val="18"/>
              </w:rPr>
            </w:pPr>
            <w:r>
              <w:rPr>
                <w:kern w:val="20"/>
                <w:sz w:val="18"/>
              </w:rPr>
              <w:t xml:space="preserve">    0.77</w:t>
            </w:r>
          </w:p>
        </w:tc>
        <w:tc>
          <w:tcPr>
            <w:tcW w:w="851" w:type="dxa"/>
            <w:tcBorders>
              <w:top w:val="nil"/>
              <w:bottom w:val="nil"/>
            </w:tcBorders>
          </w:tcPr>
          <w:p w:rsidR="00000000" w:rsidRDefault="00000000">
            <w:pPr>
              <w:rPr>
                <w:kern w:val="20"/>
                <w:sz w:val="18"/>
              </w:rPr>
            </w:pPr>
            <w:r>
              <w:rPr>
                <w:kern w:val="20"/>
                <w:sz w:val="18"/>
              </w:rPr>
              <w:t xml:space="preserve">     0.64</w:t>
            </w:r>
          </w:p>
        </w:tc>
      </w:tr>
      <w:tr w:rsidR="00000000">
        <w:tblPrEx>
          <w:tblCellMar>
            <w:top w:w="0" w:type="dxa"/>
            <w:bottom w:w="0" w:type="dxa"/>
          </w:tblCellMar>
        </w:tblPrEx>
        <w:tc>
          <w:tcPr>
            <w:tcW w:w="1700" w:type="dxa"/>
            <w:tcBorders>
              <w:top w:val="nil"/>
              <w:bottom w:val="nil"/>
            </w:tcBorders>
          </w:tcPr>
          <w:p w:rsidR="00000000" w:rsidRDefault="00000000">
            <w:pPr>
              <w:rPr>
                <w:kern w:val="20"/>
                <w:sz w:val="18"/>
              </w:rPr>
            </w:pPr>
            <w:r>
              <w:rPr>
                <w:kern w:val="20"/>
                <w:sz w:val="18"/>
              </w:rPr>
              <w:t>Civil construction</w:t>
            </w:r>
          </w:p>
        </w:tc>
        <w:tc>
          <w:tcPr>
            <w:tcW w:w="992" w:type="dxa"/>
            <w:tcBorders>
              <w:top w:val="nil"/>
              <w:bottom w:val="nil"/>
            </w:tcBorders>
          </w:tcPr>
          <w:p w:rsidR="00000000" w:rsidRDefault="00000000">
            <w:pPr>
              <w:rPr>
                <w:kern w:val="20"/>
                <w:sz w:val="18"/>
              </w:rPr>
            </w:pPr>
            <w:r>
              <w:rPr>
                <w:kern w:val="20"/>
                <w:sz w:val="18"/>
              </w:rPr>
              <w:t xml:space="preserve">        2.90</w:t>
            </w:r>
          </w:p>
        </w:tc>
        <w:tc>
          <w:tcPr>
            <w:tcW w:w="891" w:type="dxa"/>
            <w:gridSpan w:val="2"/>
            <w:tcBorders>
              <w:top w:val="nil"/>
              <w:bottom w:val="nil"/>
            </w:tcBorders>
          </w:tcPr>
          <w:p w:rsidR="00000000" w:rsidRDefault="00000000">
            <w:pPr>
              <w:jc w:val="center"/>
              <w:rPr>
                <w:kern w:val="20"/>
                <w:sz w:val="18"/>
              </w:rPr>
            </w:pPr>
            <w:r>
              <w:rPr>
                <w:kern w:val="20"/>
                <w:sz w:val="18"/>
              </w:rPr>
              <w:t>27</w:t>
            </w:r>
          </w:p>
        </w:tc>
        <w:tc>
          <w:tcPr>
            <w:tcW w:w="709" w:type="dxa"/>
            <w:tcBorders>
              <w:top w:val="nil"/>
              <w:bottom w:val="nil"/>
            </w:tcBorders>
          </w:tcPr>
          <w:p w:rsidR="00000000" w:rsidRDefault="00000000">
            <w:pPr>
              <w:rPr>
                <w:kern w:val="20"/>
                <w:sz w:val="18"/>
              </w:rPr>
            </w:pPr>
            <w:r>
              <w:rPr>
                <w:kern w:val="20"/>
                <w:sz w:val="18"/>
              </w:rPr>
              <w:t xml:space="preserve">   0.10</w:t>
            </w:r>
          </w:p>
        </w:tc>
        <w:tc>
          <w:tcPr>
            <w:tcW w:w="850" w:type="dxa"/>
            <w:tcBorders>
              <w:top w:val="nil"/>
              <w:bottom w:val="nil"/>
            </w:tcBorders>
          </w:tcPr>
          <w:p w:rsidR="00000000" w:rsidRDefault="00000000">
            <w:pPr>
              <w:rPr>
                <w:kern w:val="20"/>
                <w:sz w:val="18"/>
              </w:rPr>
            </w:pPr>
            <w:r>
              <w:rPr>
                <w:kern w:val="20"/>
                <w:sz w:val="18"/>
              </w:rPr>
              <w:t xml:space="preserve">      0.05</w:t>
            </w:r>
          </w:p>
        </w:tc>
        <w:tc>
          <w:tcPr>
            <w:tcW w:w="993" w:type="dxa"/>
            <w:tcBorders>
              <w:top w:val="nil"/>
              <w:bottom w:val="nil"/>
            </w:tcBorders>
          </w:tcPr>
          <w:p w:rsidR="00000000" w:rsidRDefault="00000000">
            <w:pPr>
              <w:rPr>
                <w:kern w:val="20"/>
                <w:sz w:val="18"/>
              </w:rPr>
            </w:pPr>
            <w:r>
              <w:rPr>
                <w:kern w:val="20"/>
                <w:sz w:val="18"/>
              </w:rPr>
              <w:t xml:space="preserve">        2.34</w:t>
            </w:r>
          </w:p>
        </w:tc>
        <w:tc>
          <w:tcPr>
            <w:tcW w:w="708" w:type="dxa"/>
            <w:tcBorders>
              <w:top w:val="nil"/>
              <w:bottom w:val="nil"/>
            </w:tcBorders>
          </w:tcPr>
          <w:p w:rsidR="00000000" w:rsidRDefault="00000000">
            <w:pPr>
              <w:rPr>
                <w:kern w:val="20"/>
                <w:sz w:val="18"/>
              </w:rPr>
            </w:pPr>
            <w:r>
              <w:rPr>
                <w:kern w:val="20"/>
                <w:sz w:val="18"/>
              </w:rPr>
              <w:t xml:space="preserve">    1.81</w:t>
            </w:r>
          </w:p>
        </w:tc>
        <w:tc>
          <w:tcPr>
            <w:tcW w:w="851" w:type="dxa"/>
            <w:tcBorders>
              <w:top w:val="nil"/>
              <w:bottom w:val="nil"/>
            </w:tcBorders>
          </w:tcPr>
          <w:p w:rsidR="00000000" w:rsidRDefault="00000000">
            <w:pPr>
              <w:rPr>
                <w:kern w:val="20"/>
                <w:sz w:val="18"/>
              </w:rPr>
            </w:pPr>
            <w:r>
              <w:rPr>
                <w:kern w:val="20"/>
                <w:sz w:val="18"/>
              </w:rPr>
              <w:t xml:space="preserve">      1.50</w:t>
            </w:r>
          </w:p>
        </w:tc>
        <w:tc>
          <w:tcPr>
            <w:tcW w:w="953" w:type="dxa"/>
            <w:gridSpan w:val="2"/>
            <w:tcBorders>
              <w:top w:val="nil"/>
              <w:bottom w:val="nil"/>
            </w:tcBorders>
          </w:tcPr>
          <w:p w:rsidR="00000000" w:rsidRDefault="00000000">
            <w:pPr>
              <w:rPr>
                <w:kern w:val="20"/>
                <w:sz w:val="18"/>
              </w:rPr>
            </w:pPr>
            <w:r>
              <w:rPr>
                <w:kern w:val="20"/>
                <w:sz w:val="18"/>
              </w:rPr>
              <w:t xml:space="preserve">          7</w:t>
            </w:r>
          </w:p>
        </w:tc>
        <w:tc>
          <w:tcPr>
            <w:tcW w:w="751" w:type="dxa"/>
            <w:tcBorders>
              <w:top w:val="nil"/>
              <w:bottom w:val="nil"/>
            </w:tcBorders>
          </w:tcPr>
          <w:p w:rsidR="00000000" w:rsidRDefault="00000000">
            <w:pPr>
              <w:rPr>
                <w:kern w:val="20"/>
                <w:sz w:val="18"/>
              </w:rPr>
            </w:pPr>
            <w:r>
              <w:rPr>
                <w:kern w:val="20"/>
                <w:sz w:val="18"/>
              </w:rPr>
              <w:t xml:space="preserve">    0.02</w:t>
            </w:r>
          </w:p>
        </w:tc>
        <w:tc>
          <w:tcPr>
            <w:tcW w:w="808" w:type="dxa"/>
            <w:tcBorders>
              <w:top w:val="nil"/>
              <w:bottom w:val="nil"/>
            </w:tcBorders>
          </w:tcPr>
          <w:p w:rsidR="00000000" w:rsidRDefault="00000000">
            <w:pPr>
              <w:rPr>
                <w:kern w:val="20"/>
                <w:sz w:val="18"/>
              </w:rPr>
            </w:pPr>
            <w:r>
              <w:rPr>
                <w:kern w:val="20"/>
                <w:sz w:val="18"/>
              </w:rPr>
              <w:t xml:space="preserve">     0.01</w:t>
            </w:r>
          </w:p>
        </w:tc>
        <w:tc>
          <w:tcPr>
            <w:tcW w:w="892" w:type="dxa"/>
            <w:tcBorders>
              <w:top w:val="nil"/>
              <w:bottom w:val="nil"/>
            </w:tcBorders>
          </w:tcPr>
          <w:p w:rsidR="00000000" w:rsidRDefault="00000000">
            <w:pPr>
              <w:rPr>
                <w:kern w:val="20"/>
                <w:sz w:val="18"/>
              </w:rPr>
            </w:pPr>
            <w:r>
              <w:rPr>
                <w:kern w:val="20"/>
                <w:sz w:val="18"/>
              </w:rPr>
              <w:t xml:space="preserve">      1.40</w:t>
            </w:r>
          </w:p>
        </w:tc>
        <w:tc>
          <w:tcPr>
            <w:tcW w:w="777" w:type="dxa"/>
            <w:tcBorders>
              <w:top w:val="nil"/>
              <w:bottom w:val="nil"/>
            </w:tcBorders>
          </w:tcPr>
          <w:p w:rsidR="00000000" w:rsidRDefault="00000000">
            <w:pPr>
              <w:rPr>
                <w:kern w:val="20"/>
                <w:sz w:val="18"/>
              </w:rPr>
            </w:pPr>
            <w:r>
              <w:rPr>
                <w:kern w:val="20"/>
                <w:sz w:val="18"/>
              </w:rPr>
              <w:t xml:space="preserve">    1.12</w:t>
            </w:r>
          </w:p>
        </w:tc>
        <w:tc>
          <w:tcPr>
            <w:tcW w:w="851" w:type="dxa"/>
            <w:tcBorders>
              <w:top w:val="nil"/>
              <w:bottom w:val="nil"/>
            </w:tcBorders>
          </w:tcPr>
          <w:p w:rsidR="00000000" w:rsidRDefault="00000000">
            <w:pPr>
              <w:rPr>
                <w:kern w:val="20"/>
                <w:sz w:val="18"/>
              </w:rPr>
            </w:pPr>
            <w:r>
              <w:rPr>
                <w:kern w:val="20"/>
                <w:sz w:val="18"/>
              </w:rPr>
              <w:t xml:space="preserve">     1.02</w:t>
            </w:r>
          </w:p>
        </w:tc>
      </w:tr>
      <w:tr w:rsidR="00000000">
        <w:tblPrEx>
          <w:tblCellMar>
            <w:top w:w="0" w:type="dxa"/>
            <w:bottom w:w="0" w:type="dxa"/>
          </w:tblCellMar>
        </w:tblPrEx>
        <w:tc>
          <w:tcPr>
            <w:tcW w:w="1700" w:type="dxa"/>
            <w:tcBorders>
              <w:top w:val="nil"/>
              <w:bottom w:val="nil"/>
            </w:tcBorders>
          </w:tcPr>
          <w:p w:rsidR="00000000" w:rsidRDefault="00000000">
            <w:pPr>
              <w:rPr>
                <w:kern w:val="20"/>
                <w:sz w:val="18"/>
              </w:rPr>
            </w:pPr>
            <w:r>
              <w:rPr>
                <w:kern w:val="20"/>
                <w:sz w:val="18"/>
              </w:rPr>
              <w:t>Own business</w:t>
            </w:r>
          </w:p>
        </w:tc>
        <w:tc>
          <w:tcPr>
            <w:tcW w:w="992" w:type="dxa"/>
            <w:tcBorders>
              <w:top w:val="nil"/>
              <w:bottom w:val="nil"/>
            </w:tcBorders>
          </w:tcPr>
          <w:p w:rsidR="00000000" w:rsidRDefault="00000000">
            <w:pPr>
              <w:rPr>
                <w:kern w:val="20"/>
                <w:sz w:val="18"/>
              </w:rPr>
            </w:pPr>
            <w:r>
              <w:rPr>
                <w:kern w:val="20"/>
                <w:sz w:val="18"/>
              </w:rPr>
              <w:t xml:space="preserve">        1.70</w:t>
            </w:r>
          </w:p>
        </w:tc>
        <w:tc>
          <w:tcPr>
            <w:tcW w:w="891" w:type="dxa"/>
            <w:gridSpan w:val="2"/>
            <w:tcBorders>
              <w:top w:val="nil"/>
              <w:bottom w:val="nil"/>
            </w:tcBorders>
          </w:tcPr>
          <w:p w:rsidR="00000000" w:rsidRDefault="00000000">
            <w:pPr>
              <w:jc w:val="center"/>
              <w:rPr>
                <w:kern w:val="20"/>
                <w:sz w:val="18"/>
              </w:rPr>
            </w:pPr>
            <w:r>
              <w:rPr>
                <w:kern w:val="20"/>
                <w:sz w:val="18"/>
              </w:rPr>
              <w:t>15</w:t>
            </w:r>
          </w:p>
        </w:tc>
        <w:tc>
          <w:tcPr>
            <w:tcW w:w="709" w:type="dxa"/>
            <w:tcBorders>
              <w:top w:val="nil"/>
              <w:bottom w:val="nil"/>
            </w:tcBorders>
          </w:tcPr>
          <w:p w:rsidR="00000000" w:rsidRDefault="00000000">
            <w:pPr>
              <w:rPr>
                <w:kern w:val="20"/>
                <w:sz w:val="18"/>
              </w:rPr>
            </w:pPr>
            <w:r>
              <w:rPr>
                <w:kern w:val="20"/>
                <w:sz w:val="18"/>
              </w:rPr>
              <w:t xml:space="preserve">   0.06</w:t>
            </w:r>
          </w:p>
        </w:tc>
        <w:tc>
          <w:tcPr>
            <w:tcW w:w="850" w:type="dxa"/>
            <w:tcBorders>
              <w:top w:val="nil"/>
              <w:bottom w:val="nil"/>
            </w:tcBorders>
          </w:tcPr>
          <w:p w:rsidR="00000000" w:rsidRDefault="00000000">
            <w:pPr>
              <w:rPr>
                <w:kern w:val="20"/>
                <w:sz w:val="18"/>
              </w:rPr>
            </w:pPr>
            <w:r>
              <w:rPr>
                <w:kern w:val="20"/>
                <w:sz w:val="18"/>
              </w:rPr>
              <w:t xml:space="preserve">      0.03</w:t>
            </w:r>
          </w:p>
        </w:tc>
        <w:tc>
          <w:tcPr>
            <w:tcW w:w="993" w:type="dxa"/>
            <w:tcBorders>
              <w:top w:val="nil"/>
              <w:bottom w:val="nil"/>
            </w:tcBorders>
          </w:tcPr>
          <w:p w:rsidR="00000000" w:rsidRDefault="00000000">
            <w:pPr>
              <w:rPr>
                <w:kern w:val="20"/>
                <w:sz w:val="18"/>
              </w:rPr>
            </w:pPr>
            <w:r>
              <w:rPr>
                <w:kern w:val="20"/>
                <w:sz w:val="18"/>
              </w:rPr>
              <w:t xml:space="preserve">        0.77</w:t>
            </w:r>
          </w:p>
        </w:tc>
        <w:tc>
          <w:tcPr>
            <w:tcW w:w="708" w:type="dxa"/>
            <w:tcBorders>
              <w:top w:val="nil"/>
              <w:bottom w:val="nil"/>
            </w:tcBorders>
          </w:tcPr>
          <w:p w:rsidR="00000000" w:rsidRDefault="00000000">
            <w:pPr>
              <w:rPr>
                <w:kern w:val="20"/>
                <w:sz w:val="18"/>
              </w:rPr>
            </w:pPr>
            <w:r>
              <w:rPr>
                <w:kern w:val="20"/>
                <w:sz w:val="18"/>
              </w:rPr>
              <w:t xml:space="preserve">    0.61</w:t>
            </w:r>
          </w:p>
        </w:tc>
        <w:tc>
          <w:tcPr>
            <w:tcW w:w="851" w:type="dxa"/>
            <w:tcBorders>
              <w:top w:val="nil"/>
              <w:bottom w:val="nil"/>
            </w:tcBorders>
          </w:tcPr>
          <w:p w:rsidR="00000000" w:rsidRDefault="00000000">
            <w:pPr>
              <w:rPr>
                <w:kern w:val="20"/>
                <w:sz w:val="18"/>
              </w:rPr>
            </w:pPr>
            <w:r>
              <w:rPr>
                <w:kern w:val="20"/>
                <w:sz w:val="18"/>
              </w:rPr>
              <w:t xml:space="preserve">      0.50</w:t>
            </w:r>
          </w:p>
        </w:tc>
        <w:tc>
          <w:tcPr>
            <w:tcW w:w="953" w:type="dxa"/>
            <w:gridSpan w:val="2"/>
            <w:tcBorders>
              <w:top w:val="nil"/>
              <w:bottom w:val="nil"/>
            </w:tcBorders>
          </w:tcPr>
          <w:p w:rsidR="00000000" w:rsidRDefault="00000000">
            <w:pPr>
              <w:rPr>
                <w:kern w:val="20"/>
                <w:sz w:val="18"/>
              </w:rPr>
            </w:pPr>
            <w:r>
              <w:rPr>
                <w:kern w:val="20"/>
                <w:sz w:val="18"/>
              </w:rPr>
              <w:t xml:space="preserve">          5</w:t>
            </w:r>
          </w:p>
        </w:tc>
        <w:tc>
          <w:tcPr>
            <w:tcW w:w="751" w:type="dxa"/>
            <w:tcBorders>
              <w:top w:val="nil"/>
              <w:bottom w:val="nil"/>
            </w:tcBorders>
          </w:tcPr>
          <w:p w:rsidR="00000000" w:rsidRDefault="00000000">
            <w:pPr>
              <w:rPr>
                <w:kern w:val="20"/>
                <w:sz w:val="18"/>
              </w:rPr>
            </w:pPr>
            <w:r>
              <w:rPr>
                <w:kern w:val="20"/>
                <w:sz w:val="18"/>
              </w:rPr>
              <w:t xml:space="preserve">    0.01</w:t>
            </w:r>
          </w:p>
        </w:tc>
        <w:tc>
          <w:tcPr>
            <w:tcW w:w="808" w:type="dxa"/>
            <w:tcBorders>
              <w:top w:val="nil"/>
              <w:bottom w:val="nil"/>
            </w:tcBorders>
          </w:tcPr>
          <w:p w:rsidR="00000000" w:rsidRDefault="00000000">
            <w:pPr>
              <w:rPr>
                <w:kern w:val="20"/>
                <w:sz w:val="18"/>
              </w:rPr>
            </w:pPr>
            <w:r>
              <w:rPr>
                <w:kern w:val="20"/>
                <w:sz w:val="18"/>
              </w:rPr>
              <w:t xml:space="preserve">     0.01</w:t>
            </w:r>
          </w:p>
        </w:tc>
        <w:tc>
          <w:tcPr>
            <w:tcW w:w="892" w:type="dxa"/>
            <w:tcBorders>
              <w:top w:val="nil"/>
              <w:bottom w:val="nil"/>
            </w:tcBorders>
          </w:tcPr>
          <w:p w:rsidR="00000000" w:rsidRDefault="00000000">
            <w:pPr>
              <w:rPr>
                <w:kern w:val="20"/>
                <w:sz w:val="18"/>
              </w:rPr>
            </w:pPr>
            <w:r>
              <w:rPr>
                <w:kern w:val="20"/>
                <w:sz w:val="18"/>
              </w:rPr>
              <w:t xml:space="preserve">      0.52</w:t>
            </w:r>
          </w:p>
        </w:tc>
        <w:tc>
          <w:tcPr>
            <w:tcW w:w="777" w:type="dxa"/>
            <w:tcBorders>
              <w:top w:val="nil"/>
              <w:bottom w:val="nil"/>
            </w:tcBorders>
          </w:tcPr>
          <w:p w:rsidR="00000000" w:rsidRDefault="00000000">
            <w:pPr>
              <w:rPr>
                <w:kern w:val="20"/>
                <w:sz w:val="18"/>
              </w:rPr>
            </w:pPr>
            <w:r>
              <w:rPr>
                <w:kern w:val="20"/>
                <w:sz w:val="18"/>
              </w:rPr>
              <w:t xml:space="preserve">    0.35</w:t>
            </w:r>
          </w:p>
        </w:tc>
        <w:tc>
          <w:tcPr>
            <w:tcW w:w="851" w:type="dxa"/>
            <w:tcBorders>
              <w:top w:val="nil"/>
              <w:bottom w:val="nil"/>
            </w:tcBorders>
          </w:tcPr>
          <w:p w:rsidR="00000000" w:rsidRDefault="00000000">
            <w:pPr>
              <w:rPr>
                <w:kern w:val="20"/>
                <w:sz w:val="18"/>
              </w:rPr>
            </w:pPr>
            <w:r>
              <w:rPr>
                <w:kern w:val="20"/>
                <w:sz w:val="18"/>
              </w:rPr>
              <w:t xml:space="preserve">     0.25</w:t>
            </w:r>
          </w:p>
        </w:tc>
      </w:tr>
      <w:tr w:rsidR="00000000">
        <w:tblPrEx>
          <w:tblCellMar>
            <w:top w:w="0" w:type="dxa"/>
            <w:bottom w:w="0" w:type="dxa"/>
          </w:tblCellMar>
        </w:tblPrEx>
        <w:tc>
          <w:tcPr>
            <w:tcW w:w="1700" w:type="dxa"/>
            <w:tcBorders>
              <w:top w:val="nil"/>
              <w:bottom w:val="nil"/>
            </w:tcBorders>
          </w:tcPr>
          <w:p w:rsidR="00000000" w:rsidRDefault="00000000">
            <w:pPr>
              <w:rPr>
                <w:kern w:val="20"/>
                <w:sz w:val="18"/>
              </w:rPr>
            </w:pPr>
            <w:r>
              <w:rPr>
                <w:kern w:val="20"/>
                <w:sz w:val="18"/>
              </w:rPr>
              <w:t>Retail and wholesale</w:t>
            </w:r>
          </w:p>
          <w:p w:rsidR="00000000" w:rsidRDefault="00000000">
            <w:pPr>
              <w:rPr>
                <w:kern w:val="20"/>
                <w:sz w:val="18"/>
              </w:rPr>
            </w:pPr>
            <w:r>
              <w:rPr>
                <w:kern w:val="20"/>
                <w:sz w:val="18"/>
              </w:rPr>
              <w:t xml:space="preserve">  commerce</w:t>
            </w:r>
          </w:p>
        </w:tc>
        <w:tc>
          <w:tcPr>
            <w:tcW w:w="992" w:type="dxa"/>
            <w:tcBorders>
              <w:top w:val="nil"/>
              <w:bottom w:val="nil"/>
            </w:tcBorders>
          </w:tcPr>
          <w:p w:rsidR="00000000" w:rsidRDefault="00000000">
            <w:pPr>
              <w:rPr>
                <w:kern w:val="20"/>
                <w:sz w:val="18"/>
              </w:rPr>
            </w:pPr>
            <w:r>
              <w:rPr>
                <w:kern w:val="20"/>
                <w:sz w:val="18"/>
              </w:rPr>
              <w:t xml:space="preserve">        2.60</w:t>
            </w:r>
          </w:p>
        </w:tc>
        <w:tc>
          <w:tcPr>
            <w:tcW w:w="891" w:type="dxa"/>
            <w:gridSpan w:val="2"/>
            <w:tcBorders>
              <w:top w:val="nil"/>
              <w:bottom w:val="nil"/>
            </w:tcBorders>
          </w:tcPr>
          <w:p w:rsidR="00000000" w:rsidRDefault="00000000">
            <w:pPr>
              <w:jc w:val="center"/>
              <w:rPr>
                <w:kern w:val="20"/>
                <w:sz w:val="18"/>
              </w:rPr>
            </w:pPr>
            <w:r>
              <w:rPr>
                <w:kern w:val="20"/>
                <w:sz w:val="18"/>
              </w:rPr>
              <w:t>14</w:t>
            </w:r>
          </w:p>
        </w:tc>
        <w:tc>
          <w:tcPr>
            <w:tcW w:w="709" w:type="dxa"/>
            <w:tcBorders>
              <w:top w:val="nil"/>
              <w:bottom w:val="nil"/>
            </w:tcBorders>
          </w:tcPr>
          <w:p w:rsidR="00000000" w:rsidRDefault="00000000">
            <w:pPr>
              <w:rPr>
                <w:kern w:val="20"/>
                <w:sz w:val="18"/>
              </w:rPr>
            </w:pPr>
            <w:r>
              <w:rPr>
                <w:kern w:val="20"/>
                <w:sz w:val="18"/>
              </w:rPr>
              <w:t xml:space="preserve">   0.04</w:t>
            </w:r>
          </w:p>
        </w:tc>
        <w:tc>
          <w:tcPr>
            <w:tcW w:w="850" w:type="dxa"/>
            <w:tcBorders>
              <w:top w:val="nil"/>
              <w:bottom w:val="nil"/>
            </w:tcBorders>
          </w:tcPr>
          <w:p w:rsidR="00000000" w:rsidRDefault="00000000">
            <w:pPr>
              <w:rPr>
                <w:kern w:val="20"/>
                <w:sz w:val="18"/>
              </w:rPr>
            </w:pPr>
            <w:r>
              <w:rPr>
                <w:kern w:val="20"/>
                <w:sz w:val="18"/>
              </w:rPr>
              <w:t xml:space="preserve">      0.02</w:t>
            </w:r>
          </w:p>
        </w:tc>
        <w:tc>
          <w:tcPr>
            <w:tcW w:w="993" w:type="dxa"/>
            <w:tcBorders>
              <w:top w:val="nil"/>
              <w:bottom w:val="nil"/>
            </w:tcBorders>
          </w:tcPr>
          <w:p w:rsidR="00000000" w:rsidRDefault="00000000">
            <w:pPr>
              <w:rPr>
                <w:kern w:val="20"/>
                <w:sz w:val="18"/>
              </w:rPr>
            </w:pPr>
            <w:r>
              <w:rPr>
                <w:kern w:val="20"/>
                <w:sz w:val="18"/>
              </w:rPr>
              <w:t xml:space="preserve">        1.05</w:t>
            </w:r>
          </w:p>
        </w:tc>
        <w:tc>
          <w:tcPr>
            <w:tcW w:w="708" w:type="dxa"/>
            <w:tcBorders>
              <w:top w:val="nil"/>
              <w:bottom w:val="nil"/>
            </w:tcBorders>
          </w:tcPr>
          <w:p w:rsidR="00000000" w:rsidRDefault="00000000">
            <w:pPr>
              <w:rPr>
                <w:kern w:val="20"/>
                <w:sz w:val="18"/>
              </w:rPr>
            </w:pPr>
            <w:r>
              <w:rPr>
                <w:kern w:val="20"/>
                <w:sz w:val="18"/>
              </w:rPr>
              <w:t xml:space="preserve">    0.72</w:t>
            </w:r>
          </w:p>
        </w:tc>
        <w:tc>
          <w:tcPr>
            <w:tcW w:w="851" w:type="dxa"/>
            <w:tcBorders>
              <w:top w:val="nil"/>
              <w:bottom w:val="nil"/>
            </w:tcBorders>
          </w:tcPr>
          <w:p w:rsidR="00000000" w:rsidRDefault="00000000">
            <w:pPr>
              <w:rPr>
                <w:kern w:val="20"/>
                <w:sz w:val="18"/>
              </w:rPr>
            </w:pPr>
            <w:r>
              <w:rPr>
                <w:kern w:val="20"/>
                <w:sz w:val="18"/>
              </w:rPr>
              <w:t xml:space="preserve">      0.55</w:t>
            </w:r>
          </w:p>
        </w:tc>
        <w:tc>
          <w:tcPr>
            <w:tcW w:w="953" w:type="dxa"/>
            <w:gridSpan w:val="2"/>
            <w:tcBorders>
              <w:top w:val="nil"/>
              <w:bottom w:val="nil"/>
            </w:tcBorders>
          </w:tcPr>
          <w:p w:rsidR="00000000" w:rsidRDefault="00000000">
            <w:pPr>
              <w:rPr>
                <w:kern w:val="20"/>
                <w:sz w:val="18"/>
              </w:rPr>
            </w:pPr>
            <w:r>
              <w:rPr>
                <w:kern w:val="20"/>
                <w:sz w:val="18"/>
              </w:rPr>
              <w:t xml:space="preserve">          3</w:t>
            </w:r>
          </w:p>
        </w:tc>
        <w:tc>
          <w:tcPr>
            <w:tcW w:w="751" w:type="dxa"/>
            <w:tcBorders>
              <w:top w:val="nil"/>
              <w:bottom w:val="nil"/>
            </w:tcBorders>
          </w:tcPr>
          <w:p w:rsidR="00000000" w:rsidRDefault="00000000">
            <w:pPr>
              <w:rPr>
                <w:kern w:val="20"/>
                <w:sz w:val="18"/>
              </w:rPr>
            </w:pPr>
            <w:r>
              <w:rPr>
                <w:kern w:val="20"/>
                <w:sz w:val="18"/>
              </w:rPr>
              <w:t xml:space="preserve">    0.01</w:t>
            </w:r>
          </w:p>
        </w:tc>
        <w:tc>
          <w:tcPr>
            <w:tcW w:w="808" w:type="dxa"/>
            <w:tcBorders>
              <w:top w:val="nil"/>
              <w:bottom w:val="nil"/>
            </w:tcBorders>
          </w:tcPr>
          <w:p w:rsidR="00000000" w:rsidRDefault="00000000">
            <w:pPr>
              <w:rPr>
                <w:kern w:val="20"/>
                <w:sz w:val="18"/>
              </w:rPr>
            </w:pPr>
            <w:r>
              <w:rPr>
                <w:kern w:val="20"/>
                <w:sz w:val="18"/>
              </w:rPr>
              <w:t xml:space="preserve">     0.00</w:t>
            </w:r>
          </w:p>
        </w:tc>
        <w:tc>
          <w:tcPr>
            <w:tcW w:w="892" w:type="dxa"/>
            <w:tcBorders>
              <w:top w:val="nil"/>
              <w:bottom w:val="nil"/>
            </w:tcBorders>
          </w:tcPr>
          <w:p w:rsidR="00000000" w:rsidRDefault="00000000">
            <w:pPr>
              <w:rPr>
                <w:kern w:val="20"/>
                <w:sz w:val="18"/>
              </w:rPr>
            </w:pPr>
            <w:r>
              <w:rPr>
                <w:kern w:val="20"/>
                <w:sz w:val="18"/>
              </w:rPr>
              <w:t xml:space="preserve">      0.52</w:t>
            </w:r>
          </w:p>
        </w:tc>
        <w:tc>
          <w:tcPr>
            <w:tcW w:w="777" w:type="dxa"/>
            <w:tcBorders>
              <w:top w:val="nil"/>
              <w:bottom w:val="nil"/>
            </w:tcBorders>
          </w:tcPr>
          <w:p w:rsidR="00000000" w:rsidRDefault="00000000">
            <w:pPr>
              <w:rPr>
                <w:kern w:val="20"/>
                <w:sz w:val="18"/>
              </w:rPr>
            </w:pPr>
            <w:r>
              <w:rPr>
                <w:kern w:val="20"/>
                <w:sz w:val="18"/>
              </w:rPr>
              <w:t xml:space="preserve">    0.33</w:t>
            </w:r>
          </w:p>
        </w:tc>
        <w:tc>
          <w:tcPr>
            <w:tcW w:w="851" w:type="dxa"/>
            <w:tcBorders>
              <w:top w:val="nil"/>
              <w:bottom w:val="nil"/>
            </w:tcBorders>
          </w:tcPr>
          <w:p w:rsidR="00000000" w:rsidRDefault="00000000">
            <w:pPr>
              <w:rPr>
                <w:kern w:val="20"/>
                <w:sz w:val="18"/>
              </w:rPr>
            </w:pPr>
            <w:r>
              <w:rPr>
                <w:kern w:val="20"/>
                <w:sz w:val="18"/>
              </w:rPr>
              <w:t xml:space="preserve">     0.23</w:t>
            </w:r>
          </w:p>
        </w:tc>
      </w:tr>
      <w:tr w:rsidR="00000000">
        <w:tblPrEx>
          <w:tblCellMar>
            <w:top w:w="0" w:type="dxa"/>
            <w:bottom w:w="0" w:type="dxa"/>
          </w:tblCellMar>
        </w:tblPrEx>
        <w:tc>
          <w:tcPr>
            <w:tcW w:w="1700" w:type="dxa"/>
            <w:tcBorders>
              <w:top w:val="nil"/>
              <w:bottom w:val="nil"/>
            </w:tcBorders>
          </w:tcPr>
          <w:p w:rsidR="00000000" w:rsidRDefault="00000000">
            <w:pPr>
              <w:rPr>
                <w:kern w:val="20"/>
                <w:sz w:val="18"/>
              </w:rPr>
            </w:pPr>
            <w:r>
              <w:rPr>
                <w:kern w:val="20"/>
                <w:sz w:val="18"/>
              </w:rPr>
              <w:t>Office</w:t>
            </w:r>
          </w:p>
        </w:tc>
        <w:tc>
          <w:tcPr>
            <w:tcW w:w="992" w:type="dxa"/>
            <w:tcBorders>
              <w:top w:val="nil"/>
              <w:bottom w:val="nil"/>
            </w:tcBorders>
          </w:tcPr>
          <w:p w:rsidR="00000000" w:rsidRDefault="00000000">
            <w:pPr>
              <w:rPr>
                <w:kern w:val="20"/>
                <w:sz w:val="18"/>
              </w:rPr>
            </w:pPr>
            <w:r>
              <w:rPr>
                <w:kern w:val="20"/>
                <w:sz w:val="18"/>
              </w:rPr>
              <w:t xml:space="preserve">        3.00</w:t>
            </w:r>
          </w:p>
        </w:tc>
        <w:tc>
          <w:tcPr>
            <w:tcW w:w="891" w:type="dxa"/>
            <w:gridSpan w:val="2"/>
            <w:tcBorders>
              <w:top w:val="nil"/>
              <w:bottom w:val="nil"/>
            </w:tcBorders>
          </w:tcPr>
          <w:p w:rsidR="00000000" w:rsidRDefault="00000000">
            <w:pPr>
              <w:jc w:val="center"/>
              <w:rPr>
                <w:kern w:val="20"/>
                <w:sz w:val="18"/>
              </w:rPr>
            </w:pPr>
            <w:r>
              <w:rPr>
                <w:kern w:val="20"/>
                <w:sz w:val="18"/>
              </w:rPr>
              <w:t xml:space="preserve">  4</w:t>
            </w:r>
          </w:p>
        </w:tc>
        <w:tc>
          <w:tcPr>
            <w:tcW w:w="709" w:type="dxa"/>
            <w:tcBorders>
              <w:top w:val="nil"/>
              <w:bottom w:val="nil"/>
            </w:tcBorders>
          </w:tcPr>
          <w:p w:rsidR="00000000" w:rsidRDefault="00000000">
            <w:pPr>
              <w:rPr>
                <w:kern w:val="20"/>
                <w:sz w:val="18"/>
              </w:rPr>
            </w:pPr>
            <w:r>
              <w:rPr>
                <w:kern w:val="20"/>
                <w:sz w:val="18"/>
              </w:rPr>
              <w:t xml:space="preserve">   0.01</w:t>
            </w:r>
          </w:p>
        </w:tc>
        <w:tc>
          <w:tcPr>
            <w:tcW w:w="850" w:type="dxa"/>
            <w:tcBorders>
              <w:top w:val="nil"/>
              <w:bottom w:val="nil"/>
            </w:tcBorders>
          </w:tcPr>
          <w:p w:rsidR="00000000" w:rsidRDefault="00000000">
            <w:pPr>
              <w:rPr>
                <w:kern w:val="20"/>
                <w:sz w:val="18"/>
              </w:rPr>
            </w:pPr>
            <w:r>
              <w:rPr>
                <w:kern w:val="20"/>
                <w:sz w:val="18"/>
              </w:rPr>
              <w:t xml:space="preserve">      0.01</w:t>
            </w:r>
          </w:p>
        </w:tc>
        <w:tc>
          <w:tcPr>
            <w:tcW w:w="993" w:type="dxa"/>
            <w:tcBorders>
              <w:top w:val="nil"/>
              <w:bottom w:val="nil"/>
            </w:tcBorders>
          </w:tcPr>
          <w:p w:rsidR="00000000" w:rsidRDefault="00000000">
            <w:pPr>
              <w:rPr>
                <w:kern w:val="20"/>
                <w:sz w:val="18"/>
              </w:rPr>
            </w:pPr>
            <w:r>
              <w:rPr>
                <w:kern w:val="20"/>
                <w:sz w:val="18"/>
              </w:rPr>
              <w:t xml:space="preserve">        0.38</w:t>
            </w:r>
          </w:p>
        </w:tc>
        <w:tc>
          <w:tcPr>
            <w:tcW w:w="708" w:type="dxa"/>
            <w:tcBorders>
              <w:top w:val="nil"/>
              <w:bottom w:val="nil"/>
            </w:tcBorders>
          </w:tcPr>
          <w:p w:rsidR="00000000" w:rsidRDefault="00000000">
            <w:pPr>
              <w:rPr>
                <w:kern w:val="20"/>
                <w:sz w:val="18"/>
              </w:rPr>
            </w:pPr>
            <w:r>
              <w:rPr>
                <w:kern w:val="20"/>
                <w:sz w:val="18"/>
              </w:rPr>
              <w:t xml:space="preserve">    0.23</w:t>
            </w:r>
          </w:p>
        </w:tc>
        <w:tc>
          <w:tcPr>
            <w:tcW w:w="851" w:type="dxa"/>
            <w:tcBorders>
              <w:top w:val="nil"/>
              <w:bottom w:val="nil"/>
            </w:tcBorders>
          </w:tcPr>
          <w:p w:rsidR="00000000" w:rsidRDefault="00000000">
            <w:pPr>
              <w:rPr>
                <w:kern w:val="20"/>
                <w:sz w:val="18"/>
              </w:rPr>
            </w:pPr>
            <w:r>
              <w:rPr>
                <w:kern w:val="20"/>
                <w:sz w:val="18"/>
              </w:rPr>
              <w:t xml:space="preserve">      0.16</w:t>
            </w:r>
          </w:p>
        </w:tc>
        <w:tc>
          <w:tcPr>
            <w:tcW w:w="953" w:type="dxa"/>
            <w:gridSpan w:val="2"/>
            <w:tcBorders>
              <w:top w:val="nil"/>
              <w:bottom w:val="nil"/>
            </w:tcBorders>
          </w:tcPr>
          <w:p w:rsidR="00000000" w:rsidRDefault="00000000">
            <w:pPr>
              <w:rPr>
                <w:kern w:val="20"/>
                <w:sz w:val="18"/>
              </w:rPr>
            </w:pPr>
            <w:r>
              <w:rPr>
                <w:kern w:val="20"/>
                <w:sz w:val="18"/>
              </w:rPr>
              <w:t xml:space="preserve">          1</w:t>
            </w:r>
          </w:p>
        </w:tc>
        <w:tc>
          <w:tcPr>
            <w:tcW w:w="751" w:type="dxa"/>
            <w:tcBorders>
              <w:top w:val="nil"/>
              <w:bottom w:val="nil"/>
            </w:tcBorders>
          </w:tcPr>
          <w:p w:rsidR="00000000" w:rsidRDefault="00000000">
            <w:pPr>
              <w:rPr>
                <w:kern w:val="20"/>
                <w:sz w:val="18"/>
              </w:rPr>
            </w:pPr>
            <w:r>
              <w:rPr>
                <w:kern w:val="20"/>
                <w:sz w:val="18"/>
              </w:rPr>
              <w:t xml:space="preserve">    0.00</w:t>
            </w:r>
          </w:p>
        </w:tc>
        <w:tc>
          <w:tcPr>
            <w:tcW w:w="808" w:type="dxa"/>
            <w:tcBorders>
              <w:top w:val="nil"/>
              <w:bottom w:val="nil"/>
            </w:tcBorders>
          </w:tcPr>
          <w:p w:rsidR="00000000" w:rsidRDefault="00000000">
            <w:pPr>
              <w:rPr>
                <w:kern w:val="20"/>
                <w:sz w:val="18"/>
              </w:rPr>
            </w:pPr>
            <w:r>
              <w:rPr>
                <w:kern w:val="20"/>
                <w:sz w:val="18"/>
              </w:rPr>
              <w:t xml:space="preserve">     0.00</w:t>
            </w:r>
          </w:p>
        </w:tc>
        <w:tc>
          <w:tcPr>
            <w:tcW w:w="892" w:type="dxa"/>
            <w:tcBorders>
              <w:top w:val="nil"/>
              <w:bottom w:val="nil"/>
            </w:tcBorders>
          </w:tcPr>
          <w:p w:rsidR="00000000" w:rsidRDefault="00000000">
            <w:pPr>
              <w:rPr>
                <w:kern w:val="20"/>
                <w:sz w:val="18"/>
              </w:rPr>
            </w:pPr>
            <w:r>
              <w:rPr>
                <w:kern w:val="20"/>
                <w:sz w:val="18"/>
              </w:rPr>
              <w:t xml:space="preserve">      0.15</w:t>
            </w:r>
          </w:p>
        </w:tc>
        <w:tc>
          <w:tcPr>
            <w:tcW w:w="777" w:type="dxa"/>
            <w:tcBorders>
              <w:top w:val="nil"/>
              <w:bottom w:val="nil"/>
            </w:tcBorders>
          </w:tcPr>
          <w:p w:rsidR="00000000" w:rsidRDefault="00000000">
            <w:pPr>
              <w:rPr>
                <w:kern w:val="20"/>
                <w:sz w:val="18"/>
              </w:rPr>
            </w:pPr>
            <w:r>
              <w:rPr>
                <w:kern w:val="20"/>
                <w:sz w:val="18"/>
              </w:rPr>
              <w:t xml:space="preserve">    0.08</w:t>
            </w:r>
          </w:p>
        </w:tc>
        <w:tc>
          <w:tcPr>
            <w:tcW w:w="851" w:type="dxa"/>
            <w:tcBorders>
              <w:top w:val="nil"/>
              <w:bottom w:val="nil"/>
            </w:tcBorders>
          </w:tcPr>
          <w:p w:rsidR="00000000" w:rsidRDefault="00000000">
            <w:pPr>
              <w:rPr>
                <w:kern w:val="20"/>
                <w:sz w:val="18"/>
              </w:rPr>
            </w:pPr>
            <w:r>
              <w:rPr>
                <w:kern w:val="20"/>
                <w:sz w:val="18"/>
              </w:rPr>
              <w:t xml:space="preserve">     0.06</w:t>
            </w:r>
          </w:p>
        </w:tc>
      </w:tr>
      <w:tr w:rsidR="00000000">
        <w:tblPrEx>
          <w:tblCellMar>
            <w:top w:w="0" w:type="dxa"/>
            <w:bottom w:w="0" w:type="dxa"/>
          </w:tblCellMar>
        </w:tblPrEx>
        <w:tc>
          <w:tcPr>
            <w:tcW w:w="1700" w:type="dxa"/>
            <w:tcBorders>
              <w:top w:val="nil"/>
              <w:bottom w:val="nil"/>
            </w:tcBorders>
          </w:tcPr>
          <w:p w:rsidR="00000000" w:rsidRDefault="00000000">
            <w:pPr>
              <w:rPr>
                <w:kern w:val="20"/>
                <w:sz w:val="18"/>
              </w:rPr>
            </w:pPr>
            <w:r>
              <w:rPr>
                <w:kern w:val="20"/>
                <w:sz w:val="18"/>
              </w:rPr>
              <w:t>Sports</w:t>
            </w:r>
          </w:p>
        </w:tc>
        <w:tc>
          <w:tcPr>
            <w:tcW w:w="992" w:type="dxa"/>
            <w:tcBorders>
              <w:top w:val="nil"/>
              <w:bottom w:val="nil"/>
            </w:tcBorders>
          </w:tcPr>
          <w:p w:rsidR="00000000" w:rsidRDefault="00000000">
            <w:pPr>
              <w:rPr>
                <w:kern w:val="20"/>
                <w:sz w:val="18"/>
              </w:rPr>
            </w:pPr>
            <w:r>
              <w:rPr>
                <w:kern w:val="20"/>
                <w:sz w:val="18"/>
              </w:rPr>
              <w:t xml:space="preserve">        0.10</w:t>
            </w:r>
          </w:p>
        </w:tc>
        <w:tc>
          <w:tcPr>
            <w:tcW w:w="891" w:type="dxa"/>
            <w:gridSpan w:val="2"/>
            <w:tcBorders>
              <w:top w:val="nil"/>
              <w:bottom w:val="nil"/>
            </w:tcBorders>
          </w:tcPr>
          <w:p w:rsidR="00000000" w:rsidRDefault="00000000">
            <w:pPr>
              <w:jc w:val="center"/>
              <w:rPr>
                <w:kern w:val="20"/>
                <w:sz w:val="18"/>
              </w:rPr>
            </w:pPr>
            <w:r>
              <w:rPr>
                <w:kern w:val="20"/>
                <w:sz w:val="18"/>
              </w:rPr>
              <w:t xml:space="preserve">  4</w:t>
            </w:r>
          </w:p>
        </w:tc>
        <w:tc>
          <w:tcPr>
            <w:tcW w:w="709" w:type="dxa"/>
            <w:tcBorders>
              <w:top w:val="nil"/>
              <w:bottom w:val="nil"/>
            </w:tcBorders>
          </w:tcPr>
          <w:p w:rsidR="00000000" w:rsidRDefault="00000000">
            <w:pPr>
              <w:rPr>
                <w:kern w:val="20"/>
                <w:sz w:val="18"/>
              </w:rPr>
            </w:pPr>
            <w:r>
              <w:rPr>
                <w:kern w:val="20"/>
                <w:sz w:val="18"/>
              </w:rPr>
              <w:t xml:space="preserve">   0.01</w:t>
            </w:r>
          </w:p>
        </w:tc>
        <w:tc>
          <w:tcPr>
            <w:tcW w:w="850" w:type="dxa"/>
            <w:tcBorders>
              <w:top w:val="nil"/>
              <w:bottom w:val="nil"/>
            </w:tcBorders>
          </w:tcPr>
          <w:p w:rsidR="00000000" w:rsidRDefault="00000000">
            <w:pPr>
              <w:rPr>
                <w:kern w:val="20"/>
                <w:sz w:val="18"/>
              </w:rPr>
            </w:pPr>
            <w:r>
              <w:rPr>
                <w:kern w:val="20"/>
                <w:sz w:val="18"/>
              </w:rPr>
              <w:t xml:space="preserve">      0.01</w:t>
            </w:r>
          </w:p>
        </w:tc>
        <w:tc>
          <w:tcPr>
            <w:tcW w:w="993" w:type="dxa"/>
            <w:tcBorders>
              <w:top w:val="nil"/>
              <w:bottom w:val="nil"/>
            </w:tcBorders>
          </w:tcPr>
          <w:p w:rsidR="00000000" w:rsidRDefault="00000000">
            <w:pPr>
              <w:rPr>
                <w:kern w:val="20"/>
                <w:sz w:val="18"/>
              </w:rPr>
            </w:pPr>
            <w:r>
              <w:rPr>
                <w:kern w:val="20"/>
                <w:sz w:val="18"/>
              </w:rPr>
              <w:t xml:space="preserve">        0.01</w:t>
            </w:r>
          </w:p>
        </w:tc>
        <w:tc>
          <w:tcPr>
            <w:tcW w:w="708" w:type="dxa"/>
            <w:tcBorders>
              <w:top w:val="nil"/>
              <w:bottom w:val="nil"/>
            </w:tcBorders>
          </w:tcPr>
          <w:p w:rsidR="00000000" w:rsidRDefault="00000000">
            <w:pPr>
              <w:rPr>
                <w:kern w:val="20"/>
                <w:sz w:val="18"/>
              </w:rPr>
            </w:pPr>
            <w:r>
              <w:rPr>
                <w:kern w:val="20"/>
                <w:sz w:val="18"/>
              </w:rPr>
              <w:t xml:space="preserve">    0.01</w:t>
            </w:r>
          </w:p>
        </w:tc>
        <w:tc>
          <w:tcPr>
            <w:tcW w:w="851" w:type="dxa"/>
            <w:tcBorders>
              <w:top w:val="nil"/>
              <w:bottom w:val="nil"/>
            </w:tcBorders>
          </w:tcPr>
          <w:p w:rsidR="00000000" w:rsidRDefault="00000000">
            <w:pPr>
              <w:rPr>
                <w:kern w:val="20"/>
                <w:sz w:val="18"/>
              </w:rPr>
            </w:pPr>
            <w:r>
              <w:rPr>
                <w:kern w:val="20"/>
                <w:sz w:val="18"/>
              </w:rPr>
              <w:t xml:space="preserve">      0.01</w:t>
            </w:r>
          </w:p>
        </w:tc>
        <w:tc>
          <w:tcPr>
            <w:tcW w:w="953" w:type="dxa"/>
            <w:gridSpan w:val="2"/>
            <w:tcBorders>
              <w:top w:val="nil"/>
              <w:bottom w:val="nil"/>
            </w:tcBorders>
          </w:tcPr>
          <w:p w:rsidR="00000000" w:rsidRDefault="00000000">
            <w:pPr>
              <w:rPr>
                <w:kern w:val="20"/>
                <w:sz w:val="18"/>
              </w:rPr>
            </w:pPr>
            <w:r>
              <w:rPr>
                <w:kern w:val="20"/>
                <w:sz w:val="18"/>
              </w:rPr>
              <w:t xml:space="preserve">          1</w:t>
            </w:r>
          </w:p>
        </w:tc>
        <w:tc>
          <w:tcPr>
            <w:tcW w:w="751" w:type="dxa"/>
            <w:tcBorders>
              <w:top w:val="nil"/>
              <w:bottom w:val="nil"/>
            </w:tcBorders>
          </w:tcPr>
          <w:p w:rsidR="00000000" w:rsidRDefault="00000000">
            <w:pPr>
              <w:rPr>
                <w:kern w:val="20"/>
                <w:sz w:val="18"/>
              </w:rPr>
            </w:pPr>
            <w:r>
              <w:rPr>
                <w:kern w:val="20"/>
                <w:sz w:val="18"/>
              </w:rPr>
              <w:t xml:space="preserve">    0.00</w:t>
            </w:r>
          </w:p>
        </w:tc>
        <w:tc>
          <w:tcPr>
            <w:tcW w:w="808" w:type="dxa"/>
            <w:tcBorders>
              <w:top w:val="nil"/>
              <w:bottom w:val="nil"/>
            </w:tcBorders>
          </w:tcPr>
          <w:p w:rsidR="00000000" w:rsidRDefault="00000000">
            <w:pPr>
              <w:rPr>
                <w:kern w:val="20"/>
                <w:sz w:val="18"/>
              </w:rPr>
            </w:pPr>
            <w:r>
              <w:rPr>
                <w:kern w:val="20"/>
                <w:sz w:val="18"/>
              </w:rPr>
              <w:t xml:space="preserve">     0.00</w:t>
            </w:r>
          </w:p>
        </w:tc>
        <w:tc>
          <w:tcPr>
            <w:tcW w:w="892" w:type="dxa"/>
            <w:tcBorders>
              <w:top w:val="nil"/>
              <w:bottom w:val="nil"/>
            </w:tcBorders>
          </w:tcPr>
          <w:p w:rsidR="00000000" w:rsidRDefault="00000000">
            <w:pPr>
              <w:rPr>
                <w:kern w:val="20"/>
                <w:sz w:val="18"/>
              </w:rPr>
            </w:pPr>
            <w:r>
              <w:rPr>
                <w:kern w:val="20"/>
                <w:sz w:val="18"/>
              </w:rPr>
              <w:t xml:space="preserve">      0.01</w:t>
            </w:r>
          </w:p>
        </w:tc>
        <w:tc>
          <w:tcPr>
            <w:tcW w:w="777" w:type="dxa"/>
            <w:tcBorders>
              <w:top w:val="nil"/>
              <w:bottom w:val="nil"/>
            </w:tcBorders>
          </w:tcPr>
          <w:p w:rsidR="00000000" w:rsidRDefault="00000000">
            <w:pPr>
              <w:rPr>
                <w:kern w:val="20"/>
                <w:sz w:val="18"/>
              </w:rPr>
            </w:pPr>
            <w:r>
              <w:rPr>
                <w:kern w:val="20"/>
                <w:sz w:val="18"/>
              </w:rPr>
              <w:t xml:space="preserve">    0.01</w:t>
            </w:r>
          </w:p>
        </w:tc>
        <w:tc>
          <w:tcPr>
            <w:tcW w:w="851" w:type="dxa"/>
            <w:tcBorders>
              <w:top w:val="nil"/>
              <w:bottom w:val="nil"/>
            </w:tcBorders>
          </w:tcPr>
          <w:p w:rsidR="00000000" w:rsidRDefault="00000000">
            <w:pPr>
              <w:rPr>
                <w:kern w:val="20"/>
                <w:sz w:val="18"/>
              </w:rPr>
            </w:pPr>
            <w:r>
              <w:rPr>
                <w:kern w:val="20"/>
                <w:sz w:val="18"/>
              </w:rPr>
              <w:t xml:space="preserve">     0.00</w:t>
            </w:r>
          </w:p>
        </w:tc>
      </w:tr>
      <w:tr w:rsidR="00000000">
        <w:tblPrEx>
          <w:tblCellMar>
            <w:top w:w="0" w:type="dxa"/>
            <w:bottom w:w="0" w:type="dxa"/>
          </w:tblCellMar>
        </w:tblPrEx>
        <w:tc>
          <w:tcPr>
            <w:tcW w:w="1700" w:type="dxa"/>
            <w:tcBorders>
              <w:top w:val="nil"/>
              <w:bottom w:val="nil"/>
            </w:tcBorders>
          </w:tcPr>
          <w:p w:rsidR="00000000" w:rsidRDefault="00000000">
            <w:pPr>
              <w:rPr>
                <w:kern w:val="20"/>
                <w:sz w:val="18"/>
              </w:rPr>
            </w:pPr>
            <w:r>
              <w:rPr>
                <w:kern w:val="20"/>
                <w:sz w:val="18"/>
              </w:rPr>
              <w:t>Extraction</w:t>
            </w:r>
          </w:p>
        </w:tc>
        <w:tc>
          <w:tcPr>
            <w:tcW w:w="992" w:type="dxa"/>
            <w:tcBorders>
              <w:top w:val="nil"/>
              <w:bottom w:val="nil"/>
            </w:tcBorders>
          </w:tcPr>
          <w:p w:rsidR="00000000" w:rsidRDefault="00000000">
            <w:pPr>
              <w:rPr>
                <w:kern w:val="20"/>
                <w:sz w:val="18"/>
              </w:rPr>
            </w:pPr>
            <w:r>
              <w:rPr>
                <w:kern w:val="20"/>
                <w:sz w:val="18"/>
              </w:rPr>
              <w:t xml:space="preserve">        0.60</w:t>
            </w:r>
          </w:p>
        </w:tc>
        <w:tc>
          <w:tcPr>
            <w:tcW w:w="891" w:type="dxa"/>
            <w:gridSpan w:val="2"/>
            <w:tcBorders>
              <w:top w:val="nil"/>
              <w:bottom w:val="nil"/>
            </w:tcBorders>
          </w:tcPr>
          <w:p w:rsidR="00000000" w:rsidRDefault="00000000">
            <w:pPr>
              <w:jc w:val="center"/>
              <w:rPr>
                <w:kern w:val="20"/>
                <w:sz w:val="18"/>
              </w:rPr>
            </w:pPr>
            <w:r>
              <w:rPr>
                <w:kern w:val="20"/>
                <w:sz w:val="18"/>
              </w:rPr>
              <w:t>67</w:t>
            </w:r>
          </w:p>
        </w:tc>
        <w:tc>
          <w:tcPr>
            <w:tcW w:w="709" w:type="dxa"/>
            <w:tcBorders>
              <w:top w:val="nil"/>
              <w:bottom w:val="nil"/>
            </w:tcBorders>
          </w:tcPr>
          <w:p w:rsidR="00000000" w:rsidRDefault="00000000">
            <w:pPr>
              <w:rPr>
                <w:kern w:val="20"/>
                <w:sz w:val="18"/>
              </w:rPr>
            </w:pPr>
            <w:r>
              <w:rPr>
                <w:kern w:val="20"/>
                <w:sz w:val="18"/>
              </w:rPr>
              <w:t xml:space="preserve">   0.33</w:t>
            </w:r>
          </w:p>
        </w:tc>
        <w:tc>
          <w:tcPr>
            <w:tcW w:w="850" w:type="dxa"/>
            <w:tcBorders>
              <w:top w:val="nil"/>
              <w:bottom w:val="nil"/>
            </w:tcBorders>
          </w:tcPr>
          <w:p w:rsidR="00000000" w:rsidRDefault="00000000">
            <w:pPr>
              <w:rPr>
                <w:kern w:val="20"/>
                <w:sz w:val="18"/>
              </w:rPr>
            </w:pPr>
            <w:r>
              <w:rPr>
                <w:kern w:val="20"/>
                <w:sz w:val="18"/>
              </w:rPr>
              <w:t xml:space="preserve">      0.21</w:t>
            </w:r>
          </w:p>
        </w:tc>
        <w:tc>
          <w:tcPr>
            <w:tcW w:w="993" w:type="dxa"/>
            <w:tcBorders>
              <w:top w:val="nil"/>
              <w:bottom w:val="nil"/>
            </w:tcBorders>
          </w:tcPr>
          <w:p w:rsidR="00000000" w:rsidRDefault="00000000">
            <w:pPr>
              <w:rPr>
                <w:kern w:val="20"/>
                <w:sz w:val="18"/>
              </w:rPr>
            </w:pPr>
            <w:r>
              <w:rPr>
                <w:kern w:val="20"/>
                <w:sz w:val="18"/>
              </w:rPr>
              <w:t xml:space="preserve">        1.18</w:t>
            </w:r>
          </w:p>
        </w:tc>
        <w:tc>
          <w:tcPr>
            <w:tcW w:w="708" w:type="dxa"/>
            <w:tcBorders>
              <w:top w:val="nil"/>
              <w:bottom w:val="nil"/>
            </w:tcBorders>
          </w:tcPr>
          <w:p w:rsidR="00000000" w:rsidRDefault="00000000">
            <w:pPr>
              <w:rPr>
                <w:kern w:val="20"/>
                <w:sz w:val="18"/>
              </w:rPr>
            </w:pPr>
            <w:r>
              <w:rPr>
                <w:kern w:val="20"/>
                <w:sz w:val="18"/>
              </w:rPr>
              <w:t xml:space="preserve">    1.29</w:t>
            </w:r>
          </w:p>
        </w:tc>
        <w:tc>
          <w:tcPr>
            <w:tcW w:w="851" w:type="dxa"/>
            <w:tcBorders>
              <w:top w:val="nil"/>
              <w:bottom w:val="nil"/>
            </w:tcBorders>
          </w:tcPr>
          <w:p w:rsidR="00000000" w:rsidRDefault="00000000">
            <w:pPr>
              <w:rPr>
                <w:kern w:val="20"/>
                <w:sz w:val="18"/>
              </w:rPr>
            </w:pPr>
            <w:r>
              <w:rPr>
                <w:kern w:val="20"/>
                <w:sz w:val="18"/>
              </w:rPr>
              <w:t xml:space="preserve">      1.32</w:t>
            </w:r>
          </w:p>
        </w:tc>
        <w:tc>
          <w:tcPr>
            <w:tcW w:w="953" w:type="dxa"/>
            <w:gridSpan w:val="2"/>
            <w:tcBorders>
              <w:top w:val="nil"/>
              <w:bottom w:val="nil"/>
            </w:tcBorders>
          </w:tcPr>
          <w:p w:rsidR="00000000" w:rsidRDefault="00000000">
            <w:pPr>
              <w:rPr>
                <w:kern w:val="20"/>
                <w:sz w:val="18"/>
              </w:rPr>
            </w:pPr>
            <w:r>
              <w:rPr>
                <w:kern w:val="20"/>
                <w:sz w:val="18"/>
              </w:rPr>
              <w:t xml:space="preserve">        36</w:t>
            </w:r>
          </w:p>
        </w:tc>
        <w:tc>
          <w:tcPr>
            <w:tcW w:w="751" w:type="dxa"/>
            <w:tcBorders>
              <w:top w:val="nil"/>
              <w:bottom w:val="nil"/>
            </w:tcBorders>
          </w:tcPr>
          <w:p w:rsidR="00000000" w:rsidRDefault="00000000">
            <w:pPr>
              <w:rPr>
                <w:kern w:val="20"/>
                <w:sz w:val="18"/>
              </w:rPr>
            </w:pPr>
            <w:r>
              <w:rPr>
                <w:kern w:val="20"/>
                <w:sz w:val="18"/>
              </w:rPr>
              <w:t xml:space="preserve">    0.14</w:t>
            </w:r>
          </w:p>
        </w:tc>
        <w:tc>
          <w:tcPr>
            <w:tcW w:w="808" w:type="dxa"/>
            <w:tcBorders>
              <w:top w:val="nil"/>
              <w:bottom w:val="nil"/>
            </w:tcBorders>
          </w:tcPr>
          <w:p w:rsidR="00000000" w:rsidRDefault="00000000">
            <w:pPr>
              <w:rPr>
                <w:kern w:val="20"/>
                <w:sz w:val="18"/>
              </w:rPr>
            </w:pPr>
            <w:r>
              <w:rPr>
                <w:kern w:val="20"/>
                <w:sz w:val="18"/>
              </w:rPr>
              <w:t xml:space="preserve">     0.08</w:t>
            </w:r>
          </w:p>
        </w:tc>
        <w:tc>
          <w:tcPr>
            <w:tcW w:w="892" w:type="dxa"/>
            <w:tcBorders>
              <w:top w:val="nil"/>
              <w:bottom w:val="nil"/>
            </w:tcBorders>
          </w:tcPr>
          <w:p w:rsidR="00000000" w:rsidRDefault="00000000">
            <w:pPr>
              <w:rPr>
                <w:kern w:val="20"/>
                <w:sz w:val="18"/>
              </w:rPr>
            </w:pPr>
            <w:r>
              <w:rPr>
                <w:kern w:val="20"/>
                <w:sz w:val="18"/>
              </w:rPr>
              <w:t xml:space="preserve">      1.47</w:t>
            </w:r>
          </w:p>
        </w:tc>
        <w:tc>
          <w:tcPr>
            <w:tcW w:w="777" w:type="dxa"/>
            <w:tcBorders>
              <w:top w:val="nil"/>
              <w:bottom w:val="nil"/>
            </w:tcBorders>
          </w:tcPr>
          <w:p w:rsidR="00000000" w:rsidRDefault="00000000">
            <w:pPr>
              <w:rPr>
                <w:kern w:val="20"/>
                <w:sz w:val="18"/>
              </w:rPr>
            </w:pPr>
            <w:r>
              <w:rPr>
                <w:kern w:val="20"/>
                <w:sz w:val="18"/>
              </w:rPr>
              <w:t xml:space="preserve">    1.35</w:t>
            </w:r>
          </w:p>
        </w:tc>
        <w:tc>
          <w:tcPr>
            <w:tcW w:w="851" w:type="dxa"/>
            <w:tcBorders>
              <w:top w:val="nil"/>
              <w:bottom w:val="nil"/>
            </w:tcBorders>
          </w:tcPr>
          <w:p w:rsidR="00000000" w:rsidRDefault="00000000">
            <w:pPr>
              <w:rPr>
                <w:kern w:val="20"/>
                <w:sz w:val="18"/>
              </w:rPr>
            </w:pPr>
            <w:r>
              <w:rPr>
                <w:kern w:val="20"/>
                <w:sz w:val="18"/>
              </w:rPr>
              <w:t xml:space="preserve">     1.15</w:t>
            </w:r>
          </w:p>
        </w:tc>
      </w:tr>
      <w:tr w:rsidR="00000000">
        <w:tblPrEx>
          <w:tblCellMar>
            <w:top w:w="0" w:type="dxa"/>
            <w:bottom w:w="0" w:type="dxa"/>
          </w:tblCellMar>
        </w:tblPrEx>
        <w:tc>
          <w:tcPr>
            <w:tcW w:w="1700" w:type="dxa"/>
            <w:tcBorders>
              <w:top w:val="nil"/>
            </w:tcBorders>
          </w:tcPr>
          <w:p w:rsidR="00000000" w:rsidRDefault="00000000">
            <w:pPr>
              <w:rPr>
                <w:kern w:val="20"/>
                <w:sz w:val="18"/>
              </w:rPr>
            </w:pPr>
            <w:r>
              <w:rPr>
                <w:kern w:val="20"/>
                <w:sz w:val="18"/>
              </w:rPr>
              <w:t>Financial, brokerage</w:t>
            </w:r>
          </w:p>
          <w:p w:rsidR="00000000" w:rsidRDefault="00000000">
            <w:pPr>
              <w:rPr>
                <w:kern w:val="20"/>
                <w:sz w:val="18"/>
              </w:rPr>
            </w:pPr>
            <w:r>
              <w:rPr>
                <w:kern w:val="20"/>
                <w:sz w:val="18"/>
              </w:rPr>
              <w:t xml:space="preserve">  and insurance</w:t>
            </w:r>
          </w:p>
          <w:p w:rsidR="00000000" w:rsidRDefault="00000000">
            <w:pPr>
              <w:rPr>
                <w:kern w:val="20"/>
                <w:sz w:val="18"/>
              </w:rPr>
            </w:pPr>
            <w:r>
              <w:rPr>
                <w:kern w:val="20"/>
                <w:sz w:val="18"/>
              </w:rPr>
              <w:t xml:space="preserve">  services</w:t>
            </w:r>
          </w:p>
        </w:tc>
        <w:tc>
          <w:tcPr>
            <w:tcW w:w="992" w:type="dxa"/>
            <w:tcBorders>
              <w:top w:val="nil"/>
            </w:tcBorders>
          </w:tcPr>
          <w:p w:rsidR="00000000" w:rsidRDefault="00000000">
            <w:pPr>
              <w:rPr>
                <w:kern w:val="20"/>
                <w:sz w:val="18"/>
              </w:rPr>
            </w:pPr>
            <w:r>
              <w:rPr>
                <w:kern w:val="20"/>
                <w:sz w:val="18"/>
              </w:rPr>
              <w:t xml:space="preserve">        0.30</w:t>
            </w:r>
          </w:p>
        </w:tc>
        <w:tc>
          <w:tcPr>
            <w:tcW w:w="891" w:type="dxa"/>
            <w:gridSpan w:val="2"/>
            <w:tcBorders>
              <w:top w:val="nil"/>
            </w:tcBorders>
          </w:tcPr>
          <w:p w:rsidR="00000000" w:rsidRDefault="00000000">
            <w:pPr>
              <w:jc w:val="center"/>
              <w:rPr>
                <w:kern w:val="20"/>
                <w:sz w:val="18"/>
              </w:rPr>
            </w:pPr>
            <w:r>
              <w:rPr>
                <w:kern w:val="20"/>
                <w:sz w:val="18"/>
              </w:rPr>
              <w:t xml:space="preserve">  2</w:t>
            </w:r>
          </w:p>
        </w:tc>
        <w:tc>
          <w:tcPr>
            <w:tcW w:w="709" w:type="dxa"/>
            <w:tcBorders>
              <w:top w:val="nil"/>
            </w:tcBorders>
          </w:tcPr>
          <w:p w:rsidR="00000000" w:rsidRDefault="00000000">
            <w:pPr>
              <w:rPr>
                <w:kern w:val="20"/>
                <w:sz w:val="18"/>
              </w:rPr>
            </w:pPr>
            <w:r>
              <w:rPr>
                <w:kern w:val="20"/>
                <w:sz w:val="18"/>
              </w:rPr>
              <w:t xml:space="preserve">   0.01</w:t>
            </w:r>
          </w:p>
        </w:tc>
        <w:tc>
          <w:tcPr>
            <w:tcW w:w="850" w:type="dxa"/>
            <w:tcBorders>
              <w:top w:val="nil"/>
            </w:tcBorders>
          </w:tcPr>
          <w:p w:rsidR="00000000" w:rsidRDefault="00000000">
            <w:pPr>
              <w:rPr>
                <w:kern w:val="20"/>
                <w:sz w:val="18"/>
              </w:rPr>
            </w:pPr>
            <w:r>
              <w:rPr>
                <w:kern w:val="20"/>
                <w:sz w:val="18"/>
              </w:rPr>
              <w:t xml:space="preserve">      0.00</w:t>
            </w:r>
          </w:p>
        </w:tc>
        <w:tc>
          <w:tcPr>
            <w:tcW w:w="993" w:type="dxa"/>
            <w:tcBorders>
              <w:top w:val="nil"/>
            </w:tcBorders>
          </w:tcPr>
          <w:p w:rsidR="00000000" w:rsidRDefault="00000000">
            <w:pPr>
              <w:rPr>
                <w:kern w:val="20"/>
                <w:sz w:val="18"/>
              </w:rPr>
            </w:pPr>
            <w:r>
              <w:rPr>
                <w:kern w:val="20"/>
                <w:sz w:val="18"/>
              </w:rPr>
              <w:t xml:space="preserve">        0.02</w:t>
            </w:r>
          </w:p>
        </w:tc>
        <w:tc>
          <w:tcPr>
            <w:tcW w:w="708" w:type="dxa"/>
            <w:tcBorders>
              <w:top w:val="nil"/>
            </w:tcBorders>
          </w:tcPr>
          <w:p w:rsidR="00000000" w:rsidRDefault="00000000">
            <w:pPr>
              <w:rPr>
                <w:kern w:val="20"/>
                <w:sz w:val="18"/>
              </w:rPr>
            </w:pPr>
            <w:r>
              <w:rPr>
                <w:kern w:val="20"/>
                <w:sz w:val="18"/>
              </w:rPr>
              <w:t xml:space="preserve">    0.01</w:t>
            </w:r>
          </w:p>
        </w:tc>
        <w:tc>
          <w:tcPr>
            <w:tcW w:w="851" w:type="dxa"/>
            <w:tcBorders>
              <w:top w:val="nil"/>
            </w:tcBorders>
          </w:tcPr>
          <w:p w:rsidR="00000000" w:rsidRDefault="00000000">
            <w:pPr>
              <w:rPr>
                <w:kern w:val="20"/>
                <w:sz w:val="18"/>
              </w:rPr>
            </w:pPr>
            <w:r>
              <w:rPr>
                <w:kern w:val="20"/>
                <w:sz w:val="18"/>
              </w:rPr>
              <w:t xml:space="preserve">      0.01</w:t>
            </w:r>
          </w:p>
        </w:tc>
        <w:tc>
          <w:tcPr>
            <w:tcW w:w="953" w:type="dxa"/>
            <w:gridSpan w:val="2"/>
            <w:tcBorders>
              <w:top w:val="nil"/>
            </w:tcBorders>
          </w:tcPr>
          <w:p w:rsidR="00000000" w:rsidRDefault="00000000">
            <w:pPr>
              <w:rPr>
                <w:kern w:val="20"/>
                <w:sz w:val="18"/>
              </w:rPr>
            </w:pPr>
            <w:r>
              <w:rPr>
                <w:kern w:val="20"/>
                <w:sz w:val="18"/>
              </w:rPr>
              <w:t xml:space="preserve">          1</w:t>
            </w:r>
          </w:p>
        </w:tc>
        <w:tc>
          <w:tcPr>
            <w:tcW w:w="751" w:type="dxa"/>
            <w:tcBorders>
              <w:top w:val="nil"/>
            </w:tcBorders>
          </w:tcPr>
          <w:p w:rsidR="00000000" w:rsidRDefault="00000000">
            <w:pPr>
              <w:rPr>
                <w:kern w:val="20"/>
                <w:sz w:val="18"/>
              </w:rPr>
            </w:pPr>
            <w:r>
              <w:rPr>
                <w:kern w:val="20"/>
                <w:sz w:val="18"/>
              </w:rPr>
              <w:t xml:space="preserve">    0.00</w:t>
            </w:r>
          </w:p>
        </w:tc>
        <w:tc>
          <w:tcPr>
            <w:tcW w:w="808" w:type="dxa"/>
            <w:tcBorders>
              <w:top w:val="nil"/>
            </w:tcBorders>
          </w:tcPr>
          <w:p w:rsidR="00000000" w:rsidRDefault="00000000">
            <w:pPr>
              <w:rPr>
                <w:kern w:val="20"/>
                <w:sz w:val="18"/>
              </w:rPr>
            </w:pPr>
            <w:r>
              <w:rPr>
                <w:kern w:val="20"/>
                <w:sz w:val="18"/>
              </w:rPr>
              <w:t xml:space="preserve">     0.00</w:t>
            </w:r>
          </w:p>
        </w:tc>
        <w:tc>
          <w:tcPr>
            <w:tcW w:w="892" w:type="dxa"/>
            <w:tcBorders>
              <w:top w:val="nil"/>
            </w:tcBorders>
          </w:tcPr>
          <w:p w:rsidR="00000000" w:rsidRDefault="00000000">
            <w:pPr>
              <w:rPr>
                <w:kern w:val="20"/>
                <w:sz w:val="18"/>
              </w:rPr>
            </w:pPr>
            <w:r>
              <w:rPr>
                <w:kern w:val="20"/>
                <w:sz w:val="18"/>
              </w:rPr>
              <w:t xml:space="preserve">      0.01</w:t>
            </w:r>
          </w:p>
        </w:tc>
        <w:tc>
          <w:tcPr>
            <w:tcW w:w="777" w:type="dxa"/>
            <w:tcBorders>
              <w:top w:val="nil"/>
            </w:tcBorders>
          </w:tcPr>
          <w:p w:rsidR="00000000" w:rsidRDefault="00000000">
            <w:pPr>
              <w:rPr>
                <w:kern w:val="20"/>
                <w:sz w:val="18"/>
              </w:rPr>
            </w:pPr>
            <w:r>
              <w:rPr>
                <w:kern w:val="20"/>
                <w:sz w:val="18"/>
              </w:rPr>
              <w:t xml:space="preserve">    0.01</w:t>
            </w:r>
          </w:p>
        </w:tc>
        <w:tc>
          <w:tcPr>
            <w:tcW w:w="851" w:type="dxa"/>
            <w:tcBorders>
              <w:top w:val="nil"/>
            </w:tcBorders>
          </w:tcPr>
          <w:p w:rsidR="00000000" w:rsidRDefault="00000000">
            <w:pPr>
              <w:rPr>
                <w:kern w:val="20"/>
                <w:sz w:val="18"/>
              </w:rPr>
            </w:pPr>
            <w:r>
              <w:rPr>
                <w:kern w:val="20"/>
                <w:sz w:val="18"/>
              </w:rPr>
              <w:t xml:space="preserve">     0.01</w:t>
            </w:r>
          </w:p>
        </w:tc>
      </w:tr>
    </w:tbl>
    <w:p w:rsidR="00000000" w:rsidRDefault="00000000"/>
    <w:p w:rsidR="00000000" w:rsidRDefault="00000000"/>
    <w:tbl>
      <w:tblPr>
        <w:tblW w:w="1272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28" w:type="dxa"/>
        </w:tblCellMar>
        <w:tblLook w:val="0000" w:firstRow="0" w:lastRow="0" w:firstColumn="0" w:lastColumn="0" w:noHBand="0" w:noVBand="0"/>
      </w:tblPr>
      <w:tblGrid>
        <w:gridCol w:w="1701"/>
        <w:gridCol w:w="993"/>
        <w:gridCol w:w="6"/>
        <w:gridCol w:w="886"/>
        <w:gridCol w:w="709"/>
        <w:gridCol w:w="850"/>
        <w:gridCol w:w="993"/>
        <w:gridCol w:w="708"/>
        <w:gridCol w:w="851"/>
        <w:gridCol w:w="927"/>
        <w:gridCol w:w="23"/>
        <w:gridCol w:w="751"/>
        <w:gridCol w:w="808"/>
        <w:gridCol w:w="892"/>
        <w:gridCol w:w="777"/>
        <w:gridCol w:w="851"/>
      </w:tblGrid>
      <w:tr w:rsidR="00000000">
        <w:tblPrEx>
          <w:tblCellMar>
            <w:top w:w="0" w:type="dxa"/>
            <w:bottom w:w="0" w:type="dxa"/>
          </w:tblCellMar>
        </w:tblPrEx>
        <w:trPr>
          <w:tblHeader/>
        </w:trPr>
        <w:tc>
          <w:tcPr>
            <w:tcW w:w="12726" w:type="dxa"/>
            <w:gridSpan w:val="16"/>
            <w:tcBorders>
              <w:top w:val="nil"/>
              <w:left w:val="nil"/>
              <w:right w:val="nil"/>
            </w:tcBorders>
          </w:tcPr>
          <w:p w:rsidR="00000000" w:rsidRDefault="00000000">
            <w:pPr>
              <w:jc w:val="center"/>
              <w:rPr>
                <w:b/>
                <w:bCs/>
              </w:rPr>
            </w:pPr>
            <w:r>
              <w:rPr>
                <w:b/>
                <w:bCs/>
              </w:rPr>
              <w:t>Table 45  (</w:t>
            </w:r>
            <w:r>
              <w:rPr>
                <w:b/>
                <w:bCs/>
                <w:u w:val="single"/>
              </w:rPr>
              <w:t>continued</w:t>
            </w:r>
            <w:r>
              <w:rPr>
                <w:b/>
                <w:bCs/>
              </w:rPr>
              <w:t>)</w:t>
            </w:r>
          </w:p>
          <w:p w:rsidR="00000000" w:rsidRDefault="00000000">
            <w:pPr>
              <w:jc w:val="center"/>
              <w:rPr>
                <w:b/>
                <w:bCs/>
              </w:rPr>
            </w:pPr>
          </w:p>
          <w:p w:rsidR="00000000" w:rsidRDefault="00000000">
            <w:pPr>
              <w:jc w:val="center"/>
              <w:rPr>
                <w:kern w:val="20"/>
                <w:sz w:val="18"/>
              </w:rPr>
            </w:pPr>
          </w:p>
        </w:tc>
      </w:tr>
      <w:tr w:rsidR="00000000">
        <w:tblPrEx>
          <w:tblCellMar>
            <w:top w:w="0" w:type="dxa"/>
            <w:bottom w:w="0" w:type="dxa"/>
          </w:tblCellMar>
        </w:tblPrEx>
        <w:trPr>
          <w:cantSplit/>
          <w:tblHeader/>
        </w:trPr>
        <w:tc>
          <w:tcPr>
            <w:tcW w:w="1701" w:type="dxa"/>
            <w:tcBorders>
              <w:bottom w:val="nil"/>
            </w:tcBorders>
          </w:tcPr>
          <w:p w:rsidR="00000000" w:rsidRDefault="00000000">
            <w:pPr>
              <w:rPr>
                <w:kern w:val="20"/>
                <w:sz w:val="18"/>
              </w:rPr>
            </w:pPr>
          </w:p>
        </w:tc>
        <w:tc>
          <w:tcPr>
            <w:tcW w:w="999" w:type="dxa"/>
            <w:gridSpan w:val="2"/>
            <w:tcBorders>
              <w:bottom w:val="nil"/>
            </w:tcBorders>
          </w:tcPr>
          <w:p w:rsidR="00000000" w:rsidRDefault="00000000">
            <w:pPr>
              <w:jc w:val="center"/>
              <w:rPr>
                <w:kern w:val="20"/>
                <w:sz w:val="18"/>
              </w:rPr>
            </w:pPr>
          </w:p>
        </w:tc>
        <w:tc>
          <w:tcPr>
            <w:tcW w:w="4997" w:type="dxa"/>
            <w:gridSpan w:val="6"/>
          </w:tcPr>
          <w:p w:rsidR="00000000" w:rsidRDefault="00000000">
            <w:pPr>
              <w:jc w:val="center"/>
              <w:rPr>
                <w:kern w:val="20"/>
                <w:sz w:val="18"/>
              </w:rPr>
            </w:pPr>
            <w:r>
              <w:rPr>
                <w:kern w:val="20"/>
                <w:sz w:val="18"/>
              </w:rPr>
              <w:t>Poverty line</w:t>
            </w:r>
          </w:p>
        </w:tc>
        <w:tc>
          <w:tcPr>
            <w:tcW w:w="5029" w:type="dxa"/>
            <w:gridSpan w:val="7"/>
          </w:tcPr>
          <w:p w:rsidR="00000000" w:rsidRDefault="00000000">
            <w:pPr>
              <w:jc w:val="center"/>
              <w:rPr>
                <w:kern w:val="20"/>
                <w:sz w:val="18"/>
              </w:rPr>
            </w:pPr>
            <w:r>
              <w:rPr>
                <w:kern w:val="20"/>
                <w:sz w:val="18"/>
              </w:rPr>
              <w:t>Extreme poverty line</w:t>
            </w:r>
          </w:p>
        </w:tc>
      </w:tr>
      <w:tr w:rsidR="00000000">
        <w:tblPrEx>
          <w:tblCellMar>
            <w:top w:w="0" w:type="dxa"/>
            <w:bottom w:w="0" w:type="dxa"/>
          </w:tblCellMar>
        </w:tblPrEx>
        <w:trPr>
          <w:tblHeader/>
        </w:trPr>
        <w:tc>
          <w:tcPr>
            <w:tcW w:w="1701" w:type="dxa"/>
            <w:tcBorders>
              <w:top w:val="nil"/>
              <w:bottom w:val="nil"/>
            </w:tcBorders>
          </w:tcPr>
          <w:p w:rsidR="00000000" w:rsidRDefault="00000000">
            <w:pPr>
              <w:rPr>
                <w:kern w:val="20"/>
                <w:sz w:val="18"/>
              </w:rPr>
            </w:pPr>
          </w:p>
        </w:tc>
        <w:tc>
          <w:tcPr>
            <w:tcW w:w="993" w:type="dxa"/>
            <w:tcBorders>
              <w:top w:val="nil"/>
            </w:tcBorders>
          </w:tcPr>
          <w:p w:rsidR="00000000" w:rsidRDefault="00000000">
            <w:pPr>
              <w:rPr>
                <w:kern w:val="20"/>
                <w:sz w:val="18"/>
              </w:rPr>
            </w:pPr>
          </w:p>
        </w:tc>
        <w:tc>
          <w:tcPr>
            <w:tcW w:w="2451" w:type="dxa"/>
            <w:gridSpan w:val="4"/>
          </w:tcPr>
          <w:p w:rsidR="00000000" w:rsidRDefault="00000000">
            <w:pPr>
              <w:jc w:val="center"/>
              <w:rPr>
                <w:kern w:val="20"/>
                <w:sz w:val="18"/>
              </w:rPr>
            </w:pPr>
            <w:r>
              <w:rPr>
                <w:kern w:val="20"/>
                <w:sz w:val="18"/>
              </w:rPr>
              <w:t>Incidence of poverty within category</w:t>
            </w:r>
          </w:p>
        </w:tc>
        <w:tc>
          <w:tcPr>
            <w:tcW w:w="2552" w:type="dxa"/>
            <w:gridSpan w:val="3"/>
          </w:tcPr>
          <w:p w:rsidR="00000000" w:rsidRDefault="00000000">
            <w:pPr>
              <w:jc w:val="center"/>
              <w:rPr>
                <w:kern w:val="20"/>
                <w:sz w:val="18"/>
              </w:rPr>
            </w:pPr>
            <w:r>
              <w:rPr>
                <w:kern w:val="20"/>
                <w:sz w:val="18"/>
              </w:rPr>
              <w:t>Distribution of poverty across category</w:t>
            </w:r>
          </w:p>
        </w:tc>
        <w:tc>
          <w:tcPr>
            <w:tcW w:w="2509" w:type="dxa"/>
            <w:gridSpan w:val="4"/>
          </w:tcPr>
          <w:p w:rsidR="00000000" w:rsidRDefault="00000000">
            <w:pPr>
              <w:jc w:val="center"/>
              <w:rPr>
                <w:kern w:val="20"/>
                <w:sz w:val="18"/>
              </w:rPr>
            </w:pPr>
            <w:r>
              <w:rPr>
                <w:kern w:val="20"/>
                <w:sz w:val="18"/>
              </w:rPr>
              <w:t>Incidence of poverty within category</w:t>
            </w:r>
          </w:p>
        </w:tc>
        <w:tc>
          <w:tcPr>
            <w:tcW w:w="2520" w:type="dxa"/>
            <w:gridSpan w:val="3"/>
          </w:tcPr>
          <w:p w:rsidR="00000000" w:rsidRDefault="00000000">
            <w:pPr>
              <w:jc w:val="center"/>
              <w:rPr>
                <w:kern w:val="20"/>
                <w:sz w:val="18"/>
              </w:rPr>
            </w:pPr>
            <w:r>
              <w:rPr>
                <w:kern w:val="20"/>
                <w:sz w:val="18"/>
              </w:rPr>
              <w:t>Distribution of poverty across category</w:t>
            </w:r>
          </w:p>
        </w:tc>
      </w:tr>
      <w:tr w:rsidR="00000000">
        <w:tblPrEx>
          <w:tblCellMar>
            <w:top w:w="0" w:type="dxa"/>
            <w:bottom w:w="0" w:type="dxa"/>
          </w:tblCellMar>
        </w:tblPrEx>
        <w:trPr>
          <w:tblHeader/>
        </w:trPr>
        <w:tc>
          <w:tcPr>
            <w:tcW w:w="1701" w:type="dxa"/>
            <w:tcBorders>
              <w:top w:val="nil"/>
            </w:tcBorders>
          </w:tcPr>
          <w:p w:rsidR="00000000" w:rsidRDefault="00000000">
            <w:pPr>
              <w:rPr>
                <w:kern w:val="20"/>
                <w:sz w:val="18"/>
              </w:rPr>
            </w:pPr>
          </w:p>
        </w:tc>
        <w:tc>
          <w:tcPr>
            <w:tcW w:w="993" w:type="dxa"/>
          </w:tcPr>
          <w:p w:rsidR="00000000" w:rsidRDefault="00000000">
            <w:pPr>
              <w:jc w:val="center"/>
              <w:rPr>
                <w:kern w:val="20"/>
                <w:sz w:val="18"/>
              </w:rPr>
            </w:pPr>
            <w:r>
              <w:rPr>
                <w:kern w:val="20"/>
                <w:sz w:val="18"/>
              </w:rPr>
              <w:t>Frequency</w:t>
            </w:r>
          </w:p>
          <w:p w:rsidR="00000000" w:rsidRDefault="00000000">
            <w:pPr>
              <w:jc w:val="center"/>
              <w:rPr>
                <w:kern w:val="20"/>
                <w:sz w:val="18"/>
              </w:rPr>
            </w:pPr>
            <w:r>
              <w:rPr>
                <w:kern w:val="20"/>
                <w:sz w:val="18"/>
              </w:rPr>
              <w:t>in the population</w:t>
            </w:r>
          </w:p>
        </w:tc>
        <w:tc>
          <w:tcPr>
            <w:tcW w:w="892" w:type="dxa"/>
            <w:gridSpan w:val="2"/>
          </w:tcPr>
          <w:p w:rsidR="00000000" w:rsidRDefault="00000000">
            <w:pPr>
              <w:jc w:val="center"/>
              <w:rPr>
                <w:kern w:val="20"/>
                <w:sz w:val="18"/>
              </w:rPr>
            </w:pPr>
            <w:r>
              <w:rPr>
                <w:kern w:val="20"/>
                <w:sz w:val="18"/>
              </w:rPr>
              <w:t>Percentage</w:t>
            </w:r>
          </w:p>
          <w:p w:rsidR="00000000" w:rsidRDefault="00000000">
            <w:pPr>
              <w:jc w:val="center"/>
              <w:rPr>
                <w:kern w:val="20"/>
                <w:sz w:val="18"/>
              </w:rPr>
            </w:pPr>
            <w:r>
              <w:rPr>
                <w:kern w:val="20"/>
                <w:sz w:val="18"/>
              </w:rPr>
              <w:t>of poor</w:t>
            </w:r>
          </w:p>
        </w:tc>
        <w:tc>
          <w:tcPr>
            <w:tcW w:w="709" w:type="dxa"/>
          </w:tcPr>
          <w:p w:rsidR="00000000" w:rsidRDefault="00000000">
            <w:pPr>
              <w:jc w:val="center"/>
              <w:rPr>
                <w:kern w:val="20"/>
                <w:sz w:val="18"/>
              </w:rPr>
            </w:pPr>
            <w:r>
              <w:rPr>
                <w:kern w:val="20"/>
                <w:sz w:val="18"/>
              </w:rPr>
              <w:t>Average income gap</w:t>
            </w:r>
          </w:p>
        </w:tc>
        <w:tc>
          <w:tcPr>
            <w:tcW w:w="850" w:type="dxa"/>
          </w:tcPr>
          <w:p w:rsidR="00000000" w:rsidRDefault="00000000">
            <w:pPr>
              <w:jc w:val="center"/>
              <w:rPr>
                <w:kern w:val="20"/>
                <w:sz w:val="18"/>
              </w:rPr>
            </w:pPr>
            <w:r>
              <w:rPr>
                <w:kern w:val="20"/>
                <w:sz w:val="18"/>
              </w:rPr>
              <w:t>Quadratic average income</w:t>
            </w:r>
          </w:p>
          <w:p w:rsidR="00000000" w:rsidRDefault="00000000">
            <w:pPr>
              <w:jc w:val="center"/>
              <w:rPr>
                <w:kern w:val="20"/>
                <w:sz w:val="18"/>
              </w:rPr>
            </w:pPr>
            <w:r>
              <w:rPr>
                <w:kern w:val="20"/>
                <w:sz w:val="18"/>
              </w:rPr>
              <w:t>gap</w:t>
            </w:r>
          </w:p>
        </w:tc>
        <w:tc>
          <w:tcPr>
            <w:tcW w:w="993" w:type="dxa"/>
          </w:tcPr>
          <w:p w:rsidR="00000000" w:rsidRDefault="00000000">
            <w:pPr>
              <w:jc w:val="center"/>
              <w:rPr>
                <w:kern w:val="20"/>
                <w:sz w:val="18"/>
              </w:rPr>
            </w:pPr>
            <w:r>
              <w:rPr>
                <w:kern w:val="20"/>
                <w:sz w:val="18"/>
              </w:rPr>
              <w:t>Percentage of poor</w:t>
            </w:r>
          </w:p>
        </w:tc>
        <w:tc>
          <w:tcPr>
            <w:tcW w:w="708" w:type="dxa"/>
          </w:tcPr>
          <w:p w:rsidR="00000000" w:rsidRDefault="00000000">
            <w:pPr>
              <w:jc w:val="center"/>
              <w:rPr>
                <w:kern w:val="20"/>
                <w:sz w:val="18"/>
              </w:rPr>
            </w:pPr>
            <w:r>
              <w:rPr>
                <w:kern w:val="20"/>
                <w:sz w:val="18"/>
              </w:rPr>
              <w:t>Average income gap</w:t>
            </w:r>
          </w:p>
        </w:tc>
        <w:tc>
          <w:tcPr>
            <w:tcW w:w="851" w:type="dxa"/>
          </w:tcPr>
          <w:p w:rsidR="00000000" w:rsidRDefault="00000000">
            <w:pPr>
              <w:jc w:val="center"/>
              <w:rPr>
                <w:kern w:val="20"/>
                <w:sz w:val="18"/>
              </w:rPr>
            </w:pPr>
            <w:r>
              <w:rPr>
                <w:kern w:val="20"/>
                <w:sz w:val="18"/>
              </w:rPr>
              <w:t>Quadratic average income</w:t>
            </w:r>
          </w:p>
          <w:p w:rsidR="00000000" w:rsidRDefault="00000000">
            <w:pPr>
              <w:jc w:val="center"/>
              <w:rPr>
                <w:kern w:val="20"/>
                <w:sz w:val="18"/>
              </w:rPr>
            </w:pPr>
            <w:r>
              <w:rPr>
                <w:kern w:val="20"/>
                <w:sz w:val="18"/>
              </w:rPr>
              <w:t>gap</w:t>
            </w:r>
          </w:p>
        </w:tc>
        <w:tc>
          <w:tcPr>
            <w:tcW w:w="927" w:type="dxa"/>
          </w:tcPr>
          <w:p w:rsidR="00000000" w:rsidRDefault="00000000">
            <w:pPr>
              <w:jc w:val="center"/>
              <w:rPr>
                <w:kern w:val="20"/>
                <w:sz w:val="18"/>
              </w:rPr>
            </w:pPr>
            <w:r>
              <w:rPr>
                <w:kern w:val="20"/>
                <w:sz w:val="18"/>
              </w:rPr>
              <w:t>Percentage of poor</w:t>
            </w:r>
          </w:p>
        </w:tc>
        <w:tc>
          <w:tcPr>
            <w:tcW w:w="774" w:type="dxa"/>
            <w:gridSpan w:val="2"/>
          </w:tcPr>
          <w:p w:rsidR="00000000" w:rsidRDefault="00000000">
            <w:pPr>
              <w:jc w:val="center"/>
              <w:rPr>
                <w:kern w:val="20"/>
                <w:sz w:val="18"/>
              </w:rPr>
            </w:pPr>
            <w:r>
              <w:rPr>
                <w:kern w:val="20"/>
                <w:sz w:val="18"/>
              </w:rPr>
              <w:t>Average income gap</w:t>
            </w:r>
          </w:p>
        </w:tc>
        <w:tc>
          <w:tcPr>
            <w:tcW w:w="808" w:type="dxa"/>
          </w:tcPr>
          <w:p w:rsidR="00000000" w:rsidRDefault="00000000">
            <w:pPr>
              <w:jc w:val="center"/>
              <w:rPr>
                <w:kern w:val="20"/>
                <w:sz w:val="18"/>
              </w:rPr>
            </w:pPr>
            <w:r>
              <w:rPr>
                <w:kern w:val="20"/>
                <w:sz w:val="18"/>
              </w:rPr>
              <w:t>Quadratic average income</w:t>
            </w:r>
          </w:p>
          <w:p w:rsidR="00000000" w:rsidRDefault="00000000">
            <w:pPr>
              <w:jc w:val="center"/>
              <w:rPr>
                <w:kern w:val="20"/>
                <w:sz w:val="18"/>
              </w:rPr>
            </w:pPr>
            <w:r>
              <w:rPr>
                <w:kern w:val="20"/>
                <w:sz w:val="18"/>
              </w:rPr>
              <w:t>gap</w:t>
            </w:r>
          </w:p>
        </w:tc>
        <w:tc>
          <w:tcPr>
            <w:tcW w:w="892" w:type="dxa"/>
          </w:tcPr>
          <w:p w:rsidR="00000000" w:rsidRDefault="00000000">
            <w:pPr>
              <w:jc w:val="center"/>
              <w:rPr>
                <w:kern w:val="20"/>
                <w:sz w:val="18"/>
              </w:rPr>
            </w:pPr>
            <w:r>
              <w:rPr>
                <w:kern w:val="20"/>
                <w:sz w:val="18"/>
              </w:rPr>
              <w:t>Percentage of poor</w:t>
            </w:r>
          </w:p>
        </w:tc>
        <w:tc>
          <w:tcPr>
            <w:tcW w:w="777" w:type="dxa"/>
          </w:tcPr>
          <w:p w:rsidR="00000000" w:rsidRDefault="00000000">
            <w:pPr>
              <w:jc w:val="center"/>
              <w:rPr>
                <w:kern w:val="20"/>
                <w:sz w:val="18"/>
              </w:rPr>
            </w:pPr>
            <w:r>
              <w:rPr>
                <w:kern w:val="20"/>
                <w:sz w:val="18"/>
              </w:rPr>
              <w:t>Average income</w:t>
            </w:r>
          </w:p>
          <w:p w:rsidR="00000000" w:rsidRDefault="00000000">
            <w:pPr>
              <w:ind w:right="34"/>
              <w:jc w:val="center"/>
              <w:rPr>
                <w:kern w:val="20"/>
                <w:sz w:val="18"/>
              </w:rPr>
            </w:pPr>
            <w:r>
              <w:rPr>
                <w:kern w:val="20"/>
                <w:sz w:val="18"/>
              </w:rPr>
              <w:t>gap</w:t>
            </w:r>
          </w:p>
        </w:tc>
        <w:tc>
          <w:tcPr>
            <w:tcW w:w="851" w:type="dxa"/>
          </w:tcPr>
          <w:p w:rsidR="00000000" w:rsidRDefault="00000000">
            <w:pPr>
              <w:jc w:val="center"/>
              <w:rPr>
                <w:kern w:val="20"/>
                <w:sz w:val="18"/>
              </w:rPr>
            </w:pPr>
            <w:r>
              <w:rPr>
                <w:kern w:val="20"/>
                <w:sz w:val="18"/>
              </w:rPr>
              <w:t>Quadratic average income gap</w:t>
            </w:r>
          </w:p>
        </w:tc>
      </w:tr>
      <w:tr w:rsidR="00000000">
        <w:tblPrEx>
          <w:tblCellMar>
            <w:top w:w="0" w:type="dxa"/>
            <w:bottom w:w="0" w:type="dxa"/>
          </w:tblCellMar>
        </w:tblPrEx>
        <w:trPr>
          <w:cantSplit/>
        </w:trPr>
        <w:tc>
          <w:tcPr>
            <w:tcW w:w="1701" w:type="dxa"/>
          </w:tcPr>
          <w:p w:rsidR="00000000" w:rsidRDefault="00000000">
            <w:pPr>
              <w:rPr>
                <w:b/>
                <w:bCs/>
                <w:kern w:val="20"/>
                <w:sz w:val="18"/>
              </w:rPr>
            </w:pPr>
            <w:r>
              <w:rPr>
                <w:b/>
                <w:bCs/>
                <w:kern w:val="20"/>
                <w:sz w:val="18"/>
              </w:rPr>
              <w:t>Occupational group</w:t>
            </w:r>
          </w:p>
          <w:p w:rsidR="00000000" w:rsidRDefault="00000000">
            <w:pPr>
              <w:rPr>
                <w:kern w:val="20"/>
                <w:sz w:val="18"/>
                <w:u w:val="single"/>
              </w:rPr>
            </w:pPr>
            <w:r>
              <w:rPr>
                <w:b/>
                <w:bCs/>
                <w:kern w:val="20"/>
                <w:sz w:val="18"/>
              </w:rPr>
              <w:t>(continued)</w:t>
            </w:r>
          </w:p>
        </w:tc>
        <w:tc>
          <w:tcPr>
            <w:tcW w:w="11025" w:type="dxa"/>
            <w:gridSpan w:val="15"/>
          </w:tcPr>
          <w:p w:rsidR="00000000" w:rsidRDefault="00000000">
            <w:pPr>
              <w:rPr>
                <w:kern w:val="20"/>
                <w:sz w:val="18"/>
              </w:rPr>
            </w:pPr>
          </w:p>
        </w:tc>
      </w:tr>
      <w:tr w:rsidR="00000000">
        <w:tblPrEx>
          <w:tblCellMar>
            <w:top w:w="0" w:type="dxa"/>
            <w:bottom w:w="0" w:type="dxa"/>
          </w:tblCellMar>
        </w:tblPrEx>
        <w:tc>
          <w:tcPr>
            <w:tcW w:w="1701" w:type="dxa"/>
            <w:tcBorders>
              <w:bottom w:val="nil"/>
            </w:tcBorders>
          </w:tcPr>
          <w:p w:rsidR="00000000" w:rsidRDefault="00000000">
            <w:pPr>
              <w:rPr>
                <w:kern w:val="20"/>
                <w:sz w:val="18"/>
              </w:rPr>
            </w:pPr>
            <w:r>
              <w:rPr>
                <w:kern w:val="20"/>
                <w:sz w:val="18"/>
              </w:rPr>
              <w:t>Civil servant</w:t>
            </w:r>
          </w:p>
        </w:tc>
        <w:tc>
          <w:tcPr>
            <w:tcW w:w="993" w:type="dxa"/>
            <w:tcBorders>
              <w:bottom w:val="nil"/>
            </w:tcBorders>
          </w:tcPr>
          <w:p w:rsidR="00000000" w:rsidRDefault="00000000">
            <w:pPr>
              <w:rPr>
                <w:kern w:val="20"/>
                <w:sz w:val="18"/>
              </w:rPr>
            </w:pPr>
            <w:r>
              <w:rPr>
                <w:kern w:val="20"/>
                <w:sz w:val="18"/>
              </w:rPr>
              <w:t xml:space="preserve">       0.20</w:t>
            </w:r>
          </w:p>
        </w:tc>
        <w:tc>
          <w:tcPr>
            <w:tcW w:w="892" w:type="dxa"/>
            <w:gridSpan w:val="2"/>
            <w:tcBorders>
              <w:bottom w:val="nil"/>
            </w:tcBorders>
          </w:tcPr>
          <w:p w:rsidR="00000000" w:rsidRDefault="00000000">
            <w:pPr>
              <w:jc w:val="center"/>
              <w:rPr>
                <w:kern w:val="20"/>
                <w:sz w:val="18"/>
              </w:rPr>
            </w:pPr>
            <w:r>
              <w:rPr>
                <w:kern w:val="20"/>
                <w:sz w:val="18"/>
              </w:rPr>
              <w:t xml:space="preserve">  30</w:t>
            </w:r>
          </w:p>
        </w:tc>
        <w:tc>
          <w:tcPr>
            <w:tcW w:w="709" w:type="dxa"/>
            <w:tcBorders>
              <w:bottom w:val="nil"/>
            </w:tcBorders>
          </w:tcPr>
          <w:p w:rsidR="00000000" w:rsidRDefault="00000000">
            <w:pPr>
              <w:rPr>
                <w:kern w:val="20"/>
                <w:sz w:val="18"/>
              </w:rPr>
            </w:pPr>
            <w:r>
              <w:rPr>
                <w:kern w:val="20"/>
                <w:sz w:val="18"/>
              </w:rPr>
              <w:t xml:space="preserve">   0.11</w:t>
            </w:r>
          </w:p>
        </w:tc>
        <w:tc>
          <w:tcPr>
            <w:tcW w:w="850" w:type="dxa"/>
            <w:tcBorders>
              <w:bottom w:val="nil"/>
            </w:tcBorders>
          </w:tcPr>
          <w:p w:rsidR="00000000" w:rsidRDefault="00000000">
            <w:pPr>
              <w:rPr>
                <w:kern w:val="20"/>
                <w:sz w:val="18"/>
              </w:rPr>
            </w:pPr>
            <w:r>
              <w:rPr>
                <w:kern w:val="20"/>
                <w:sz w:val="18"/>
              </w:rPr>
              <w:t xml:space="preserve">    0.05</w:t>
            </w:r>
          </w:p>
        </w:tc>
        <w:tc>
          <w:tcPr>
            <w:tcW w:w="993" w:type="dxa"/>
            <w:tcBorders>
              <w:bottom w:val="nil"/>
            </w:tcBorders>
          </w:tcPr>
          <w:p w:rsidR="00000000" w:rsidRDefault="00000000">
            <w:pPr>
              <w:rPr>
                <w:kern w:val="20"/>
                <w:sz w:val="18"/>
              </w:rPr>
            </w:pPr>
            <w:r>
              <w:rPr>
                <w:kern w:val="20"/>
                <w:sz w:val="18"/>
              </w:rPr>
              <w:t xml:space="preserve">       0.18</w:t>
            </w:r>
          </w:p>
        </w:tc>
        <w:tc>
          <w:tcPr>
            <w:tcW w:w="708" w:type="dxa"/>
            <w:tcBorders>
              <w:bottom w:val="nil"/>
            </w:tcBorders>
          </w:tcPr>
          <w:p w:rsidR="00000000" w:rsidRDefault="00000000">
            <w:pPr>
              <w:rPr>
                <w:kern w:val="20"/>
                <w:sz w:val="18"/>
              </w:rPr>
            </w:pPr>
            <w:r>
              <w:rPr>
                <w:kern w:val="20"/>
                <w:sz w:val="18"/>
              </w:rPr>
              <w:t xml:space="preserve">   0.14</w:t>
            </w:r>
          </w:p>
        </w:tc>
        <w:tc>
          <w:tcPr>
            <w:tcW w:w="851" w:type="dxa"/>
            <w:tcBorders>
              <w:bottom w:val="nil"/>
            </w:tcBorders>
          </w:tcPr>
          <w:p w:rsidR="00000000" w:rsidRDefault="00000000">
            <w:pPr>
              <w:rPr>
                <w:kern w:val="20"/>
                <w:sz w:val="18"/>
              </w:rPr>
            </w:pPr>
            <w:r>
              <w:rPr>
                <w:kern w:val="20"/>
                <w:sz w:val="18"/>
              </w:rPr>
              <w:t xml:space="preserve">     0.11</w:t>
            </w:r>
          </w:p>
        </w:tc>
        <w:tc>
          <w:tcPr>
            <w:tcW w:w="950" w:type="dxa"/>
            <w:gridSpan w:val="2"/>
            <w:tcBorders>
              <w:bottom w:val="nil"/>
            </w:tcBorders>
          </w:tcPr>
          <w:p w:rsidR="00000000" w:rsidRDefault="00000000">
            <w:pPr>
              <w:rPr>
                <w:kern w:val="20"/>
                <w:sz w:val="18"/>
              </w:rPr>
            </w:pPr>
            <w:r>
              <w:rPr>
                <w:kern w:val="20"/>
                <w:sz w:val="18"/>
              </w:rPr>
              <w:t xml:space="preserve">          9</w:t>
            </w:r>
          </w:p>
        </w:tc>
        <w:tc>
          <w:tcPr>
            <w:tcW w:w="751" w:type="dxa"/>
            <w:tcBorders>
              <w:bottom w:val="nil"/>
            </w:tcBorders>
          </w:tcPr>
          <w:p w:rsidR="00000000" w:rsidRDefault="00000000">
            <w:pPr>
              <w:rPr>
                <w:kern w:val="20"/>
                <w:sz w:val="18"/>
              </w:rPr>
            </w:pPr>
            <w:r>
              <w:rPr>
                <w:kern w:val="20"/>
                <w:sz w:val="18"/>
              </w:rPr>
              <w:t xml:space="preserve">    0.02</w:t>
            </w:r>
          </w:p>
        </w:tc>
        <w:tc>
          <w:tcPr>
            <w:tcW w:w="808" w:type="dxa"/>
            <w:tcBorders>
              <w:bottom w:val="nil"/>
            </w:tcBorders>
          </w:tcPr>
          <w:p w:rsidR="00000000" w:rsidRDefault="00000000">
            <w:pPr>
              <w:rPr>
                <w:kern w:val="20"/>
                <w:sz w:val="18"/>
              </w:rPr>
            </w:pPr>
            <w:r>
              <w:rPr>
                <w:kern w:val="20"/>
                <w:sz w:val="18"/>
              </w:rPr>
              <w:t xml:space="preserve">     0.01</w:t>
            </w:r>
          </w:p>
        </w:tc>
        <w:tc>
          <w:tcPr>
            <w:tcW w:w="892" w:type="dxa"/>
            <w:tcBorders>
              <w:bottom w:val="nil"/>
            </w:tcBorders>
          </w:tcPr>
          <w:p w:rsidR="00000000" w:rsidRDefault="00000000">
            <w:pPr>
              <w:rPr>
                <w:kern w:val="20"/>
                <w:sz w:val="18"/>
              </w:rPr>
            </w:pPr>
            <w:r>
              <w:rPr>
                <w:kern w:val="20"/>
                <w:sz w:val="18"/>
              </w:rPr>
              <w:t xml:space="preserve">      0.11</w:t>
            </w:r>
          </w:p>
        </w:tc>
        <w:tc>
          <w:tcPr>
            <w:tcW w:w="777" w:type="dxa"/>
            <w:tcBorders>
              <w:bottom w:val="nil"/>
            </w:tcBorders>
          </w:tcPr>
          <w:p w:rsidR="00000000" w:rsidRDefault="00000000">
            <w:pPr>
              <w:rPr>
                <w:kern w:val="20"/>
                <w:sz w:val="18"/>
              </w:rPr>
            </w:pPr>
            <w:r>
              <w:rPr>
                <w:kern w:val="20"/>
                <w:sz w:val="18"/>
              </w:rPr>
              <w:t xml:space="preserve">    0.07</w:t>
            </w:r>
          </w:p>
        </w:tc>
        <w:tc>
          <w:tcPr>
            <w:tcW w:w="851" w:type="dxa"/>
            <w:tcBorders>
              <w:bottom w:val="nil"/>
            </w:tcBorders>
          </w:tcPr>
          <w:p w:rsidR="00000000" w:rsidRDefault="00000000">
            <w:pPr>
              <w:rPr>
                <w:kern w:val="20"/>
                <w:sz w:val="18"/>
              </w:rPr>
            </w:pPr>
            <w:r>
              <w:rPr>
                <w:kern w:val="20"/>
                <w:sz w:val="18"/>
              </w:rPr>
              <w:t xml:space="preserve">     0.04</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Food and tobacco</w:t>
            </w:r>
          </w:p>
          <w:p w:rsidR="00000000" w:rsidRDefault="00000000">
            <w:pPr>
              <w:rPr>
                <w:kern w:val="20"/>
                <w:sz w:val="18"/>
              </w:rPr>
            </w:pPr>
            <w:r>
              <w:rPr>
                <w:kern w:val="20"/>
                <w:sz w:val="18"/>
              </w:rPr>
              <w:t xml:space="preserve">  industry</w:t>
            </w:r>
          </w:p>
        </w:tc>
        <w:tc>
          <w:tcPr>
            <w:tcW w:w="993" w:type="dxa"/>
            <w:tcBorders>
              <w:top w:val="nil"/>
              <w:bottom w:val="nil"/>
            </w:tcBorders>
          </w:tcPr>
          <w:p w:rsidR="00000000" w:rsidRDefault="00000000">
            <w:pPr>
              <w:rPr>
                <w:kern w:val="20"/>
                <w:sz w:val="18"/>
              </w:rPr>
            </w:pPr>
            <w:r>
              <w:rPr>
                <w:kern w:val="20"/>
                <w:sz w:val="18"/>
              </w:rPr>
              <w:t xml:space="preserve">       0.20</w:t>
            </w:r>
          </w:p>
        </w:tc>
        <w:tc>
          <w:tcPr>
            <w:tcW w:w="892" w:type="dxa"/>
            <w:gridSpan w:val="2"/>
            <w:tcBorders>
              <w:top w:val="nil"/>
              <w:bottom w:val="nil"/>
            </w:tcBorders>
          </w:tcPr>
          <w:p w:rsidR="00000000" w:rsidRDefault="00000000">
            <w:pPr>
              <w:jc w:val="center"/>
              <w:rPr>
                <w:kern w:val="20"/>
                <w:sz w:val="18"/>
              </w:rPr>
            </w:pPr>
            <w:r>
              <w:rPr>
                <w:kern w:val="20"/>
                <w:sz w:val="18"/>
              </w:rPr>
              <w:t xml:space="preserve">  35</w:t>
            </w:r>
          </w:p>
        </w:tc>
        <w:tc>
          <w:tcPr>
            <w:tcW w:w="709" w:type="dxa"/>
            <w:tcBorders>
              <w:top w:val="nil"/>
              <w:bottom w:val="nil"/>
            </w:tcBorders>
          </w:tcPr>
          <w:p w:rsidR="00000000" w:rsidRDefault="00000000">
            <w:pPr>
              <w:rPr>
                <w:kern w:val="20"/>
                <w:sz w:val="18"/>
              </w:rPr>
            </w:pPr>
            <w:r>
              <w:rPr>
                <w:kern w:val="20"/>
                <w:sz w:val="18"/>
              </w:rPr>
              <w:t xml:space="preserve">   0.13</w:t>
            </w:r>
          </w:p>
        </w:tc>
        <w:tc>
          <w:tcPr>
            <w:tcW w:w="850" w:type="dxa"/>
            <w:tcBorders>
              <w:top w:val="nil"/>
              <w:bottom w:val="nil"/>
            </w:tcBorders>
          </w:tcPr>
          <w:p w:rsidR="00000000" w:rsidRDefault="00000000">
            <w:pPr>
              <w:rPr>
                <w:kern w:val="20"/>
                <w:sz w:val="18"/>
              </w:rPr>
            </w:pPr>
            <w:r>
              <w:rPr>
                <w:kern w:val="20"/>
                <w:sz w:val="18"/>
              </w:rPr>
              <w:t xml:space="preserve">    0.07</w:t>
            </w:r>
          </w:p>
        </w:tc>
        <w:tc>
          <w:tcPr>
            <w:tcW w:w="993" w:type="dxa"/>
            <w:tcBorders>
              <w:top w:val="nil"/>
              <w:bottom w:val="nil"/>
            </w:tcBorders>
          </w:tcPr>
          <w:p w:rsidR="00000000" w:rsidRDefault="00000000">
            <w:pPr>
              <w:rPr>
                <w:kern w:val="20"/>
                <w:sz w:val="18"/>
              </w:rPr>
            </w:pPr>
            <w:r>
              <w:rPr>
                <w:kern w:val="20"/>
                <w:sz w:val="18"/>
              </w:rPr>
              <w:t xml:space="preserve">       0.21</w:t>
            </w:r>
          </w:p>
        </w:tc>
        <w:tc>
          <w:tcPr>
            <w:tcW w:w="708" w:type="dxa"/>
            <w:tcBorders>
              <w:top w:val="nil"/>
              <w:bottom w:val="nil"/>
            </w:tcBorders>
          </w:tcPr>
          <w:p w:rsidR="00000000" w:rsidRDefault="00000000">
            <w:pPr>
              <w:rPr>
                <w:kern w:val="20"/>
                <w:sz w:val="18"/>
              </w:rPr>
            </w:pPr>
            <w:r>
              <w:rPr>
                <w:kern w:val="20"/>
                <w:sz w:val="18"/>
              </w:rPr>
              <w:t xml:space="preserve">   0.17</w:t>
            </w:r>
          </w:p>
        </w:tc>
        <w:tc>
          <w:tcPr>
            <w:tcW w:w="851" w:type="dxa"/>
            <w:tcBorders>
              <w:top w:val="nil"/>
              <w:bottom w:val="nil"/>
            </w:tcBorders>
          </w:tcPr>
          <w:p w:rsidR="00000000" w:rsidRDefault="00000000">
            <w:pPr>
              <w:rPr>
                <w:kern w:val="20"/>
                <w:sz w:val="18"/>
              </w:rPr>
            </w:pPr>
            <w:r>
              <w:rPr>
                <w:kern w:val="20"/>
                <w:sz w:val="18"/>
              </w:rPr>
              <w:t xml:space="preserve">     0.15</w:t>
            </w:r>
          </w:p>
        </w:tc>
        <w:tc>
          <w:tcPr>
            <w:tcW w:w="950" w:type="dxa"/>
            <w:gridSpan w:val="2"/>
            <w:tcBorders>
              <w:top w:val="nil"/>
              <w:bottom w:val="nil"/>
            </w:tcBorders>
          </w:tcPr>
          <w:p w:rsidR="00000000" w:rsidRDefault="00000000">
            <w:pPr>
              <w:rPr>
                <w:kern w:val="20"/>
                <w:sz w:val="18"/>
              </w:rPr>
            </w:pPr>
            <w:r>
              <w:rPr>
                <w:kern w:val="20"/>
                <w:sz w:val="18"/>
              </w:rPr>
              <w:t xml:space="preserve">        12</w:t>
            </w:r>
          </w:p>
        </w:tc>
        <w:tc>
          <w:tcPr>
            <w:tcW w:w="751" w:type="dxa"/>
            <w:tcBorders>
              <w:top w:val="nil"/>
              <w:bottom w:val="nil"/>
            </w:tcBorders>
          </w:tcPr>
          <w:p w:rsidR="00000000" w:rsidRDefault="00000000">
            <w:pPr>
              <w:rPr>
                <w:kern w:val="20"/>
                <w:sz w:val="18"/>
              </w:rPr>
            </w:pPr>
            <w:r>
              <w:rPr>
                <w:kern w:val="20"/>
                <w:sz w:val="18"/>
              </w:rPr>
              <w:t xml:space="preserve">    0.04</w:t>
            </w:r>
          </w:p>
        </w:tc>
        <w:tc>
          <w:tcPr>
            <w:tcW w:w="808" w:type="dxa"/>
            <w:tcBorders>
              <w:top w:val="nil"/>
              <w:bottom w:val="nil"/>
            </w:tcBorders>
          </w:tcPr>
          <w:p w:rsidR="00000000" w:rsidRDefault="00000000">
            <w:pPr>
              <w:rPr>
                <w:kern w:val="20"/>
                <w:sz w:val="18"/>
              </w:rPr>
            </w:pPr>
            <w:r>
              <w:rPr>
                <w:kern w:val="20"/>
                <w:sz w:val="18"/>
              </w:rPr>
              <w:t xml:space="preserve">     0.02</w:t>
            </w:r>
          </w:p>
        </w:tc>
        <w:tc>
          <w:tcPr>
            <w:tcW w:w="892" w:type="dxa"/>
            <w:tcBorders>
              <w:top w:val="nil"/>
              <w:bottom w:val="nil"/>
            </w:tcBorders>
          </w:tcPr>
          <w:p w:rsidR="00000000" w:rsidRDefault="00000000">
            <w:pPr>
              <w:rPr>
                <w:kern w:val="20"/>
                <w:sz w:val="18"/>
              </w:rPr>
            </w:pPr>
            <w:r>
              <w:rPr>
                <w:kern w:val="20"/>
                <w:sz w:val="18"/>
              </w:rPr>
              <w:t xml:space="preserve">      0.16</w:t>
            </w:r>
          </w:p>
        </w:tc>
        <w:tc>
          <w:tcPr>
            <w:tcW w:w="777" w:type="dxa"/>
            <w:tcBorders>
              <w:top w:val="nil"/>
              <w:bottom w:val="nil"/>
            </w:tcBorders>
          </w:tcPr>
          <w:p w:rsidR="00000000" w:rsidRDefault="00000000">
            <w:pPr>
              <w:rPr>
                <w:kern w:val="20"/>
                <w:sz w:val="18"/>
              </w:rPr>
            </w:pPr>
            <w:r>
              <w:rPr>
                <w:kern w:val="20"/>
                <w:sz w:val="18"/>
              </w:rPr>
              <w:t xml:space="preserve">    0.13</w:t>
            </w:r>
          </w:p>
        </w:tc>
        <w:tc>
          <w:tcPr>
            <w:tcW w:w="851" w:type="dxa"/>
            <w:tcBorders>
              <w:top w:val="nil"/>
              <w:bottom w:val="nil"/>
            </w:tcBorders>
          </w:tcPr>
          <w:p w:rsidR="00000000" w:rsidRDefault="00000000">
            <w:pPr>
              <w:rPr>
                <w:kern w:val="20"/>
                <w:sz w:val="18"/>
              </w:rPr>
            </w:pPr>
            <w:r>
              <w:rPr>
                <w:kern w:val="20"/>
                <w:sz w:val="18"/>
              </w:rPr>
              <w:t xml:space="preserve">     0.09</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Ceramics, rubber</w:t>
            </w:r>
          </w:p>
          <w:p w:rsidR="00000000" w:rsidRDefault="00000000">
            <w:pPr>
              <w:rPr>
                <w:kern w:val="20"/>
                <w:sz w:val="18"/>
              </w:rPr>
            </w:pPr>
            <w:r>
              <w:rPr>
                <w:kern w:val="20"/>
                <w:sz w:val="18"/>
              </w:rPr>
              <w:t xml:space="preserve">  products, cement</w:t>
            </w:r>
          </w:p>
          <w:p w:rsidR="00000000" w:rsidRDefault="00000000">
            <w:pPr>
              <w:rPr>
                <w:kern w:val="20"/>
                <w:sz w:val="18"/>
              </w:rPr>
            </w:pPr>
            <w:r>
              <w:rPr>
                <w:kern w:val="20"/>
                <w:sz w:val="18"/>
              </w:rPr>
              <w:t xml:space="preserve">  and wood industries</w:t>
            </w:r>
          </w:p>
        </w:tc>
        <w:tc>
          <w:tcPr>
            <w:tcW w:w="993" w:type="dxa"/>
            <w:tcBorders>
              <w:top w:val="nil"/>
              <w:bottom w:val="nil"/>
            </w:tcBorders>
          </w:tcPr>
          <w:p w:rsidR="00000000" w:rsidRDefault="00000000">
            <w:pPr>
              <w:rPr>
                <w:kern w:val="20"/>
                <w:sz w:val="18"/>
              </w:rPr>
            </w:pPr>
            <w:r>
              <w:rPr>
                <w:kern w:val="20"/>
                <w:sz w:val="18"/>
              </w:rPr>
              <w:t xml:space="preserve">       0.90</w:t>
            </w:r>
          </w:p>
        </w:tc>
        <w:tc>
          <w:tcPr>
            <w:tcW w:w="892" w:type="dxa"/>
            <w:gridSpan w:val="2"/>
            <w:tcBorders>
              <w:top w:val="nil"/>
              <w:bottom w:val="nil"/>
            </w:tcBorders>
          </w:tcPr>
          <w:p w:rsidR="00000000" w:rsidRDefault="00000000">
            <w:pPr>
              <w:jc w:val="center"/>
              <w:rPr>
                <w:kern w:val="20"/>
                <w:sz w:val="18"/>
              </w:rPr>
            </w:pPr>
            <w:r>
              <w:rPr>
                <w:kern w:val="20"/>
                <w:sz w:val="18"/>
              </w:rPr>
              <w:t xml:space="preserve">  28</w:t>
            </w:r>
          </w:p>
        </w:tc>
        <w:tc>
          <w:tcPr>
            <w:tcW w:w="709" w:type="dxa"/>
            <w:tcBorders>
              <w:top w:val="nil"/>
              <w:bottom w:val="nil"/>
            </w:tcBorders>
          </w:tcPr>
          <w:p w:rsidR="00000000" w:rsidRDefault="00000000">
            <w:pPr>
              <w:rPr>
                <w:kern w:val="20"/>
                <w:sz w:val="18"/>
              </w:rPr>
            </w:pPr>
            <w:r>
              <w:rPr>
                <w:kern w:val="20"/>
                <w:sz w:val="18"/>
              </w:rPr>
              <w:t xml:space="preserve">   0.10</w:t>
            </w:r>
          </w:p>
        </w:tc>
        <w:tc>
          <w:tcPr>
            <w:tcW w:w="850" w:type="dxa"/>
            <w:tcBorders>
              <w:top w:val="nil"/>
              <w:bottom w:val="nil"/>
            </w:tcBorders>
          </w:tcPr>
          <w:p w:rsidR="00000000" w:rsidRDefault="00000000">
            <w:pPr>
              <w:rPr>
                <w:kern w:val="20"/>
                <w:sz w:val="18"/>
              </w:rPr>
            </w:pPr>
            <w:r>
              <w:rPr>
                <w:kern w:val="20"/>
                <w:sz w:val="18"/>
              </w:rPr>
              <w:t xml:space="preserve">    0.05</w:t>
            </w:r>
          </w:p>
        </w:tc>
        <w:tc>
          <w:tcPr>
            <w:tcW w:w="993" w:type="dxa"/>
            <w:tcBorders>
              <w:top w:val="nil"/>
              <w:bottom w:val="nil"/>
            </w:tcBorders>
          </w:tcPr>
          <w:p w:rsidR="00000000" w:rsidRDefault="00000000">
            <w:pPr>
              <w:rPr>
                <w:kern w:val="20"/>
                <w:sz w:val="18"/>
              </w:rPr>
            </w:pPr>
            <w:r>
              <w:rPr>
                <w:kern w:val="20"/>
                <w:sz w:val="18"/>
              </w:rPr>
              <w:t xml:space="preserve">       0.75</w:t>
            </w:r>
          </w:p>
        </w:tc>
        <w:tc>
          <w:tcPr>
            <w:tcW w:w="708" w:type="dxa"/>
            <w:tcBorders>
              <w:top w:val="nil"/>
              <w:bottom w:val="nil"/>
            </w:tcBorders>
          </w:tcPr>
          <w:p w:rsidR="00000000" w:rsidRDefault="00000000">
            <w:pPr>
              <w:rPr>
                <w:kern w:val="20"/>
                <w:sz w:val="18"/>
              </w:rPr>
            </w:pPr>
            <w:r>
              <w:rPr>
                <w:kern w:val="20"/>
                <w:sz w:val="18"/>
              </w:rPr>
              <w:t xml:space="preserve">   0.57</w:t>
            </w:r>
          </w:p>
        </w:tc>
        <w:tc>
          <w:tcPr>
            <w:tcW w:w="851" w:type="dxa"/>
            <w:tcBorders>
              <w:top w:val="nil"/>
              <w:bottom w:val="nil"/>
            </w:tcBorders>
          </w:tcPr>
          <w:p w:rsidR="00000000" w:rsidRDefault="00000000">
            <w:pPr>
              <w:rPr>
                <w:kern w:val="20"/>
                <w:sz w:val="18"/>
              </w:rPr>
            </w:pPr>
            <w:r>
              <w:rPr>
                <w:kern w:val="20"/>
                <w:sz w:val="18"/>
              </w:rPr>
              <w:t xml:space="preserve">     0.46</w:t>
            </w:r>
          </w:p>
        </w:tc>
        <w:tc>
          <w:tcPr>
            <w:tcW w:w="950" w:type="dxa"/>
            <w:gridSpan w:val="2"/>
            <w:tcBorders>
              <w:top w:val="nil"/>
              <w:bottom w:val="nil"/>
            </w:tcBorders>
          </w:tcPr>
          <w:p w:rsidR="00000000" w:rsidRDefault="00000000">
            <w:pPr>
              <w:rPr>
                <w:kern w:val="20"/>
                <w:sz w:val="18"/>
              </w:rPr>
            </w:pPr>
            <w:r>
              <w:rPr>
                <w:kern w:val="20"/>
                <w:sz w:val="18"/>
              </w:rPr>
              <w:t xml:space="preserve">          8</w:t>
            </w:r>
          </w:p>
        </w:tc>
        <w:tc>
          <w:tcPr>
            <w:tcW w:w="751" w:type="dxa"/>
            <w:tcBorders>
              <w:top w:val="nil"/>
              <w:bottom w:val="nil"/>
            </w:tcBorders>
          </w:tcPr>
          <w:p w:rsidR="00000000" w:rsidRDefault="00000000">
            <w:pPr>
              <w:rPr>
                <w:kern w:val="20"/>
                <w:sz w:val="18"/>
              </w:rPr>
            </w:pPr>
            <w:r>
              <w:rPr>
                <w:kern w:val="20"/>
                <w:sz w:val="18"/>
              </w:rPr>
              <w:t xml:space="preserve">    0.02</w:t>
            </w:r>
          </w:p>
        </w:tc>
        <w:tc>
          <w:tcPr>
            <w:tcW w:w="808" w:type="dxa"/>
            <w:tcBorders>
              <w:top w:val="nil"/>
              <w:bottom w:val="nil"/>
            </w:tcBorders>
          </w:tcPr>
          <w:p w:rsidR="00000000" w:rsidRDefault="00000000">
            <w:pPr>
              <w:rPr>
                <w:kern w:val="20"/>
                <w:sz w:val="18"/>
              </w:rPr>
            </w:pPr>
            <w:r>
              <w:rPr>
                <w:kern w:val="20"/>
                <w:sz w:val="18"/>
              </w:rPr>
              <w:t xml:space="preserve">     0.01</w:t>
            </w:r>
          </w:p>
        </w:tc>
        <w:tc>
          <w:tcPr>
            <w:tcW w:w="892" w:type="dxa"/>
            <w:tcBorders>
              <w:top w:val="nil"/>
              <w:bottom w:val="nil"/>
            </w:tcBorders>
          </w:tcPr>
          <w:p w:rsidR="00000000" w:rsidRDefault="00000000">
            <w:pPr>
              <w:rPr>
                <w:kern w:val="20"/>
                <w:sz w:val="18"/>
              </w:rPr>
            </w:pPr>
            <w:r>
              <w:rPr>
                <w:kern w:val="20"/>
                <w:sz w:val="18"/>
              </w:rPr>
              <w:t xml:space="preserve">      0.48</w:t>
            </w:r>
          </w:p>
        </w:tc>
        <w:tc>
          <w:tcPr>
            <w:tcW w:w="777" w:type="dxa"/>
            <w:tcBorders>
              <w:top w:val="nil"/>
              <w:bottom w:val="nil"/>
            </w:tcBorders>
          </w:tcPr>
          <w:p w:rsidR="00000000" w:rsidRDefault="00000000">
            <w:pPr>
              <w:rPr>
                <w:kern w:val="20"/>
                <w:sz w:val="18"/>
              </w:rPr>
            </w:pPr>
            <w:r>
              <w:rPr>
                <w:kern w:val="20"/>
                <w:sz w:val="18"/>
              </w:rPr>
              <w:t xml:space="preserve">    0.33</w:t>
            </w:r>
          </w:p>
        </w:tc>
        <w:tc>
          <w:tcPr>
            <w:tcW w:w="851" w:type="dxa"/>
            <w:tcBorders>
              <w:top w:val="nil"/>
              <w:bottom w:val="nil"/>
            </w:tcBorders>
          </w:tcPr>
          <w:p w:rsidR="00000000" w:rsidRDefault="00000000">
            <w:pPr>
              <w:rPr>
                <w:kern w:val="20"/>
                <w:sz w:val="18"/>
              </w:rPr>
            </w:pPr>
            <w:r>
              <w:rPr>
                <w:kern w:val="20"/>
                <w:sz w:val="18"/>
              </w:rPr>
              <w:t xml:space="preserve">     0.25</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Electrical appliances</w:t>
            </w:r>
          </w:p>
          <w:p w:rsidR="00000000" w:rsidRDefault="00000000">
            <w:pPr>
              <w:rPr>
                <w:kern w:val="20"/>
                <w:sz w:val="18"/>
              </w:rPr>
            </w:pPr>
            <w:r>
              <w:rPr>
                <w:kern w:val="20"/>
                <w:sz w:val="18"/>
              </w:rPr>
              <w:t xml:space="preserve">  and electronics</w:t>
            </w:r>
          </w:p>
        </w:tc>
        <w:tc>
          <w:tcPr>
            <w:tcW w:w="993" w:type="dxa"/>
            <w:tcBorders>
              <w:top w:val="nil"/>
              <w:bottom w:val="nil"/>
            </w:tcBorders>
          </w:tcPr>
          <w:p w:rsidR="00000000" w:rsidRDefault="00000000">
            <w:pPr>
              <w:rPr>
                <w:kern w:val="20"/>
                <w:sz w:val="18"/>
              </w:rPr>
            </w:pPr>
            <w:r>
              <w:rPr>
                <w:kern w:val="20"/>
                <w:sz w:val="18"/>
              </w:rPr>
              <w:t xml:space="preserve">       0.10</w:t>
            </w:r>
          </w:p>
        </w:tc>
        <w:tc>
          <w:tcPr>
            <w:tcW w:w="892" w:type="dxa"/>
            <w:gridSpan w:val="2"/>
            <w:tcBorders>
              <w:top w:val="nil"/>
              <w:bottom w:val="nil"/>
            </w:tcBorders>
          </w:tcPr>
          <w:p w:rsidR="00000000" w:rsidRDefault="00000000">
            <w:pPr>
              <w:jc w:val="center"/>
              <w:rPr>
                <w:kern w:val="20"/>
                <w:sz w:val="18"/>
              </w:rPr>
            </w:pPr>
            <w:r>
              <w:rPr>
                <w:kern w:val="20"/>
                <w:sz w:val="18"/>
              </w:rPr>
              <w:t xml:space="preserve">  11</w:t>
            </w:r>
          </w:p>
        </w:tc>
        <w:tc>
          <w:tcPr>
            <w:tcW w:w="709" w:type="dxa"/>
            <w:tcBorders>
              <w:top w:val="nil"/>
              <w:bottom w:val="nil"/>
            </w:tcBorders>
          </w:tcPr>
          <w:p w:rsidR="00000000" w:rsidRDefault="00000000">
            <w:pPr>
              <w:rPr>
                <w:kern w:val="20"/>
                <w:sz w:val="18"/>
              </w:rPr>
            </w:pPr>
            <w:r>
              <w:rPr>
                <w:kern w:val="20"/>
                <w:sz w:val="18"/>
              </w:rPr>
              <w:t xml:space="preserve">   0.03</w:t>
            </w:r>
          </w:p>
        </w:tc>
        <w:tc>
          <w:tcPr>
            <w:tcW w:w="850" w:type="dxa"/>
            <w:tcBorders>
              <w:top w:val="nil"/>
              <w:bottom w:val="nil"/>
            </w:tcBorders>
          </w:tcPr>
          <w:p w:rsidR="00000000" w:rsidRDefault="00000000">
            <w:pPr>
              <w:rPr>
                <w:kern w:val="20"/>
                <w:sz w:val="18"/>
              </w:rPr>
            </w:pPr>
            <w:r>
              <w:rPr>
                <w:kern w:val="20"/>
                <w:sz w:val="18"/>
              </w:rPr>
              <w:t xml:space="preserve">    0.01</w:t>
            </w:r>
          </w:p>
        </w:tc>
        <w:tc>
          <w:tcPr>
            <w:tcW w:w="993" w:type="dxa"/>
            <w:tcBorders>
              <w:top w:val="nil"/>
              <w:bottom w:val="nil"/>
            </w:tcBorders>
          </w:tcPr>
          <w:p w:rsidR="00000000" w:rsidRDefault="00000000">
            <w:pPr>
              <w:rPr>
                <w:kern w:val="20"/>
                <w:sz w:val="18"/>
              </w:rPr>
            </w:pPr>
            <w:r>
              <w:rPr>
                <w:kern w:val="20"/>
                <w:sz w:val="18"/>
              </w:rPr>
              <w:t xml:space="preserve">      0.03</w:t>
            </w:r>
          </w:p>
        </w:tc>
        <w:tc>
          <w:tcPr>
            <w:tcW w:w="708" w:type="dxa"/>
            <w:tcBorders>
              <w:top w:val="nil"/>
              <w:bottom w:val="nil"/>
            </w:tcBorders>
          </w:tcPr>
          <w:p w:rsidR="00000000" w:rsidRDefault="00000000">
            <w:pPr>
              <w:rPr>
                <w:kern w:val="20"/>
                <w:sz w:val="18"/>
              </w:rPr>
            </w:pPr>
            <w:r>
              <w:rPr>
                <w:kern w:val="20"/>
                <w:sz w:val="18"/>
              </w:rPr>
              <w:t xml:space="preserve">   0.02</w:t>
            </w:r>
          </w:p>
        </w:tc>
        <w:tc>
          <w:tcPr>
            <w:tcW w:w="851" w:type="dxa"/>
            <w:tcBorders>
              <w:top w:val="nil"/>
              <w:bottom w:val="nil"/>
            </w:tcBorders>
          </w:tcPr>
          <w:p w:rsidR="00000000" w:rsidRDefault="00000000">
            <w:pPr>
              <w:rPr>
                <w:kern w:val="20"/>
                <w:sz w:val="18"/>
              </w:rPr>
            </w:pPr>
            <w:r>
              <w:rPr>
                <w:kern w:val="20"/>
                <w:sz w:val="18"/>
              </w:rPr>
              <w:t xml:space="preserve">     0.01</w:t>
            </w:r>
          </w:p>
        </w:tc>
        <w:tc>
          <w:tcPr>
            <w:tcW w:w="950" w:type="dxa"/>
            <w:gridSpan w:val="2"/>
            <w:tcBorders>
              <w:top w:val="nil"/>
              <w:bottom w:val="nil"/>
            </w:tcBorders>
          </w:tcPr>
          <w:p w:rsidR="00000000" w:rsidRDefault="00000000">
            <w:pPr>
              <w:rPr>
                <w:kern w:val="20"/>
                <w:sz w:val="18"/>
              </w:rPr>
            </w:pPr>
            <w:r>
              <w:rPr>
                <w:kern w:val="20"/>
                <w:sz w:val="18"/>
              </w:rPr>
              <w:t xml:space="preserve">          2</w:t>
            </w:r>
          </w:p>
        </w:tc>
        <w:tc>
          <w:tcPr>
            <w:tcW w:w="751" w:type="dxa"/>
            <w:tcBorders>
              <w:top w:val="nil"/>
              <w:bottom w:val="nil"/>
            </w:tcBorders>
          </w:tcPr>
          <w:p w:rsidR="00000000" w:rsidRDefault="00000000">
            <w:pPr>
              <w:rPr>
                <w:kern w:val="20"/>
                <w:sz w:val="18"/>
              </w:rPr>
            </w:pPr>
            <w:r>
              <w:rPr>
                <w:kern w:val="20"/>
                <w:sz w:val="18"/>
              </w:rPr>
              <w:t xml:space="preserve">    0.00</w:t>
            </w:r>
          </w:p>
        </w:tc>
        <w:tc>
          <w:tcPr>
            <w:tcW w:w="808" w:type="dxa"/>
            <w:tcBorders>
              <w:top w:val="nil"/>
              <w:bottom w:val="nil"/>
            </w:tcBorders>
          </w:tcPr>
          <w:p w:rsidR="00000000" w:rsidRDefault="00000000">
            <w:pPr>
              <w:rPr>
                <w:kern w:val="20"/>
                <w:sz w:val="18"/>
              </w:rPr>
            </w:pPr>
            <w:r>
              <w:rPr>
                <w:kern w:val="20"/>
                <w:sz w:val="18"/>
              </w:rPr>
              <w:t xml:space="preserve">     0.00</w:t>
            </w:r>
          </w:p>
        </w:tc>
        <w:tc>
          <w:tcPr>
            <w:tcW w:w="892" w:type="dxa"/>
            <w:tcBorders>
              <w:top w:val="nil"/>
              <w:bottom w:val="nil"/>
            </w:tcBorders>
          </w:tcPr>
          <w:p w:rsidR="00000000" w:rsidRDefault="00000000">
            <w:pPr>
              <w:rPr>
                <w:kern w:val="20"/>
                <w:sz w:val="18"/>
              </w:rPr>
            </w:pPr>
            <w:r>
              <w:rPr>
                <w:kern w:val="20"/>
                <w:sz w:val="18"/>
              </w:rPr>
              <w:t xml:space="preserve">      0.01</w:t>
            </w:r>
          </w:p>
        </w:tc>
        <w:tc>
          <w:tcPr>
            <w:tcW w:w="777" w:type="dxa"/>
            <w:tcBorders>
              <w:top w:val="nil"/>
              <w:bottom w:val="nil"/>
            </w:tcBorders>
          </w:tcPr>
          <w:p w:rsidR="00000000" w:rsidRDefault="00000000">
            <w:pPr>
              <w:rPr>
                <w:kern w:val="20"/>
                <w:sz w:val="18"/>
              </w:rPr>
            </w:pPr>
            <w:r>
              <w:rPr>
                <w:kern w:val="20"/>
                <w:sz w:val="18"/>
              </w:rPr>
              <w:t xml:space="preserve">   0.01</w:t>
            </w:r>
          </w:p>
        </w:tc>
        <w:tc>
          <w:tcPr>
            <w:tcW w:w="851" w:type="dxa"/>
            <w:tcBorders>
              <w:top w:val="nil"/>
              <w:bottom w:val="nil"/>
            </w:tcBorders>
          </w:tcPr>
          <w:p w:rsidR="00000000" w:rsidRDefault="00000000">
            <w:pPr>
              <w:rPr>
                <w:kern w:val="20"/>
                <w:sz w:val="18"/>
              </w:rPr>
            </w:pPr>
            <w:r>
              <w:rPr>
                <w:kern w:val="20"/>
                <w:sz w:val="18"/>
              </w:rPr>
              <w:t xml:space="preserve">     0.00</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Printing and paper</w:t>
            </w:r>
          </w:p>
          <w:p w:rsidR="00000000" w:rsidRDefault="00000000">
            <w:pPr>
              <w:rPr>
                <w:kern w:val="20"/>
                <w:sz w:val="18"/>
              </w:rPr>
            </w:pPr>
            <w:r>
              <w:rPr>
                <w:kern w:val="20"/>
                <w:sz w:val="18"/>
              </w:rPr>
              <w:t xml:space="preserve">  industry</w:t>
            </w:r>
          </w:p>
        </w:tc>
        <w:tc>
          <w:tcPr>
            <w:tcW w:w="993" w:type="dxa"/>
            <w:tcBorders>
              <w:top w:val="nil"/>
              <w:bottom w:val="nil"/>
            </w:tcBorders>
          </w:tcPr>
          <w:p w:rsidR="00000000" w:rsidRDefault="00000000">
            <w:pPr>
              <w:rPr>
                <w:kern w:val="20"/>
                <w:sz w:val="18"/>
              </w:rPr>
            </w:pPr>
            <w:r>
              <w:rPr>
                <w:kern w:val="20"/>
                <w:sz w:val="18"/>
              </w:rPr>
              <w:t xml:space="preserve">       0.10</w:t>
            </w:r>
          </w:p>
        </w:tc>
        <w:tc>
          <w:tcPr>
            <w:tcW w:w="892" w:type="dxa"/>
            <w:gridSpan w:val="2"/>
            <w:tcBorders>
              <w:top w:val="nil"/>
              <w:bottom w:val="nil"/>
            </w:tcBorders>
          </w:tcPr>
          <w:p w:rsidR="00000000" w:rsidRDefault="00000000">
            <w:pPr>
              <w:jc w:val="center"/>
              <w:rPr>
                <w:kern w:val="20"/>
                <w:sz w:val="18"/>
              </w:rPr>
            </w:pPr>
            <w:r>
              <w:rPr>
                <w:kern w:val="20"/>
                <w:sz w:val="18"/>
              </w:rPr>
              <w:t xml:space="preserve">  11</w:t>
            </w:r>
          </w:p>
        </w:tc>
        <w:tc>
          <w:tcPr>
            <w:tcW w:w="709" w:type="dxa"/>
            <w:tcBorders>
              <w:top w:val="nil"/>
              <w:bottom w:val="nil"/>
            </w:tcBorders>
          </w:tcPr>
          <w:p w:rsidR="00000000" w:rsidRDefault="00000000">
            <w:pPr>
              <w:rPr>
                <w:kern w:val="20"/>
                <w:sz w:val="18"/>
              </w:rPr>
            </w:pPr>
            <w:r>
              <w:rPr>
                <w:kern w:val="20"/>
                <w:sz w:val="18"/>
              </w:rPr>
              <w:t xml:space="preserve">   0.04</w:t>
            </w:r>
          </w:p>
        </w:tc>
        <w:tc>
          <w:tcPr>
            <w:tcW w:w="850" w:type="dxa"/>
            <w:tcBorders>
              <w:top w:val="nil"/>
              <w:bottom w:val="nil"/>
            </w:tcBorders>
          </w:tcPr>
          <w:p w:rsidR="00000000" w:rsidRDefault="00000000">
            <w:pPr>
              <w:rPr>
                <w:kern w:val="20"/>
                <w:sz w:val="18"/>
              </w:rPr>
            </w:pPr>
            <w:r>
              <w:rPr>
                <w:kern w:val="20"/>
                <w:sz w:val="18"/>
              </w:rPr>
              <w:t xml:space="preserve">    0.02</w:t>
            </w:r>
          </w:p>
        </w:tc>
        <w:tc>
          <w:tcPr>
            <w:tcW w:w="993" w:type="dxa"/>
            <w:tcBorders>
              <w:top w:val="nil"/>
              <w:bottom w:val="nil"/>
            </w:tcBorders>
          </w:tcPr>
          <w:p w:rsidR="00000000" w:rsidRDefault="00000000">
            <w:pPr>
              <w:rPr>
                <w:kern w:val="20"/>
                <w:sz w:val="18"/>
              </w:rPr>
            </w:pPr>
            <w:r>
              <w:rPr>
                <w:kern w:val="20"/>
                <w:sz w:val="18"/>
              </w:rPr>
              <w:t xml:space="preserve">      0.03</w:t>
            </w:r>
          </w:p>
        </w:tc>
        <w:tc>
          <w:tcPr>
            <w:tcW w:w="708" w:type="dxa"/>
            <w:tcBorders>
              <w:top w:val="nil"/>
              <w:bottom w:val="nil"/>
            </w:tcBorders>
          </w:tcPr>
          <w:p w:rsidR="00000000" w:rsidRDefault="00000000">
            <w:pPr>
              <w:rPr>
                <w:kern w:val="20"/>
                <w:sz w:val="18"/>
              </w:rPr>
            </w:pPr>
            <w:r>
              <w:rPr>
                <w:kern w:val="20"/>
                <w:sz w:val="18"/>
              </w:rPr>
              <w:t xml:space="preserve">   0.03</w:t>
            </w:r>
          </w:p>
        </w:tc>
        <w:tc>
          <w:tcPr>
            <w:tcW w:w="851" w:type="dxa"/>
            <w:tcBorders>
              <w:top w:val="nil"/>
              <w:bottom w:val="nil"/>
            </w:tcBorders>
          </w:tcPr>
          <w:p w:rsidR="00000000" w:rsidRDefault="00000000">
            <w:pPr>
              <w:rPr>
                <w:kern w:val="20"/>
                <w:sz w:val="18"/>
              </w:rPr>
            </w:pPr>
            <w:r>
              <w:rPr>
                <w:kern w:val="20"/>
                <w:sz w:val="18"/>
              </w:rPr>
              <w:t xml:space="preserve">     0.02</w:t>
            </w:r>
          </w:p>
        </w:tc>
        <w:tc>
          <w:tcPr>
            <w:tcW w:w="950" w:type="dxa"/>
            <w:gridSpan w:val="2"/>
            <w:tcBorders>
              <w:top w:val="nil"/>
              <w:bottom w:val="nil"/>
            </w:tcBorders>
          </w:tcPr>
          <w:p w:rsidR="00000000" w:rsidRDefault="00000000">
            <w:pPr>
              <w:rPr>
                <w:kern w:val="20"/>
                <w:sz w:val="18"/>
              </w:rPr>
            </w:pPr>
            <w:r>
              <w:rPr>
                <w:kern w:val="20"/>
                <w:sz w:val="18"/>
              </w:rPr>
              <w:t xml:space="preserve">          3</w:t>
            </w:r>
          </w:p>
        </w:tc>
        <w:tc>
          <w:tcPr>
            <w:tcW w:w="751" w:type="dxa"/>
            <w:tcBorders>
              <w:top w:val="nil"/>
              <w:bottom w:val="nil"/>
            </w:tcBorders>
          </w:tcPr>
          <w:p w:rsidR="00000000" w:rsidRDefault="00000000">
            <w:pPr>
              <w:rPr>
                <w:kern w:val="20"/>
                <w:sz w:val="18"/>
              </w:rPr>
            </w:pPr>
            <w:r>
              <w:rPr>
                <w:kern w:val="20"/>
                <w:sz w:val="18"/>
              </w:rPr>
              <w:t xml:space="preserve">    0.01</w:t>
            </w:r>
          </w:p>
        </w:tc>
        <w:tc>
          <w:tcPr>
            <w:tcW w:w="808" w:type="dxa"/>
            <w:tcBorders>
              <w:top w:val="nil"/>
              <w:bottom w:val="nil"/>
            </w:tcBorders>
          </w:tcPr>
          <w:p w:rsidR="00000000" w:rsidRDefault="00000000">
            <w:pPr>
              <w:rPr>
                <w:kern w:val="20"/>
                <w:sz w:val="18"/>
              </w:rPr>
            </w:pPr>
            <w:r>
              <w:rPr>
                <w:kern w:val="20"/>
                <w:sz w:val="18"/>
              </w:rPr>
              <w:t xml:space="preserve">     0.01</w:t>
            </w:r>
          </w:p>
        </w:tc>
        <w:tc>
          <w:tcPr>
            <w:tcW w:w="892" w:type="dxa"/>
            <w:tcBorders>
              <w:top w:val="nil"/>
              <w:bottom w:val="nil"/>
            </w:tcBorders>
          </w:tcPr>
          <w:p w:rsidR="00000000" w:rsidRDefault="00000000">
            <w:pPr>
              <w:rPr>
                <w:kern w:val="20"/>
                <w:sz w:val="18"/>
              </w:rPr>
            </w:pPr>
            <w:r>
              <w:rPr>
                <w:kern w:val="20"/>
                <w:sz w:val="18"/>
              </w:rPr>
              <w:t xml:space="preserve">      0.02</w:t>
            </w:r>
          </w:p>
        </w:tc>
        <w:tc>
          <w:tcPr>
            <w:tcW w:w="777" w:type="dxa"/>
            <w:tcBorders>
              <w:top w:val="nil"/>
              <w:bottom w:val="nil"/>
            </w:tcBorders>
          </w:tcPr>
          <w:p w:rsidR="00000000" w:rsidRDefault="00000000">
            <w:pPr>
              <w:rPr>
                <w:kern w:val="20"/>
                <w:sz w:val="18"/>
              </w:rPr>
            </w:pPr>
            <w:r>
              <w:rPr>
                <w:kern w:val="20"/>
                <w:sz w:val="18"/>
              </w:rPr>
              <w:t xml:space="preserve">   0.02</w:t>
            </w:r>
          </w:p>
        </w:tc>
        <w:tc>
          <w:tcPr>
            <w:tcW w:w="851" w:type="dxa"/>
            <w:tcBorders>
              <w:top w:val="nil"/>
              <w:bottom w:val="nil"/>
            </w:tcBorders>
          </w:tcPr>
          <w:p w:rsidR="00000000" w:rsidRDefault="00000000">
            <w:pPr>
              <w:rPr>
                <w:kern w:val="20"/>
                <w:sz w:val="18"/>
              </w:rPr>
            </w:pPr>
            <w:r>
              <w:rPr>
                <w:kern w:val="20"/>
                <w:sz w:val="18"/>
              </w:rPr>
              <w:t xml:space="preserve">     0.02</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Metallurgy</w:t>
            </w:r>
          </w:p>
        </w:tc>
        <w:tc>
          <w:tcPr>
            <w:tcW w:w="993" w:type="dxa"/>
            <w:tcBorders>
              <w:top w:val="nil"/>
              <w:bottom w:val="nil"/>
            </w:tcBorders>
          </w:tcPr>
          <w:p w:rsidR="00000000" w:rsidRDefault="00000000">
            <w:pPr>
              <w:rPr>
                <w:kern w:val="20"/>
                <w:sz w:val="18"/>
              </w:rPr>
            </w:pPr>
            <w:r>
              <w:rPr>
                <w:kern w:val="20"/>
                <w:sz w:val="18"/>
              </w:rPr>
              <w:t xml:space="preserve">       0.90</w:t>
            </w:r>
          </w:p>
        </w:tc>
        <w:tc>
          <w:tcPr>
            <w:tcW w:w="892" w:type="dxa"/>
            <w:gridSpan w:val="2"/>
            <w:tcBorders>
              <w:top w:val="nil"/>
              <w:bottom w:val="nil"/>
            </w:tcBorders>
          </w:tcPr>
          <w:p w:rsidR="00000000" w:rsidRDefault="00000000">
            <w:pPr>
              <w:jc w:val="center"/>
              <w:rPr>
                <w:kern w:val="20"/>
                <w:sz w:val="18"/>
              </w:rPr>
            </w:pPr>
            <w:r>
              <w:rPr>
                <w:kern w:val="20"/>
                <w:sz w:val="18"/>
              </w:rPr>
              <w:t xml:space="preserve">  14</w:t>
            </w:r>
          </w:p>
        </w:tc>
        <w:tc>
          <w:tcPr>
            <w:tcW w:w="709" w:type="dxa"/>
            <w:tcBorders>
              <w:top w:val="nil"/>
              <w:bottom w:val="nil"/>
            </w:tcBorders>
          </w:tcPr>
          <w:p w:rsidR="00000000" w:rsidRDefault="00000000">
            <w:pPr>
              <w:rPr>
                <w:kern w:val="20"/>
                <w:sz w:val="18"/>
              </w:rPr>
            </w:pPr>
            <w:r>
              <w:rPr>
                <w:kern w:val="20"/>
                <w:sz w:val="18"/>
              </w:rPr>
              <w:t xml:space="preserve">   0.04</w:t>
            </w:r>
          </w:p>
        </w:tc>
        <w:tc>
          <w:tcPr>
            <w:tcW w:w="850" w:type="dxa"/>
            <w:tcBorders>
              <w:top w:val="nil"/>
              <w:bottom w:val="nil"/>
            </w:tcBorders>
          </w:tcPr>
          <w:p w:rsidR="00000000" w:rsidRDefault="00000000">
            <w:pPr>
              <w:rPr>
                <w:kern w:val="20"/>
                <w:sz w:val="18"/>
              </w:rPr>
            </w:pPr>
            <w:r>
              <w:rPr>
                <w:kern w:val="20"/>
                <w:sz w:val="18"/>
              </w:rPr>
              <w:t xml:space="preserve">    0.02</w:t>
            </w:r>
          </w:p>
        </w:tc>
        <w:tc>
          <w:tcPr>
            <w:tcW w:w="993" w:type="dxa"/>
            <w:tcBorders>
              <w:top w:val="nil"/>
              <w:bottom w:val="nil"/>
            </w:tcBorders>
          </w:tcPr>
          <w:p w:rsidR="00000000" w:rsidRDefault="00000000">
            <w:pPr>
              <w:rPr>
                <w:kern w:val="20"/>
                <w:sz w:val="18"/>
              </w:rPr>
            </w:pPr>
            <w:r>
              <w:rPr>
                <w:kern w:val="20"/>
                <w:sz w:val="18"/>
              </w:rPr>
              <w:t xml:space="preserve">      0.36</w:t>
            </w:r>
          </w:p>
        </w:tc>
        <w:tc>
          <w:tcPr>
            <w:tcW w:w="708" w:type="dxa"/>
            <w:tcBorders>
              <w:top w:val="nil"/>
              <w:bottom w:val="nil"/>
            </w:tcBorders>
          </w:tcPr>
          <w:p w:rsidR="00000000" w:rsidRDefault="00000000">
            <w:pPr>
              <w:rPr>
                <w:kern w:val="20"/>
                <w:sz w:val="18"/>
              </w:rPr>
            </w:pPr>
            <w:r>
              <w:rPr>
                <w:kern w:val="20"/>
                <w:sz w:val="18"/>
              </w:rPr>
              <w:t xml:space="preserve">   0.24</w:t>
            </w:r>
          </w:p>
        </w:tc>
        <w:tc>
          <w:tcPr>
            <w:tcW w:w="851" w:type="dxa"/>
            <w:tcBorders>
              <w:top w:val="nil"/>
              <w:bottom w:val="nil"/>
            </w:tcBorders>
          </w:tcPr>
          <w:p w:rsidR="00000000" w:rsidRDefault="00000000">
            <w:pPr>
              <w:rPr>
                <w:kern w:val="20"/>
                <w:sz w:val="18"/>
              </w:rPr>
            </w:pPr>
            <w:r>
              <w:rPr>
                <w:kern w:val="20"/>
                <w:sz w:val="18"/>
              </w:rPr>
              <w:t xml:space="preserve">     0.18</w:t>
            </w:r>
          </w:p>
        </w:tc>
        <w:tc>
          <w:tcPr>
            <w:tcW w:w="950" w:type="dxa"/>
            <w:gridSpan w:val="2"/>
            <w:tcBorders>
              <w:top w:val="nil"/>
              <w:bottom w:val="nil"/>
            </w:tcBorders>
          </w:tcPr>
          <w:p w:rsidR="00000000" w:rsidRDefault="00000000">
            <w:pPr>
              <w:rPr>
                <w:kern w:val="20"/>
                <w:sz w:val="18"/>
              </w:rPr>
            </w:pPr>
            <w:r>
              <w:rPr>
                <w:kern w:val="20"/>
                <w:sz w:val="18"/>
              </w:rPr>
              <w:t xml:space="preserve">          3</w:t>
            </w:r>
          </w:p>
        </w:tc>
        <w:tc>
          <w:tcPr>
            <w:tcW w:w="751" w:type="dxa"/>
            <w:tcBorders>
              <w:top w:val="nil"/>
              <w:bottom w:val="nil"/>
            </w:tcBorders>
          </w:tcPr>
          <w:p w:rsidR="00000000" w:rsidRDefault="00000000">
            <w:pPr>
              <w:rPr>
                <w:kern w:val="20"/>
                <w:sz w:val="18"/>
              </w:rPr>
            </w:pPr>
            <w:r>
              <w:rPr>
                <w:kern w:val="20"/>
                <w:sz w:val="18"/>
              </w:rPr>
              <w:t xml:space="preserve">    0.01</w:t>
            </w:r>
          </w:p>
        </w:tc>
        <w:tc>
          <w:tcPr>
            <w:tcW w:w="808" w:type="dxa"/>
            <w:tcBorders>
              <w:top w:val="nil"/>
              <w:bottom w:val="nil"/>
            </w:tcBorders>
          </w:tcPr>
          <w:p w:rsidR="00000000" w:rsidRDefault="00000000">
            <w:pPr>
              <w:rPr>
                <w:kern w:val="20"/>
                <w:sz w:val="18"/>
              </w:rPr>
            </w:pPr>
            <w:r>
              <w:rPr>
                <w:kern w:val="20"/>
                <w:sz w:val="18"/>
              </w:rPr>
              <w:t xml:space="preserve">     0.00</w:t>
            </w:r>
          </w:p>
        </w:tc>
        <w:tc>
          <w:tcPr>
            <w:tcW w:w="892" w:type="dxa"/>
            <w:tcBorders>
              <w:top w:val="nil"/>
              <w:bottom w:val="nil"/>
            </w:tcBorders>
          </w:tcPr>
          <w:p w:rsidR="00000000" w:rsidRDefault="00000000">
            <w:pPr>
              <w:rPr>
                <w:kern w:val="20"/>
                <w:sz w:val="18"/>
              </w:rPr>
            </w:pPr>
            <w:r>
              <w:rPr>
                <w:kern w:val="20"/>
                <w:sz w:val="18"/>
              </w:rPr>
              <w:t xml:space="preserve">      0.20</w:t>
            </w:r>
          </w:p>
        </w:tc>
        <w:tc>
          <w:tcPr>
            <w:tcW w:w="777" w:type="dxa"/>
            <w:tcBorders>
              <w:top w:val="nil"/>
              <w:bottom w:val="nil"/>
            </w:tcBorders>
          </w:tcPr>
          <w:p w:rsidR="00000000" w:rsidRDefault="00000000">
            <w:pPr>
              <w:rPr>
                <w:kern w:val="20"/>
                <w:sz w:val="18"/>
              </w:rPr>
            </w:pPr>
            <w:r>
              <w:rPr>
                <w:kern w:val="20"/>
                <w:sz w:val="18"/>
              </w:rPr>
              <w:t xml:space="preserve">   0.11</w:t>
            </w:r>
          </w:p>
        </w:tc>
        <w:tc>
          <w:tcPr>
            <w:tcW w:w="851" w:type="dxa"/>
            <w:tcBorders>
              <w:top w:val="nil"/>
              <w:bottom w:val="nil"/>
            </w:tcBorders>
          </w:tcPr>
          <w:p w:rsidR="00000000" w:rsidRDefault="00000000">
            <w:pPr>
              <w:rPr>
                <w:kern w:val="20"/>
                <w:sz w:val="18"/>
              </w:rPr>
            </w:pPr>
            <w:r>
              <w:rPr>
                <w:kern w:val="20"/>
                <w:sz w:val="18"/>
              </w:rPr>
              <w:t xml:space="preserve">     0.07</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Textiles</w:t>
            </w:r>
          </w:p>
        </w:tc>
        <w:tc>
          <w:tcPr>
            <w:tcW w:w="993" w:type="dxa"/>
            <w:tcBorders>
              <w:top w:val="nil"/>
              <w:bottom w:val="nil"/>
            </w:tcBorders>
          </w:tcPr>
          <w:p w:rsidR="00000000" w:rsidRDefault="00000000">
            <w:pPr>
              <w:rPr>
                <w:kern w:val="20"/>
                <w:sz w:val="18"/>
              </w:rPr>
            </w:pPr>
            <w:r>
              <w:rPr>
                <w:kern w:val="20"/>
                <w:sz w:val="18"/>
              </w:rPr>
              <w:t xml:space="preserve">       0.10</w:t>
            </w:r>
          </w:p>
        </w:tc>
        <w:tc>
          <w:tcPr>
            <w:tcW w:w="892" w:type="dxa"/>
            <w:gridSpan w:val="2"/>
            <w:tcBorders>
              <w:top w:val="nil"/>
              <w:bottom w:val="nil"/>
            </w:tcBorders>
          </w:tcPr>
          <w:p w:rsidR="00000000" w:rsidRDefault="00000000">
            <w:pPr>
              <w:jc w:val="center"/>
              <w:rPr>
                <w:kern w:val="20"/>
                <w:sz w:val="18"/>
              </w:rPr>
            </w:pPr>
            <w:r>
              <w:rPr>
                <w:kern w:val="20"/>
                <w:sz w:val="18"/>
              </w:rPr>
              <w:t xml:space="preserve">  25</w:t>
            </w:r>
          </w:p>
        </w:tc>
        <w:tc>
          <w:tcPr>
            <w:tcW w:w="709" w:type="dxa"/>
            <w:tcBorders>
              <w:top w:val="nil"/>
              <w:bottom w:val="nil"/>
            </w:tcBorders>
          </w:tcPr>
          <w:p w:rsidR="00000000" w:rsidRDefault="00000000">
            <w:pPr>
              <w:rPr>
                <w:kern w:val="20"/>
                <w:sz w:val="18"/>
              </w:rPr>
            </w:pPr>
            <w:r>
              <w:rPr>
                <w:kern w:val="20"/>
                <w:sz w:val="18"/>
              </w:rPr>
              <w:t xml:space="preserve">   0.10</w:t>
            </w:r>
          </w:p>
        </w:tc>
        <w:tc>
          <w:tcPr>
            <w:tcW w:w="850" w:type="dxa"/>
            <w:tcBorders>
              <w:top w:val="nil"/>
              <w:bottom w:val="nil"/>
            </w:tcBorders>
          </w:tcPr>
          <w:p w:rsidR="00000000" w:rsidRDefault="00000000">
            <w:pPr>
              <w:rPr>
                <w:kern w:val="20"/>
                <w:sz w:val="18"/>
              </w:rPr>
            </w:pPr>
            <w:r>
              <w:rPr>
                <w:kern w:val="20"/>
                <w:sz w:val="18"/>
              </w:rPr>
              <w:t xml:space="preserve">    0.06</w:t>
            </w:r>
          </w:p>
        </w:tc>
        <w:tc>
          <w:tcPr>
            <w:tcW w:w="993" w:type="dxa"/>
            <w:tcBorders>
              <w:top w:val="nil"/>
              <w:bottom w:val="nil"/>
            </w:tcBorders>
          </w:tcPr>
          <w:p w:rsidR="00000000" w:rsidRDefault="00000000">
            <w:pPr>
              <w:rPr>
                <w:kern w:val="20"/>
                <w:sz w:val="18"/>
              </w:rPr>
            </w:pPr>
            <w:r>
              <w:rPr>
                <w:kern w:val="20"/>
                <w:sz w:val="18"/>
              </w:rPr>
              <w:t xml:space="preserve">      0.07</w:t>
            </w:r>
          </w:p>
        </w:tc>
        <w:tc>
          <w:tcPr>
            <w:tcW w:w="708" w:type="dxa"/>
            <w:tcBorders>
              <w:top w:val="nil"/>
              <w:bottom w:val="nil"/>
            </w:tcBorders>
          </w:tcPr>
          <w:p w:rsidR="00000000" w:rsidRDefault="00000000">
            <w:pPr>
              <w:rPr>
                <w:kern w:val="20"/>
                <w:sz w:val="18"/>
              </w:rPr>
            </w:pPr>
            <w:r>
              <w:rPr>
                <w:kern w:val="20"/>
                <w:sz w:val="18"/>
              </w:rPr>
              <w:t xml:space="preserve">   0.07</w:t>
            </w:r>
          </w:p>
        </w:tc>
        <w:tc>
          <w:tcPr>
            <w:tcW w:w="851" w:type="dxa"/>
            <w:tcBorders>
              <w:top w:val="nil"/>
              <w:bottom w:val="nil"/>
            </w:tcBorders>
          </w:tcPr>
          <w:p w:rsidR="00000000" w:rsidRDefault="00000000">
            <w:pPr>
              <w:rPr>
                <w:kern w:val="20"/>
                <w:sz w:val="18"/>
              </w:rPr>
            </w:pPr>
            <w:r>
              <w:rPr>
                <w:kern w:val="20"/>
                <w:sz w:val="18"/>
              </w:rPr>
              <w:t xml:space="preserve">     0.06</w:t>
            </w:r>
          </w:p>
        </w:tc>
        <w:tc>
          <w:tcPr>
            <w:tcW w:w="950" w:type="dxa"/>
            <w:gridSpan w:val="2"/>
            <w:tcBorders>
              <w:top w:val="nil"/>
              <w:bottom w:val="nil"/>
            </w:tcBorders>
          </w:tcPr>
          <w:p w:rsidR="00000000" w:rsidRDefault="00000000">
            <w:pPr>
              <w:rPr>
                <w:kern w:val="20"/>
                <w:sz w:val="18"/>
              </w:rPr>
            </w:pPr>
            <w:r>
              <w:rPr>
                <w:kern w:val="20"/>
                <w:sz w:val="18"/>
              </w:rPr>
              <w:t xml:space="preserve">          9</w:t>
            </w:r>
          </w:p>
        </w:tc>
        <w:tc>
          <w:tcPr>
            <w:tcW w:w="751" w:type="dxa"/>
            <w:tcBorders>
              <w:top w:val="nil"/>
              <w:bottom w:val="nil"/>
            </w:tcBorders>
          </w:tcPr>
          <w:p w:rsidR="00000000" w:rsidRDefault="00000000">
            <w:pPr>
              <w:rPr>
                <w:kern w:val="20"/>
                <w:sz w:val="18"/>
              </w:rPr>
            </w:pPr>
            <w:r>
              <w:rPr>
                <w:kern w:val="20"/>
                <w:sz w:val="18"/>
              </w:rPr>
              <w:t xml:space="preserve">    0.04</w:t>
            </w:r>
          </w:p>
        </w:tc>
        <w:tc>
          <w:tcPr>
            <w:tcW w:w="808" w:type="dxa"/>
            <w:tcBorders>
              <w:top w:val="nil"/>
              <w:bottom w:val="nil"/>
            </w:tcBorders>
          </w:tcPr>
          <w:p w:rsidR="00000000" w:rsidRDefault="00000000">
            <w:pPr>
              <w:rPr>
                <w:kern w:val="20"/>
                <w:sz w:val="18"/>
              </w:rPr>
            </w:pPr>
            <w:r>
              <w:rPr>
                <w:kern w:val="20"/>
                <w:sz w:val="18"/>
              </w:rPr>
              <w:t xml:space="preserve">     0.02</w:t>
            </w:r>
          </w:p>
        </w:tc>
        <w:tc>
          <w:tcPr>
            <w:tcW w:w="892" w:type="dxa"/>
            <w:tcBorders>
              <w:top w:val="nil"/>
              <w:bottom w:val="nil"/>
            </w:tcBorders>
          </w:tcPr>
          <w:p w:rsidR="00000000" w:rsidRDefault="00000000">
            <w:pPr>
              <w:rPr>
                <w:kern w:val="20"/>
                <w:sz w:val="18"/>
              </w:rPr>
            </w:pPr>
            <w:r>
              <w:rPr>
                <w:kern w:val="20"/>
                <w:sz w:val="18"/>
              </w:rPr>
              <w:t xml:space="preserve">      0.06</w:t>
            </w:r>
          </w:p>
        </w:tc>
        <w:tc>
          <w:tcPr>
            <w:tcW w:w="777" w:type="dxa"/>
            <w:tcBorders>
              <w:top w:val="nil"/>
              <w:bottom w:val="nil"/>
            </w:tcBorders>
          </w:tcPr>
          <w:p w:rsidR="00000000" w:rsidRDefault="00000000">
            <w:pPr>
              <w:rPr>
                <w:kern w:val="20"/>
                <w:sz w:val="18"/>
              </w:rPr>
            </w:pPr>
            <w:r>
              <w:rPr>
                <w:kern w:val="20"/>
                <w:sz w:val="18"/>
              </w:rPr>
              <w:t xml:space="preserve">   0.06</w:t>
            </w:r>
          </w:p>
        </w:tc>
        <w:tc>
          <w:tcPr>
            <w:tcW w:w="851" w:type="dxa"/>
            <w:tcBorders>
              <w:top w:val="nil"/>
              <w:bottom w:val="nil"/>
            </w:tcBorders>
          </w:tcPr>
          <w:p w:rsidR="00000000" w:rsidRDefault="00000000">
            <w:pPr>
              <w:rPr>
                <w:kern w:val="20"/>
                <w:sz w:val="18"/>
              </w:rPr>
            </w:pPr>
            <w:r>
              <w:rPr>
                <w:kern w:val="20"/>
                <w:sz w:val="18"/>
              </w:rPr>
              <w:t xml:space="preserve">     0.05</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Other</w:t>
            </w:r>
          </w:p>
        </w:tc>
        <w:tc>
          <w:tcPr>
            <w:tcW w:w="993" w:type="dxa"/>
            <w:tcBorders>
              <w:top w:val="nil"/>
              <w:bottom w:val="nil"/>
            </w:tcBorders>
          </w:tcPr>
          <w:p w:rsidR="00000000" w:rsidRDefault="00000000">
            <w:pPr>
              <w:rPr>
                <w:kern w:val="20"/>
                <w:sz w:val="18"/>
              </w:rPr>
            </w:pPr>
            <w:r>
              <w:rPr>
                <w:kern w:val="20"/>
                <w:sz w:val="18"/>
              </w:rPr>
              <w:t xml:space="preserve">       1.40</w:t>
            </w:r>
          </w:p>
        </w:tc>
        <w:tc>
          <w:tcPr>
            <w:tcW w:w="892" w:type="dxa"/>
            <w:gridSpan w:val="2"/>
            <w:tcBorders>
              <w:top w:val="nil"/>
              <w:bottom w:val="nil"/>
            </w:tcBorders>
          </w:tcPr>
          <w:p w:rsidR="00000000" w:rsidRDefault="00000000">
            <w:pPr>
              <w:jc w:val="center"/>
              <w:rPr>
                <w:kern w:val="20"/>
                <w:sz w:val="18"/>
              </w:rPr>
            </w:pPr>
            <w:r>
              <w:rPr>
                <w:kern w:val="20"/>
                <w:sz w:val="18"/>
              </w:rPr>
              <w:t xml:space="preserve">  17</w:t>
            </w:r>
          </w:p>
        </w:tc>
        <w:tc>
          <w:tcPr>
            <w:tcW w:w="709" w:type="dxa"/>
            <w:tcBorders>
              <w:top w:val="nil"/>
              <w:bottom w:val="nil"/>
            </w:tcBorders>
          </w:tcPr>
          <w:p w:rsidR="00000000" w:rsidRDefault="00000000">
            <w:pPr>
              <w:rPr>
                <w:kern w:val="20"/>
                <w:sz w:val="18"/>
              </w:rPr>
            </w:pPr>
            <w:r>
              <w:rPr>
                <w:kern w:val="20"/>
                <w:sz w:val="18"/>
              </w:rPr>
              <w:t xml:space="preserve">   0.06</w:t>
            </w:r>
          </w:p>
        </w:tc>
        <w:tc>
          <w:tcPr>
            <w:tcW w:w="850" w:type="dxa"/>
            <w:tcBorders>
              <w:top w:val="nil"/>
              <w:bottom w:val="nil"/>
            </w:tcBorders>
          </w:tcPr>
          <w:p w:rsidR="00000000" w:rsidRDefault="00000000">
            <w:pPr>
              <w:rPr>
                <w:kern w:val="20"/>
                <w:sz w:val="18"/>
              </w:rPr>
            </w:pPr>
            <w:r>
              <w:rPr>
                <w:kern w:val="20"/>
                <w:sz w:val="18"/>
              </w:rPr>
              <w:t xml:space="preserve">    0.03</w:t>
            </w:r>
          </w:p>
        </w:tc>
        <w:tc>
          <w:tcPr>
            <w:tcW w:w="993" w:type="dxa"/>
            <w:tcBorders>
              <w:top w:val="nil"/>
              <w:bottom w:val="nil"/>
            </w:tcBorders>
          </w:tcPr>
          <w:p w:rsidR="00000000" w:rsidRDefault="00000000">
            <w:pPr>
              <w:rPr>
                <w:kern w:val="20"/>
                <w:sz w:val="18"/>
              </w:rPr>
            </w:pPr>
            <w:r>
              <w:rPr>
                <w:kern w:val="20"/>
                <w:sz w:val="18"/>
              </w:rPr>
              <w:t xml:space="preserve">      0.70</w:t>
            </w:r>
          </w:p>
        </w:tc>
        <w:tc>
          <w:tcPr>
            <w:tcW w:w="708" w:type="dxa"/>
            <w:tcBorders>
              <w:top w:val="nil"/>
              <w:bottom w:val="nil"/>
            </w:tcBorders>
          </w:tcPr>
          <w:p w:rsidR="00000000" w:rsidRDefault="00000000">
            <w:pPr>
              <w:rPr>
                <w:kern w:val="20"/>
                <w:sz w:val="18"/>
              </w:rPr>
            </w:pPr>
            <w:r>
              <w:rPr>
                <w:kern w:val="20"/>
                <w:sz w:val="18"/>
              </w:rPr>
              <w:t xml:space="preserve">   0.57</w:t>
            </w:r>
          </w:p>
        </w:tc>
        <w:tc>
          <w:tcPr>
            <w:tcW w:w="851" w:type="dxa"/>
            <w:tcBorders>
              <w:top w:val="nil"/>
              <w:bottom w:val="nil"/>
            </w:tcBorders>
          </w:tcPr>
          <w:p w:rsidR="00000000" w:rsidRDefault="00000000">
            <w:pPr>
              <w:rPr>
                <w:kern w:val="20"/>
                <w:sz w:val="18"/>
              </w:rPr>
            </w:pPr>
            <w:r>
              <w:rPr>
                <w:kern w:val="20"/>
                <w:sz w:val="18"/>
              </w:rPr>
              <w:t xml:space="preserve">     0.47</w:t>
            </w:r>
          </w:p>
        </w:tc>
        <w:tc>
          <w:tcPr>
            <w:tcW w:w="950" w:type="dxa"/>
            <w:gridSpan w:val="2"/>
            <w:tcBorders>
              <w:top w:val="nil"/>
              <w:bottom w:val="nil"/>
            </w:tcBorders>
          </w:tcPr>
          <w:p w:rsidR="00000000" w:rsidRDefault="00000000">
            <w:pPr>
              <w:rPr>
                <w:kern w:val="20"/>
                <w:sz w:val="18"/>
              </w:rPr>
            </w:pPr>
            <w:r>
              <w:rPr>
                <w:kern w:val="20"/>
                <w:sz w:val="18"/>
              </w:rPr>
              <w:t xml:space="preserve">          5</w:t>
            </w:r>
          </w:p>
        </w:tc>
        <w:tc>
          <w:tcPr>
            <w:tcW w:w="751" w:type="dxa"/>
            <w:tcBorders>
              <w:top w:val="nil"/>
              <w:bottom w:val="nil"/>
            </w:tcBorders>
          </w:tcPr>
          <w:p w:rsidR="00000000" w:rsidRDefault="00000000">
            <w:pPr>
              <w:rPr>
                <w:kern w:val="20"/>
                <w:sz w:val="18"/>
              </w:rPr>
            </w:pPr>
            <w:r>
              <w:rPr>
                <w:kern w:val="20"/>
                <w:sz w:val="18"/>
              </w:rPr>
              <w:t xml:space="preserve">    0.02</w:t>
            </w:r>
          </w:p>
        </w:tc>
        <w:tc>
          <w:tcPr>
            <w:tcW w:w="808" w:type="dxa"/>
            <w:tcBorders>
              <w:top w:val="nil"/>
              <w:bottom w:val="nil"/>
            </w:tcBorders>
          </w:tcPr>
          <w:p w:rsidR="00000000" w:rsidRDefault="00000000">
            <w:pPr>
              <w:rPr>
                <w:kern w:val="20"/>
                <w:sz w:val="18"/>
              </w:rPr>
            </w:pPr>
            <w:r>
              <w:rPr>
                <w:kern w:val="20"/>
                <w:sz w:val="18"/>
              </w:rPr>
              <w:t xml:space="preserve">     0.01</w:t>
            </w:r>
          </w:p>
        </w:tc>
        <w:tc>
          <w:tcPr>
            <w:tcW w:w="892" w:type="dxa"/>
            <w:tcBorders>
              <w:top w:val="nil"/>
              <w:bottom w:val="nil"/>
            </w:tcBorders>
          </w:tcPr>
          <w:p w:rsidR="00000000" w:rsidRDefault="00000000">
            <w:pPr>
              <w:rPr>
                <w:kern w:val="20"/>
                <w:sz w:val="18"/>
              </w:rPr>
            </w:pPr>
            <w:r>
              <w:rPr>
                <w:kern w:val="20"/>
                <w:sz w:val="18"/>
              </w:rPr>
              <w:t xml:space="preserve">      0.49</w:t>
            </w:r>
          </w:p>
        </w:tc>
        <w:tc>
          <w:tcPr>
            <w:tcW w:w="777" w:type="dxa"/>
            <w:tcBorders>
              <w:top w:val="nil"/>
              <w:bottom w:val="nil"/>
            </w:tcBorders>
          </w:tcPr>
          <w:p w:rsidR="00000000" w:rsidRDefault="00000000">
            <w:pPr>
              <w:rPr>
                <w:kern w:val="20"/>
                <w:sz w:val="18"/>
              </w:rPr>
            </w:pPr>
            <w:r>
              <w:rPr>
                <w:kern w:val="20"/>
                <w:sz w:val="18"/>
              </w:rPr>
              <w:t xml:space="preserve">   0.36</w:t>
            </w:r>
          </w:p>
        </w:tc>
        <w:tc>
          <w:tcPr>
            <w:tcW w:w="851" w:type="dxa"/>
            <w:tcBorders>
              <w:top w:val="nil"/>
              <w:bottom w:val="nil"/>
            </w:tcBorders>
          </w:tcPr>
          <w:p w:rsidR="00000000" w:rsidRDefault="00000000">
            <w:pPr>
              <w:rPr>
                <w:kern w:val="20"/>
                <w:sz w:val="18"/>
              </w:rPr>
            </w:pPr>
            <w:r>
              <w:rPr>
                <w:kern w:val="20"/>
                <w:sz w:val="18"/>
              </w:rPr>
              <w:t xml:space="preserve">     0.27</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General productive</w:t>
            </w:r>
          </w:p>
          <w:p w:rsidR="00000000" w:rsidRDefault="00000000">
            <w:pPr>
              <w:rPr>
                <w:kern w:val="20"/>
                <w:sz w:val="18"/>
              </w:rPr>
            </w:pPr>
            <w:r>
              <w:rPr>
                <w:kern w:val="20"/>
                <w:sz w:val="18"/>
              </w:rPr>
              <w:t xml:space="preserve">  jobs</w:t>
            </w:r>
          </w:p>
        </w:tc>
        <w:tc>
          <w:tcPr>
            <w:tcW w:w="993" w:type="dxa"/>
            <w:tcBorders>
              <w:top w:val="nil"/>
              <w:bottom w:val="nil"/>
            </w:tcBorders>
          </w:tcPr>
          <w:p w:rsidR="00000000" w:rsidRDefault="00000000">
            <w:pPr>
              <w:rPr>
                <w:kern w:val="20"/>
                <w:sz w:val="18"/>
              </w:rPr>
            </w:pPr>
            <w:r>
              <w:rPr>
                <w:kern w:val="20"/>
                <w:sz w:val="18"/>
              </w:rPr>
              <w:t xml:space="preserve">       0.80</w:t>
            </w:r>
          </w:p>
        </w:tc>
        <w:tc>
          <w:tcPr>
            <w:tcW w:w="892" w:type="dxa"/>
            <w:gridSpan w:val="2"/>
            <w:tcBorders>
              <w:top w:val="nil"/>
              <w:bottom w:val="nil"/>
            </w:tcBorders>
          </w:tcPr>
          <w:p w:rsidR="00000000" w:rsidRDefault="00000000">
            <w:pPr>
              <w:jc w:val="center"/>
              <w:rPr>
                <w:kern w:val="20"/>
                <w:sz w:val="18"/>
              </w:rPr>
            </w:pPr>
            <w:r>
              <w:rPr>
                <w:kern w:val="20"/>
                <w:sz w:val="18"/>
              </w:rPr>
              <w:t xml:space="preserve">  12</w:t>
            </w:r>
          </w:p>
        </w:tc>
        <w:tc>
          <w:tcPr>
            <w:tcW w:w="709" w:type="dxa"/>
            <w:tcBorders>
              <w:top w:val="nil"/>
              <w:bottom w:val="nil"/>
            </w:tcBorders>
          </w:tcPr>
          <w:p w:rsidR="00000000" w:rsidRDefault="00000000">
            <w:pPr>
              <w:rPr>
                <w:kern w:val="20"/>
                <w:sz w:val="18"/>
              </w:rPr>
            </w:pPr>
            <w:r>
              <w:rPr>
                <w:kern w:val="20"/>
                <w:sz w:val="18"/>
              </w:rPr>
              <w:t xml:space="preserve">   0.04</w:t>
            </w:r>
          </w:p>
        </w:tc>
        <w:tc>
          <w:tcPr>
            <w:tcW w:w="850" w:type="dxa"/>
            <w:tcBorders>
              <w:top w:val="nil"/>
              <w:bottom w:val="nil"/>
            </w:tcBorders>
          </w:tcPr>
          <w:p w:rsidR="00000000" w:rsidRDefault="00000000">
            <w:pPr>
              <w:rPr>
                <w:kern w:val="20"/>
                <w:sz w:val="18"/>
              </w:rPr>
            </w:pPr>
            <w:r>
              <w:rPr>
                <w:kern w:val="20"/>
                <w:sz w:val="18"/>
              </w:rPr>
              <w:t xml:space="preserve">    0.02</w:t>
            </w:r>
          </w:p>
        </w:tc>
        <w:tc>
          <w:tcPr>
            <w:tcW w:w="993" w:type="dxa"/>
            <w:tcBorders>
              <w:top w:val="nil"/>
              <w:bottom w:val="nil"/>
            </w:tcBorders>
          </w:tcPr>
          <w:p w:rsidR="00000000" w:rsidRDefault="00000000">
            <w:pPr>
              <w:rPr>
                <w:kern w:val="20"/>
                <w:sz w:val="18"/>
              </w:rPr>
            </w:pPr>
            <w:r>
              <w:rPr>
                <w:kern w:val="20"/>
                <w:sz w:val="18"/>
              </w:rPr>
              <w:t xml:space="preserve">      0.29</w:t>
            </w:r>
          </w:p>
        </w:tc>
        <w:tc>
          <w:tcPr>
            <w:tcW w:w="708" w:type="dxa"/>
            <w:tcBorders>
              <w:top w:val="nil"/>
              <w:bottom w:val="nil"/>
            </w:tcBorders>
          </w:tcPr>
          <w:p w:rsidR="00000000" w:rsidRDefault="00000000">
            <w:pPr>
              <w:rPr>
                <w:kern w:val="20"/>
                <w:sz w:val="18"/>
              </w:rPr>
            </w:pPr>
            <w:r>
              <w:rPr>
                <w:kern w:val="20"/>
                <w:sz w:val="18"/>
              </w:rPr>
              <w:t xml:space="preserve">   0.20</w:t>
            </w:r>
          </w:p>
        </w:tc>
        <w:tc>
          <w:tcPr>
            <w:tcW w:w="851" w:type="dxa"/>
            <w:tcBorders>
              <w:top w:val="nil"/>
              <w:bottom w:val="nil"/>
            </w:tcBorders>
          </w:tcPr>
          <w:p w:rsidR="00000000" w:rsidRDefault="00000000">
            <w:pPr>
              <w:rPr>
                <w:kern w:val="20"/>
                <w:sz w:val="18"/>
              </w:rPr>
            </w:pPr>
            <w:r>
              <w:rPr>
                <w:kern w:val="20"/>
                <w:sz w:val="18"/>
              </w:rPr>
              <w:t xml:space="preserve">     0.15</w:t>
            </w:r>
          </w:p>
        </w:tc>
        <w:tc>
          <w:tcPr>
            <w:tcW w:w="950" w:type="dxa"/>
            <w:gridSpan w:val="2"/>
            <w:tcBorders>
              <w:top w:val="nil"/>
              <w:bottom w:val="nil"/>
            </w:tcBorders>
          </w:tcPr>
          <w:p w:rsidR="00000000" w:rsidRDefault="00000000">
            <w:pPr>
              <w:rPr>
                <w:kern w:val="20"/>
                <w:sz w:val="18"/>
              </w:rPr>
            </w:pPr>
            <w:r>
              <w:rPr>
                <w:kern w:val="20"/>
                <w:sz w:val="18"/>
              </w:rPr>
              <w:t xml:space="preserve">          2</w:t>
            </w:r>
          </w:p>
        </w:tc>
        <w:tc>
          <w:tcPr>
            <w:tcW w:w="751" w:type="dxa"/>
            <w:tcBorders>
              <w:top w:val="nil"/>
              <w:bottom w:val="nil"/>
            </w:tcBorders>
          </w:tcPr>
          <w:p w:rsidR="00000000" w:rsidRDefault="00000000">
            <w:pPr>
              <w:rPr>
                <w:kern w:val="20"/>
                <w:sz w:val="18"/>
              </w:rPr>
            </w:pPr>
            <w:r>
              <w:rPr>
                <w:kern w:val="20"/>
                <w:sz w:val="18"/>
              </w:rPr>
              <w:t xml:space="preserve">    0.01</w:t>
            </w:r>
          </w:p>
        </w:tc>
        <w:tc>
          <w:tcPr>
            <w:tcW w:w="808" w:type="dxa"/>
            <w:tcBorders>
              <w:top w:val="nil"/>
              <w:bottom w:val="nil"/>
            </w:tcBorders>
          </w:tcPr>
          <w:p w:rsidR="00000000" w:rsidRDefault="00000000">
            <w:pPr>
              <w:rPr>
                <w:kern w:val="20"/>
                <w:sz w:val="18"/>
              </w:rPr>
            </w:pPr>
            <w:r>
              <w:rPr>
                <w:kern w:val="20"/>
                <w:sz w:val="18"/>
              </w:rPr>
              <w:t xml:space="preserve">     0.00</w:t>
            </w:r>
          </w:p>
        </w:tc>
        <w:tc>
          <w:tcPr>
            <w:tcW w:w="892" w:type="dxa"/>
            <w:tcBorders>
              <w:top w:val="nil"/>
              <w:bottom w:val="nil"/>
            </w:tcBorders>
          </w:tcPr>
          <w:p w:rsidR="00000000" w:rsidRDefault="00000000">
            <w:pPr>
              <w:rPr>
                <w:kern w:val="20"/>
                <w:sz w:val="18"/>
              </w:rPr>
            </w:pPr>
            <w:r>
              <w:rPr>
                <w:kern w:val="20"/>
                <w:sz w:val="18"/>
              </w:rPr>
              <w:t xml:space="preserve">      0.13</w:t>
            </w:r>
          </w:p>
        </w:tc>
        <w:tc>
          <w:tcPr>
            <w:tcW w:w="777" w:type="dxa"/>
            <w:tcBorders>
              <w:top w:val="nil"/>
              <w:bottom w:val="nil"/>
            </w:tcBorders>
          </w:tcPr>
          <w:p w:rsidR="00000000" w:rsidRDefault="00000000">
            <w:pPr>
              <w:rPr>
                <w:kern w:val="20"/>
                <w:sz w:val="18"/>
              </w:rPr>
            </w:pPr>
            <w:r>
              <w:rPr>
                <w:kern w:val="20"/>
                <w:sz w:val="18"/>
              </w:rPr>
              <w:t xml:space="preserve">   0.09</w:t>
            </w:r>
          </w:p>
        </w:tc>
        <w:tc>
          <w:tcPr>
            <w:tcW w:w="851" w:type="dxa"/>
            <w:tcBorders>
              <w:top w:val="nil"/>
              <w:bottom w:val="nil"/>
            </w:tcBorders>
          </w:tcPr>
          <w:p w:rsidR="00000000" w:rsidRDefault="00000000">
            <w:pPr>
              <w:rPr>
                <w:kern w:val="20"/>
                <w:sz w:val="18"/>
              </w:rPr>
            </w:pPr>
            <w:r>
              <w:rPr>
                <w:kern w:val="20"/>
                <w:sz w:val="18"/>
              </w:rPr>
              <w:t xml:space="preserve">     0.06</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Other proprietors</w:t>
            </w:r>
          </w:p>
        </w:tc>
        <w:tc>
          <w:tcPr>
            <w:tcW w:w="993" w:type="dxa"/>
            <w:tcBorders>
              <w:top w:val="nil"/>
              <w:bottom w:val="nil"/>
            </w:tcBorders>
          </w:tcPr>
          <w:p w:rsidR="00000000" w:rsidRDefault="00000000">
            <w:pPr>
              <w:rPr>
                <w:kern w:val="20"/>
                <w:sz w:val="18"/>
              </w:rPr>
            </w:pPr>
            <w:r>
              <w:rPr>
                <w:kern w:val="20"/>
                <w:sz w:val="18"/>
              </w:rPr>
              <w:t xml:space="preserve">       1.40</w:t>
            </w:r>
          </w:p>
        </w:tc>
        <w:tc>
          <w:tcPr>
            <w:tcW w:w="892" w:type="dxa"/>
            <w:gridSpan w:val="2"/>
            <w:tcBorders>
              <w:top w:val="nil"/>
              <w:bottom w:val="nil"/>
            </w:tcBorders>
          </w:tcPr>
          <w:p w:rsidR="00000000" w:rsidRDefault="00000000">
            <w:pPr>
              <w:jc w:val="center"/>
              <w:rPr>
                <w:kern w:val="20"/>
                <w:sz w:val="18"/>
              </w:rPr>
            </w:pPr>
            <w:r>
              <w:rPr>
                <w:kern w:val="20"/>
                <w:sz w:val="18"/>
              </w:rPr>
              <w:t xml:space="preserve">   4</w:t>
            </w:r>
          </w:p>
        </w:tc>
        <w:tc>
          <w:tcPr>
            <w:tcW w:w="709" w:type="dxa"/>
            <w:tcBorders>
              <w:top w:val="nil"/>
              <w:bottom w:val="nil"/>
            </w:tcBorders>
          </w:tcPr>
          <w:p w:rsidR="00000000" w:rsidRDefault="00000000">
            <w:pPr>
              <w:rPr>
                <w:kern w:val="20"/>
                <w:sz w:val="18"/>
              </w:rPr>
            </w:pPr>
            <w:r>
              <w:rPr>
                <w:kern w:val="20"/>
                <w:sz w:val="18"/>
              </w:rPr>
              <w:t xml:space="preserve">   0.01</w:t>
            </w:r>
          </w:p>
        </w:tc>
        <w:tc>
          <w:tcPr>
            <w:tcW w:w="850" w:type="dxa"/>
            <w:tcBorders>
              <w:top w:val="nil"/>
              <w:bottom w:val="nil"/>
            </w:tcBorders>
          </w:tcPr>
          <w:p w:rsidR="00000000" w:rsidRDefault="00000000">
            <w:pPr>
              <w:rPr>
                <w:kern w:val="20"/>
                <w:sz w:val="18"/>
              </w:rPr>
            </w:pPr>
            <w:r>
              <w:rPr>
                <w:kern w:val="20"/>
                <w:sz w:val="18"/>
              </w:rPr>
              <w:t xml:space="preserve">    0.01</w:t>
            </w:r>
          </w:p>
        </w:tc>
        <w:tc>
          <w:tcPr>
            <w:tcW w:w="993" w:type="dxa"/>
            <w:tcBorders>
              <w:top w:val="nil"/>
              <w:bottom w:val="nil"/>
            </w:tcBorders>
          </w:tcPr>
          <w:p w:rsidR="00000000" w:rsidRDefault="00000000">
            <w:pPr>
              <w:rPr>
                <w:kern w:val="20"/>
                <w:sz w:val="18"/>
              </w:rPr>
            </w:pPr>
            <w:r>
              <w:rPr>
                <w:kern w:val="20"/>
                <w:sz w:val="18"/>
              </w:rPr>
              <w:t xml:space="preserve">      0.15</w:t>
            </w:r>
          </w:p>
        </w:tc>
        <w:tc>
          <w:tcPr>
            <w:tcW w:w="708" w:type="dxa"/>
            <w:tcBorders>
              <w:top w:val="nil"/>
              <w:bottom w:val="nil"/>
            </w:tcBorders>
          </w:tcPr>
          <w:p w:rsidR="00000000" w:rsidRDefault="00000000">
            <w:pPr>
              <w:rPr>
                <w:kern w:val="20"/>
                <w:sz w:val="18"/>
              </w:rPr>
            </w:pPr>
            <w:r>
              <w:rPr>
                <w:kern w:val="20"/>
                <w:sz w:val="18"/>
              </w:rPr>
              <w:t xml:space="preserve">   0.11</w:t>
            </w:r>
          </w:p>
        </w:tc>
        <w:tc>
          <w:tcPr>
            <w:tcW w:w="851" w:type="dxa"/>
            <w:tcBorders>
              <w:top w:val="nil"/>
              <w:bottom w:val="nil"/>
            </w:tcBorders>
          </w:tcPr>
          <w:p w:rsidR="00000000" w:rsidRDefault="00000000">
            <w:pPr>
              <w:rPr>
                <w:kern w:val="20"/>
                <w:sz w:val="18"/>
              </w:rPr>
            </w:pPr>
            <w:r>
              <w:rPr>
                <w:kern w:val="20"/>
                <w:sz w:val="18"/>
              </w:rPr>
              <w:t xml:space="preserve">     0.09</w:t>
            </w:r>
          </w:p>
        </w:tc>
        <w:tc>
          <w:tcPr>
            <w:tcW w:w="950" w:type="dxa"/>
            <w:gridSpan w:val="2"/>
            <w:tcBorders>
              <w:top w:val="nil"/>
              <w:bottom w:val="nil"/>
            </w:tcBorders>
          </w:tcPr>
          <w:p w:rsidR="00000000" w:rsidRDefault="00000000">
            <w:pPr>
              <w:rPr>
                <w:kern w:val="20"/>
                <w:sz w:val="18"/>
              </w:rPr>
            </w:pPr>
            <w:r>
              <w:rPr>
                <w:kern w:val="20"/>
                <w:sz w:val="18"/>
              </w:rPr>
              <w:t xml:space="preserve">          1</w:t>
            </w:r>
          </w:p>
        </w:tc>
        <w:tc>
          <w:tcPr>
            <w:tcW w:w="751" w:type="dxa"/>
            <w:tcBorders>
              <w:top w:val="nil"/>
              <w:bottom w:val="nil"/>
            </w:tcBorders>
          </w:tcPr>
          <w:p w:rsidR="00000000" w:rsidRDefault="00000000">
            <w:pPr>
              <w:rPr>
                <w:kern w:val="20"/>
                <w:sz w:val="18"/>
              </w:rPr>
            </w:pPr>
            <w:r>
              <w:rPr>
                <w:kern w:val="20"/>
                <w:sz w:val="18"/>
              </w:rPr>
              <w:t xml:space="preserve">    0.00</w:t>
            </w:r>
          </w:p>
        </w:tc>
        <w:tc>
          <w:tcPr>
            <w:tcW w:w="808" w:type="dxa"/>
            <w:tcBorders>
              <w:top w:val="nil"/>
              <w:bottom w:val="nil"/>
            </w:tcBorders>
          </w:tcPr>
          <w:p w:rsidR="00000000" w:rsidRDefault="00000000">
            <w:pPr>
              <w:rPr>
                <w:kern w:val="20"/>
                <w:sz w:val="18"/>
              </w:rPr>
            </w:pPr>
            <w:r>
              <w:rPr>
                <w:kern w:val="20"/>
                <w:sz w:val="18"/>
              </w:rPr>
              <w:t xml:space="preserve">     0.00</w:t>
            </w:r>
          </w:p>
        </w:tc>
        <w:tc>
          <w:tcPr>
            <w:tcW w:w="892" w:type="dxa"/>
            <w:tcBorders>
              <w:top w:val="nil"/>
              <w:bottom w:val="nil"/>
            </w:tcBorders>
          </w:tcPr>
          <w:p w:rsidR="00000000" w:rsidRDefault="00000000">
            <w:pPr>
              <w:rPr>
                <w:kern w:val="20"/>
                <w:sz w:val="18"/>
              </w:rPr>
            </w:pPr>
            <w:r>
              <w:rPr>
                <w:kern w:val="20"/>
                <w:sz w:val="18"/>
              </w:rPr>
              <w:t xml:space="preserve">      0.10</w:t>
            </w:r>
          </w:p>
        </w:tc>
        <w:tc>
          <w:tcPr>
            <w:tcW w:w="777" w:type="dxa"/>
            <w:tcBorders>
              <w:top w:val="nil"/>
              <w:bottom w:val="nil"/>
            </w:tcBorders>
          </w:tcPr>
          <w:p w:rsidR="00000000" w:rsidRDefault="00000000">
            <w:pPr>
              <w:rPr>
                <w:kern w:val="20"/>
                <w:sz w:val="18"/>
              </w:rPr>
            </w:pPr>
            <w:r>
              <w:rPr>
                <w:kern w:val="20"/>
                <w:sz w:val="18"/>
              </w:rPr>
              <w:t xml:space="preserve">   0.08</w:t>
            </w:r>
          </w:p>
        </w:tc>
        <w:tc>
          <w:tcPr>
            <w:tcW w:w="851" w:type="dxa"/>
            <w:tcBorders>
              <w:top w:val="nil"/>
              <w:bottom w:val="nil"/>
            </w:tcBorders>
          </w:tcPr>
          <w:p w:rsidR="00000000" w:rsidRDefault="00000000">
            <w:pPr>
              <w:rPr>
                <w:kern w:val="20"/>
                <w:sz w:val="18"/>
              </w:rPr>
            </w:pPr>
            <w:r>
              <w:rPr>
                <w:kern w:val="20"/>
                <w:sz w:val="18"/>
              </w:rPr>
              <w:t xml:space="preserve">    0.07</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Religion</w:t>
            </w:r>
          </w:p>
        </w:tc>
        <w:tc>
          <w:tcPr>
            <w:tcW w:w="993" w:type="dxa"/>
            <w:tcBorders>
              <w:top w:val="nil"/>
              <w:bottom w:val="nil"/>
            </w:tcBorders>
          </w:tcPr>
          <w:p w:rsidR="00000000" w:rsidRDefault="00000000">
            <w:pPr>
              <w:rPr>
                <w:kern w:val="20"/>
                <w:sz w:val="18"/>
              </w:rPr>
            </w:pPr>
            <w:r>
              <w:rPr>
                <w:kern w:val="20"/>
                <w:sz w:val="18"/>
              </w:rPr>
              <w:t xml:space="preserve">       0.00</w:t>
            </w:r>
          </w:p>
        </w:tc>
        <w:tc>
          <w:tcPr>
            <w:tcW w:w="892" w:type="dxa"/>
            <w:gridSpan w:val="2"/>
            <w:tcBorders>
              <w:top w:val="nil"/>
              <w:bottom w:val="nil"/>
            </w:tcBorders>
          </w:tcPr>
          <w:p w:rsidR="00000000" w:rsidRDefault="00000000">
            <w:pPr>
              <w:jc w:val="center"/>
              <w:rPr>
                <w:kern w:val="20"/>
                <w:sz w:val="18"/>
              </w:rPr>
            </w:pPr>
            <w:r>
              <w:rPr>
                <w:kern w:val="20"/>
                <w:sz w:val="18"/>
              </w:rPr>
              <w:t xml:space="preserve">  21</w:t>
            </w:r>
          </w:p>
        </w:tc>
        <w:tc>
          <w:tcPr>
            <w:tcW w:w="709" w:type="dxa"/>
            <w:tcBorders>
              <w:top w:val="nil"/>
              <w:bottom w:val="nil"/>
            </w:tcBorders>
          </w:tcPr>
          <w:p w:rsidR="00000000" w:rsidRDefault="00000000">
            <w:pPr>
              <w:rPr>
                <w:kern w:val="20"/>
                <w:sz w:val="18"/>
              </w:rPr>
            </w:pPr>
            <w:r>
              <w:rPr>
                <w:kern w:val="20"/>
                <w:sz w:val="18"/>
              </w:rPr>
              <w:t xml:space="preserve">   0.08</w:t>
            </w:r>
          </w:p>
        </w:tc>
        <w:tc>
          <w:tcPr>
            <w:tcW w:w="850" w:type="dxa"/>
            <w:tcBorders>
              <w:top w:val="nil"/>
              <w:bottom w:val="nil"/>
            </w:tcBorders>
          </w:tcPr>
          <w:p w:rsidR="00000000" w:rsidRDefault="00000000">
            <w:pPr>
              <w:rPr>
                <w:kern w:val="20"/>
                <w:sz w:val="18"/>
              </w:rPr>
            </w:pPr>
            <w:r>
              <w:rPr>
                <w:kern w:val="20"/>
                <w:sz w:val="18"/>
              </w:rPr>
              <w:t xml:space="preserve">    0.05</w:t>
            </w:r>
          </w:p>
        </w:tc>
        <w:tc>
          <w:tcPr>
            <w:tcW w:w="993" w:type="dxa"/>
            <w:tcBorders>
              <w:top w:val="nil"/>
              <w:bottom w:val="nil"/>
            </w:tcBorders>
          </w:tcPr>
          <w:p w:rsidR="00000000" w:rsidRDefault="00000000">
            <w:pPr>
              <w:rPr>
                <w:kern w:val="20"/>
                <w:sz w:val="18"/>
              </w:rPr>
            </w:pPr>
            <w:r>
              <w:rPr>
                <w:kern w:val="20"/>
                <w:sz w:val="18"/>
              </w:rPr>
              <w:t xml:space="preserve">      0.00</w:t>
            </w:r>
          </w:p>
        </w:tc>
        <w:tc>
          <w:tcPr>
            <w:tcW w:w="708" w:type="dxa"/>
            <w:tcBorders>
              <w:top w:val="nil"/>
              <w:bottom w:val="nil"/>
            </w:tcBorders>
          </w:tcPr>
          <w:p w:rsidR="00000000" w:rsidRDefault="00000000">
            <w:pPr>
              <w:rPr>
                <w:kern w:val="20"/>
                <w:sz w:val="18"/>
              </w:rPr>
            </w:pPr>
            <w:r>
              <w:rPr>
                <w:kern w:val="20"/>
                <w:sz w:val="18"/>
              </w:rPr>
              <w:t xml:space="preserve">   0.00</w:t>
            </w:r>
          </w:p>
        </w:tc>
        <w:tc>
          <w:tcPr>
            <w:tcW w:w="851" w:type="dxa"/>
            <w:tcBorders>
              <w:top w:val="nil"/>
              <w:bottom w:val="nil"/>
            </w:tcBorders>
          </w:tcPr>
          <w:p w:rsidR="00000000" w:rsidRDefault="00000000">
            <w:pPr>
              <w:rPr>
                <w:kern w:val="20"/>
                <w:sz w:val="18"/>
              </w:rPr>
            </w:pPr>
            <w:r>
              <w:rPr>
                <w:kern w:val="20"/>
                <w:sz w:val="18"/>
              </w:rPr>
              <w:t xml:space="preserve">     0.00</w:t>
            </w:r>
          </w:p>
        </w:tc>
        <w:tc>
          <w:tcPr>
            <w:tcW w:w="950" w:type="dxa"/>
            <w:gridSpan w:val="2"/>
            <w:tcBorders>
              <w:top w:val="nil"/>
              <w:bottom w:val="nil"/>
            </w:tcBorders>
          </w:tcPr>
          <w:p w:rsidR="00000000" w:rsidRDefault="00000000">
            <w:pPr>
              <w:rPr>
                <w:kern w:val="20"/>
                <w:sz w:val="18"/>
              </w:rPr>
            </w:pPr>
            <w:r>
              <w:rPr>
                <w:kern w:val="20"/>
                <w:sz w:val="18"/>
              </w:rPr>
              <w:t xml:space="preserve">          9</w:t>
            </w:r>
          </w:p>
        </w:tc>
        <w:tc>
          <w:tcPr>
            <w:tcW w:w="751" w:type="dxa"/>
            <w:tcBorders>
              <w:top w:val="nil"/>
              <w:bottom w:val="nil"/>
            </w:tcBorders>
          </w:tcPr>
          <w:p w:rsidR="00000000" w:rsidRDefault="00000000">
            <w:pPr>
              <w:rPr>
                <w:kern w:val="20"/>
                <w:sz w:val="18"/>
              </w:rPr>
            </w:pPr>
            <w:r>
              <w:rPr>
                <w:kern w:val="20"/>
                <w:sz w:val="18"/>
              </w:rPr>
              <w:t xml:space="preserve">    0.03</w:t>
            </w:r>
          </w:p>
        </w:tc>
        <w:tc>
          <w:tcPr>
            <w:tcW w:w="808" w:type="dxa"/>
            <w:tcBorders>
              <w:top w:val="nil"/>
              <w:bottom w:val="nil"/>
            </w:tcBorders>
          </w:tcPr>
          <w:p w:rsidR="00000000" w:rsidRDefault="00000000">
            <w:pPr>
              <w:rPr>
                <w:kern w:val="20"/>
                <w:sz w:val="18"/>
              </w:rPr>
            </w:pPr>
            <w:r>
              <w:rPr>
                <w:kern w:val="20"/>
                <w:sz w:val="18"/>
              </w:rPr>
              <w:t xml:space="preserve">     0.02</w:t>
            </w:r>
          </w:p>
        </w:tc>
        <w:tc>
          <w:tcPr>
            <w:tcW w:w="892" w:type="dxa"/>
            <w:tcBorders>
              <w:top w:val="nil"/>
              <w:bottom w:val="nil"/>
            </w:tcBorders>
          </w:tcPr>
          <w:p w:rsidR="00000000" w:rsidRDefault="00000000">
            <w:pPr>
              <w:rPr>
                <w:kern w:val="20"/>
                <w:sz w:val="18"/>
              </w:rPr>
            </w:pPr>
            <w:r>
              <w:rPr>
                <w:kern w:val="20"/>
                <w:sz w:val="18"/>
              </w:rPr>
              <w:t xml:space="preserve">      0.00</w:t>
            </w:r>
          </w:p>
        </w:tc>
        <w:tc>
          <w:tcPr>
            <w:tcW w:w="777" w:type="dxa"/>
            <w:tcBorders>
              <w:top w:val="nil"/>
              <w:bottom w:val="nil"/>
            </w:tcBorders>
          </w:tcPr>
          <w:p w:rsidR="00000000" w:rsidRDefault="00000000">
            <w:pPr>
              <w:rPr>
                <w:kern w:val="20"/>
                <w:sz w:val="18"/>
              </w:rPr>
            </w:pPr>
            <w:r>
              <w:rPr>
                <w:kern w:val="20"/>
                <w:sz w:val="18"/>
              </w:rPr>
              <w:t xml:space="preserve">   0.00</w:t>
            </w:r>
          </w:p>
        </w:tc>
        <w:tc>
          <w:tcPr>
            <w:tcW w:w="851" w:type="dxa"/>
            <w:tcBorders>
              <w:top w:val="nil"/>
              <w:bottom w:val="nil"/>
            </w:tcBorders>
          </w:tcPr>
          <w:p w:rsidR="00000000" w:rsidRDefault="00000000">
            <w:pPr>
              <w:rPr>
                <w:kern w:val="20"/>
                <w:sz w:val="18"/>
              </w:rPr>
            </w:pPr>
            <w:r>
              <w:rPr>
                <w:kern w:val="20"/>
                <w:sz w:val="18"/>
              </w:rPr>
              <w:t xml:space="preserve">    0.00</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Ministers, directors</w:t>
            </w:r>
          </w:p>
          <w:p w:rsidR="00000000" w:rsidRDefault="00000000">
            <w:pPr>
              <w:rPr>
                <w:kern w:val="20"/>
                <w:sz w:val="18"/>
              </w:rPr>
            </w:pPr>
            <w:r>
              <w:rPr>
                <w:kern w:val="20"/>
                <w:sz w:val="18"/>
              </w:rPr>
              <w:t xml:space="preserve">  and advisers</w:t>
            </w:r>
          </w:p>
        </w:tc>
        <w:tc>
          <w:tcPr>
            <w:tcW w:w="993" w:type="dxa"/>
            <w:tcBorders>
              <w:top w:val="nil"/>
              <w:bottom w:val="nil"/>
            </w:tcBorders>
          </w:tcPr>
          <w:p w:rsidR="00000000" w:rsidRDefault="00000000">
            <w:pPr>
              <w:rPr>
                <w:kern w:val="20"/>
                <w:sz w:val="18"/>
              </w:rPr>
            </w:pPr>
            <w:r>
              <w:rPr>
                <w:kern w:val="20"/>
                <w:sz w:val="18"/>
              </w:rPr>
              <w:t xml:space="preserve">       0.30</w:t>
            </w:r>
          </w:p>
        </w:tc>
        <w:tc>
          <w:tcPr>
            <w:tcW w:w="892" w:type="dxa"/>
            <w:gridSpan w:val="2"/>
            <w:tcBorders>
              <w:top w:val="nil"/>
              <w:bottom w:val="nil"/>
            </w:tcBorders>
          </w:tcPr>
          <w:p w:rsidR="00000000" w:rsidRDefault="00000000">
            <w:pPr>
              <w:jc w:val="center"/>
              <w:rPr>
                <w:kern w:val="20"/>
                <w:sz w:val="18"/>
              </w:rPr>
            </w:pPr>
            <w:r>
              <w:rPr>
                <w:kern w:val="20"/>
                <w:sz w:val="18"/>
              </w:rPr>
              <w:t xml:space="preserve">   4</w:t>
            </w:r>
          </w:p>
        </w:tc>
        <w:tc>
          <w:tcPr>
            <w:tcW w:w="709" w:type="dxa"/>
            <w:tcBorders>
              <w:top w:val="nil"/>
              <w:bottom w:val="nil"/>
            </w:tcBorders>
          </w:tcPr>
          <w:p w:rsidR="00000000" w:rsidRDefault="00000000">
            <w:pPr>
              <w:rPr>
                <w:kern w:val="20"/>
                <w:sz w:val="18"/>
              </w:rPr>
            </w:pPr>
            <w:r>
              <w:rPr>
                <w:kern w:val="20"/>
                <w:sz w:val="18"/>
              </w:rPr>
              <w:t xml:space="preserve">   0.01</w:t>
            </w:r>
          </w:p>
        </w:tc>
        <w:tc>
          <w:tcPr>
            <w:tcW w:w="850" w:type="dxa"/>
            <w:tcBorders>
              <w:top w:val="nil"/>
              <w:bottom w:val="nil"/>
            </w:tcBorders>
          </w:tcPr>
          <w:p w:rsidR="00000000" w:rsidRDefault="00000000">
            <w:pPr>
              <w:rPr>
                <w:kern w:val="20"/>
                <w:sz w:val="18"/>
              </w:rPr>
            </w:pPr>
            <w:r>
              <w:rPr>
                <w:kern w:val="20"/>
                <w:sz w:val="18"/>
              </w:rPr>
              <w:t xml:space="preserve">    0.01</w:t>
            </w:r>
          </w:p>
        </w:tc>
        <w:tc>
          <w:tcPr>
            <w:tcW w:w="993" w:type="dxa"/>
            <w:tcBorders>
              <w:top w:val="nil"/>
              <w:bottom w:val="nil"/>
            </w:tcBorders>
          </w:tcPr>
          <w:p w:rsidR="00000000" w:rsidRDefault="00000000">
            <w:pPr>
              <w:rPr>
                <w:kern w:val="20"/>
                <w:sz w:val="18"/>
              </w:rPr>
            </w:pPr>
            <w:r>
              <w:rPr>
                <w:kern w:val="20"/>
                <w:sz w:val="18"/>
              </w:rPr>
              <w:t xml:space="preserve">      0.03</w:t>
            </w:r>
          </w:p>
        </w:tc>
        <w:tc>
          <w:tcPr>
            <w:tcW w:w="708" w:type="dxa"/>
            <w:tcBorders>
              <w:top w:val="nil"/>
              <w:bottom w:val="nil"/>
            </w:tcBorders>
          </w:tcPr>
          <w:p w:rsidR="00000000" w:rsidRDefault="00000000">
            <w:pPr>
              <w:rPr>
                <w:kern w:val="20"/>
                <w:sz w:val="18"/>
              </w:rPr>
            </w:pPr>
            <w:r>
              <w:rPr>
                <w:kern w:val="20"/>
                <w:sz w:val="18"/>
              </w:rPr>
              <w:t xml:space="preserve">   0.02</w:t>
            </w:r>
          </w:p>
        </w:tc>
        <w:tc>
          <w:tcPr>
            <w:tcW w:w="851" w:type="dxa"/>
            <w:tcBorders>
              <w:top w:val="nil"/>
              <w:bottom w:val="nil"/>
            </w:tcBorders>
          </w:tcPr>
          <w:p w:rsidR="00000000" w:rsidRDefault="00000000">
            <w:pPr>
              <w:rPr>
                <w:kern w:val="20"/>
                <w:sz w:val="18"/>
              </w:rPr>
            </w:pPr>
            <w:r>
              <w:rPr>
                <w:kern w:val="20"/>
                <w:sz w:val="18"/>
              </w:rPr>
              <w:t xml:space="preserve">     0.02</w:t>
            </w:r>
          </w:p>
        </w:tc>
        <w:tc>
          <w:tcPr>
            <w:tcW w:w="950" w:type="dxa"/>
            <w:gridSpan w:val="2"/>
            <w:tcBorders>
              <w:top w:val="nil"/>
              <w:bottom w:val="nil"/>
            </w:tcBorders>
          </w:tcPr>
          <w:p w:rsidR="00000000" w:rsidRDefault="00000000">
            <w:pPr>
              <w:rPr>
                <w:kern w:val="20"/>
                <w:sz w:val="18"/>
              </w:rPr>
            </w:pPr>
            <w:r>
              <w:rPr>
                <w:kern w:val="20"/>
                <w:sz w:val="18"/>
              </w:rPr>
              <w:t xml:space="preserve">          1</w:t>
            </w:r>
          </w:p>
        </w:tc>
        <w:tc>
          <w:tcPr>
            <w:tcW w:w="751" w:type="dxa"/>
            <w:tcBorders>
              <w:top w:val="nil"/>
              <w:bottom w:val="nil"/>
            </w:tcBorders>
          </w:tcPr>
          <w:p w:rsidR="00000000" w:rsidRDefault="00000000">
            <w:pPr>
              <w:rPr>
                <w:kern w:val="20"/>
                <w:sz w:val="18"/>
              </w:rPr>
            </w:pPr>
            <w:r>
              <w:rPr>
                <w:kern w:val="20"/>
                <w:sz w:val="18"/>
              </w:rPr>
              <w:t xml:space="preserve">    0.00</w:t>
            </w:r>
          </w:p>
        </w:tc>
        <w:tc>
          <w:tcPr>
            <w:tcW w:w="808" w:type="dxa"/>
            <w:tcBorders>
              <w:top w:val="nil"/>
              <w:bottom w:val="nil"/>
            </w:tcBorders>
          </w:tcPr>
          <w:p w:rsidR="00000000" w:rsidRDefault="00000000">
            <w:pPr>
              <w:rPr>
                <w:kern w:val="20"/>
                <w:sz w:val="18"/>
              </w:rPr>
            </w:pPr>
            <w:r>
              <w:rPr>
                <w:kern w:val="20"/>
                <w:sz w:val="18"/>
              </w:rPr>
              <w:t xml:space="preserve">     0.00</w:t>
            </w:r>
          </w:p>
        </w:tc>
        <w:tc>
          <w:tcPr>
            <w:tcW w:w="892" w:type="dxa"/>
            <w:tcBorders>
              <w:top w:val="nil"/>
              <w:bottom w:val="nil"/>
            </w:tcBorders>
          </w:tcPr>
          <w:p w:rsidR="00000000" w:rsidRDefault="00000000">
            <w:pPr>
              <w:rPr>
                <w:kern w:val="20"/>
                <w:sz w:val="18"/>
              </w:rPr>
            </w:pPr>
            <w:r>
              <w:rPr>
                <w:kern w:val="20"/>
                <w:sz w:val="18"/>
              </w:rPr>
              <w:t xml:space="preserve">      0.03</w:t>
            </w:r>
          </w:p>
        </w:tc>
        <w:tc>
          <w:tcPr>
            <w:tcW w:w="777" w:type="dxa"/>
            <w:tcBorders>
              <w:top w:val="nil"/>
              <w:bottom w:val="nil"/>
            </w:tcBorders>
          </w:tcPr>
          <w:p w:rsidR="00000000" w:rsidRDefault="00000000">
            <w:pPr>
              <w:rPr>
                <w:kern w:val="20"/>
                <w:sz w:val="18"/>
              </w:rPr>
            </w:pPr>
            <w:r>
              <w:rPr>
                <w:kern w:val="20"/>
                <w:sz w:val="18"/>
              </w:rPr>
              <w:t xml:space="preserve">   0.01</w:t>
            </w:r>
          </w:p>
        </w:tc>
        <w:tc>
          <w:tcPr>
            <w:tcW w:w="851" w:type="dxa"/>
            <w:tcBorders>
              <w:top w:val="nil"/>
              <w:bottom w:val="nil"/>
            </w:tcBorders>
          </w:tcPr>
          <w:p w:rsidR="00000000" w:rsidRDefault="00000000">
            <w:pPr>
              <w:rPr>
                <w:kern w:val="20"/>
                <w:sz w:val="18"/>
              </w:rPr>
            </w:pPr>
            <w:r>
              <w:rPr>
                <w:kern w:val="20"/>
                <w:sz w:val="18"/>
              </w:rPr>
              <w:t xml:space="preserve">    0.00</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Shoes and accessories</w:t>
            </w:r>
          </w:p>
        </w:tc>
        <w:tc>
          <w:tcPr>
            <w:tcW w:w="993" w:type="dxa"/>
            <w:tcBorders>
              <w:top w:val="nil"/>
              <w:bottom w:val="nil"/>
            </w:tcBorders>
          </w:tcPr>
          <w:p w:rsidR="00000000" w:rsidRDefault="00000000">
            <w:pPr>
              <w:rPr>
                <w:kern w:val="20"/>
                <w:sz w:val="18"/>
              </w:rPr>
            </w:pPr>
            <w:r>
              <w:rPr>
                <w:kern w:val="20"/>
                <w:sz w:val="18"/>
              </w:rPr>
              <w:t xml:space="preserve">       0.20</w:t>
            </w:r>
          </w:p>
        </w:tc>
        <w:tc>
          <w:tcPr>
            <w:tcW w:w="892" w:type="dxa"/>
            <w:gridSpan w:val="2"/>
            <w:tcBorders>
              <w:top w:val="nil"/>
              <w:bottom w:val="nil"/>
            </w:tcBorders>
          </w:tcPr>
          <w:p w:rsidR="00000000" w:rsidRDefault="00000000">
            <w:pPr>
              <w:jc w:val="center"/>
              <w:rPr>
                <w:kern w:val="20"/>
                <w:sz w:val="18"/>
              </w:rPr>
            </w:pPr>
            <w:r>
              <w:rPr>
                <w:kern w:val="20"/>
                <w:sz w:val="18"/>
              </w:rPr>
              <w:t xml:space="preserve">  21</w:t>
            </w:r>
          </w:p>
        </w:tc>
        <w:tc>
          <w:tcPr>
            <w:tcW w:w="709" w:type="dxa"/>
            <w:tcBorders>
              <w:top w:val="nil"/>
              <w:bottom w:val="nil"/>
            </w:tcBorders>
          </w:tcPr>
          <w:p w:rsidR="00000000" w:rsidRDefault="00000000">
            <w:pPr>
              <w:rPr>
                <w:kern w:val="20"/>
                <w:sz w:val="18"/>
              </w:rPr>
            </w:pPr>
            <w:r>
              <w:rPr>
                <w:kern w:val="20"/>
                <w:sz w:val="18"/>
              </w:rPr>
              <w:t xml:space="preserve">   0.08</w:t>
            </w:r>
          </w:p>
        </w:tc>
        <w:tc>
          <w:tcPr>
            <w:tcW w:w="850" w:type="dxa"/>
            <w:tcBorders>
              <w:top w:val="nil"/>
              <w:bottom w:val="nil"/>
            </w:tcBorders>
          </w:tcPr>
          <w:p w:rsidR="00000000" w:rsidRDefault="00000000">
            <w:pPr>
              <w:rPr>
                <w:kern w:val="20"/>
                <w:sz w:val="18"/>
              </w:rPr>
            </w:pPr>
            <w:r>
              <w:rPr>
                <w:kern w:val="20"/>
                <w:sz w:val="18"/>
              </w:rPr>
              <w:t xml:space="preserve">    0.04</w:t>
            </w:r>
          </w:p>
        </w:tc>
        <w:tc>
          <w:tcPr>
            <w:tcW w:w="993" w:type="dxa"/>
            <w:tcBorders>
              <w:top w:val="nil"/>
              <w:bottom w:val="nil"/>
            </w:tcBorders>
          </w:tcPr>
          <w:p w:rsidR="00000000" w:rsidRDefault="00000000">
            <w:pPr>
              <w:rPr>
                <w:kern w:val="20"/>
                <w:sz w:val="18"/>
              </w:rPr>
            </w:pPr>
            <w:r>
              <w:rPr>
                <w:kern w:val="20"/>
                <w:sz w:val="18"/>
              </w:rPr>
              <w:t xml:space="preserve">      0.13</w:t>
            </w:r>
          </w:p>
        </w:tc>
        <w:tc>
          <w:tcPr>
            <w:tcW w:w="708" w:type="dxa"/>
            <w:tcBorders>
              <w:top w:val="nil"/>
              <w:bottom w:val="nil"/>
            </w:tcBorders>
          </w:tcPr>
          <w:p w:rsidR="00000000" w:rsidRDefault="00000000">
            <w:pPr>
              <w:rPr>
                <w:kern w:val="20"/>
                <w:sz w:val="18"/>
              </w:rPr>
            </w:pPr>
            <w:r>
              <w:rPr>
                <w:kern w:val="20"/>
                <w:sz w:val="18"/>
              </w:rPr>
              <w:t xml:space="preserve">   0.10</w:t>
            </w:r>
          </w:p>
        </w:tc>
        <w:tc>
          <w:tcPr>
            <w:tcW w:w="851" w:type="dxa"/>
            <w:tcBorders>
              <w:top w:val="nil"/>
              <w:bottom w:val="nil"/>
            </w:tcBorders>
          </w:tcPr>
          <w:p w:rsidR="00000000" w:rsidRDefault="00000000">
            <w:pPr>
              <w:rPr>
                <w:kern w:val="20"/>
                <w:sz w:val="18"/>
              </w:rPr>
            </w:pPr>
            <w:r>
              <w:rPr>
                <w:kern w:val="20"/>
                <w:sz w:val="18"/>
              </w:rPr>
              <w:t xml:space="preserve">     0.08</w:t>
            </w:r>
          </w:p>
        </w:tc>
        <w:tc>
          <w:tcPr>
            <w:tcW w:w="950" w:type="dxa"/>
            <w:gridSpan w:val="2"/>
            <w:tcBorders>
              <w:top w:val="nil"/>
              <w:bottom w:val="nil"/>
            </w:tcBorders>
          </w:tcPr>
          <w:p w:rsidR="00000000" w:rsidRDefault="00000000">
            <w:pPr>
              <w:rPr>
                <w:kern w:val="20"/>
                <w:sz w:val="18"/>
              </w:rPr>
            </w:pPr>
            <w:r>
              <w:rPr>
                <w:kern w:val="20"/>
                <w:sz w:val="18"/>
              </w:rPr>
              <w:t xml:space="preserve">          6</w:t>
            </w:r>
          </w:p>
        </w:tc>
        <w:tc>
          <w:tcPr>
            <w:tcW w:w="751" w:type="dxa"/>
            <w:tcBorders>
              <w:top w:val="nil"/>
              <w:bottom w:val="nil"/>
            </w:tcBorders>
          </w:tcPr>
          <w:p w:rsidR="00000000" w:rsidRDefault="00000000">
            <w:pPr>
              <w:rPr>
                <w:kern w:val="20"/>
                <w:sz w:val="18"/>
              </w:rPr>
            </w:pPr>
            <w:r>
              <w:rPr>
                <w:kern w:val="20"/>
                <w:sz w:val="18"/>
              </w:rPr>
              <w:t xml:space="preserve">    0.02</w:t>
            </w:r>
          </w:p>
        </w:tc>
        <w:tc>
          <w:tcPr>
            <w:tcW w:w="808" w:type="dxa"/>
            <w:tcBorders>
              <w:top w:val="nil"/>
              <w:bottom w:val="nil"/>
            </w:tcBorders>
          </w:tcPr>
          <w:p w:rsidR="00000000" w:rsidRDefault="00000000">
            <w:pPr>
              <w:rPr>
                <w:kern w:val="20"/>
                <w:sz w:val="18"/>
              </w:rPr>
            </w:pPr>
            <w:r>
              <w:rPr>
                <w:kern w:val="20"/>
                <w:sz w:val="18"/>
              </w:rPr>
              <w:t xml:space="preserve">     0.01</w:t>
            </w:r>
          </w:p>
        </w:tc>
        <w:tc>
          <w:tcPr>
            <w:tcW w:w="892" w:type="dxa"/>
            <w:tcBorders>
              <w:top w:val="nil"/>
              <w:bottom w:val="nil"/>
            </w:tcBorders>
          </w:tcPr>
          <w:p w:rsidR="00000000" w:rsidRDefault="00000000">
            <w:pPr>
              <w:rPr>
                <w:kern w:val="20"/>
                <w:sz w:val="18"/>
              </w:rPr>
            </w:pPr>
            <w:r>
              <w:rPr>
                <w:kern w:val="20"/>
                <w:sz w:val="18"/>
              </w:rPr>
              <w:t xml:space="preserve">      0.08</w:t>
            </w:r>
          </w:p>
        </w:tc>
        <w:tc>
          <w:tcPr>
            <w:tcW w:w="777" w:type="dxa"/>
            <w:tcBorders>
              <w:top w:val="nil"/>
              <w:bottom w:val="nil"/>
            </w:tcBorders>
          </w:tcPr>
          <w:p w:rsidR="00000000" w:rsidRDefault="00000000">
            <w:pPr>
              <w:rPr>
                <w:kern w:val="20"/>
                <w:sz w:val="18"/>
              </w:rPr>
            </w:pPr>
            <w:r>
              <w:rPr>
                <w:kern w:val="20"/>
                <w:sz w:val="18"/>
              </w:rPr>
              <w:t xml:space="preserve">   0.06</w:t>
            </w:r>
          </w:p>
        </w:tc>
        <w:tc>
          <w:tcPr>
            <w:tcW w:w="851" w:type="dxa"/>
            <w:tcBorders>
              <w:top w:val="nil"/>
              <w:bottom w:val="nil"/>
            </w:tcBorders>
          </w:tcPr>
          <w:p w:rsidR="00000000" w:rsidRDefault="00000000">
            <w:pPr>
              <w:rPr>
                <w:kern w:val="20"/>
                <w:sz w:val="18"/>
              </w:rPr>
            </w:pPr>
            <w:r>
              <w:rPr>
                <w:kern w:val="20"/>
                <w:sz w:val="18"/>
              </w:rPr>
              <w:t xml:space="preserve">    0.05</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Auxiliary services</w:t>
            </w:r>
          </w:p>
        </w:tc>
        <w:tc>
          <w:tcPr>
            <w:tcW w:w="993" w:type="dxa"/>
            <w:tcBorders>
              <w:top w:val="nil"/>
              <w:bottom w:val="nil"/>
            </w:tcBorders>
          </w:tcPr>
          <w:p w:rsidR="00000000" w:rsidRDefault="00000000">
            <w:pPr>
              <w:rPr>
                <w:kern w:val="20"/>
                <w:sz w:val="18"/>
              </w:rPr>
            </w:pPr>
            <w:r>
              <w:rPr>
                <w:kern w:val="20"/>
                <w:sz w:val="18"/>
              </w:rPr>
              <w:t xml:space="preserve">       1.90 </w:t>
            </w:r>
          </w:p>
        </w:tc>
        <w:tc>
          <w:tcPr>
            <w:tcW w:w="892" w:type="dxa"/>
            <w:gridSpan w:val="2"/>
            <w:tcBorders>
              <w:top w:val="nil"/>
              <w:bottom w:val="nil"/>
            </w:tcBorders>
          </w:tcPr>
          <w:p w:rsidR="00000000" w:rsidRDefault="00000000">
            <w:pPr>
              <w:jc w:val="center"/>
              <w:rPr>
                <w:kern w:val="20"/>
                <w:sz w:val="18"/>
              </w:rPr>
            </w:pPr>
            <w:r>
              <w:rPr>
                <w:kern w:val="20"/>
                <w:sz w:val="18"/>
              </w:rPr>
              <w:t xml:space="preserve">  27</w:t>
            </w:r>
          </w:p>
        </w:tc>
        <w:tc>
          <w:tcPr>
            <w:tcW w:w="709" w:type="dxa"/>
            <w:tcBorders>
              <w:top w:val="nil"/>
              <w:bottom w:val="nil"/>
            </w:tcBorders>
          </w:tcPr>
          <w:p w:rsidR="00000000" w:rsidRDefault="00000000">
            <w:pPr>
              <w:rPr>
                <w:kern w:val="20"/>
                <w:sz w:val="18"/>
              </w:rPr>
            </w:pPr>
            <w:r>
              <w:rPr>
                <w:kern w:val="20"/>
                <w:sz w:val="18"/>
              </w:rPr>
              <w:t xml:space="preserve">   0.09</w:t>
            </w:r>
          </w:p>
        </w:tc>
        <w:tc>
          <w:tcPr>
            <w:tcW w:w="850" w:type="dxa"/>
            <w:tcBorders>
              <w:top w:val="nil"/>
              <w:bottom w:val="nil"/>
            </w:tcBorders>
          </w:tcPr>
          <w:p w:rsidR="00000000" w:rsidRDefault="00000000">
            <w:pPr>
              <w:rPr>
                <w:kern w:val="20"/>
                <w:sz w:val="18"/>
              </w:rPr>
            </w:pPr>
            <w:r>
              <w:rPr>
                <w:kern w:val="20"/>
                <w:sz w:val="18"/>
              </w:rPr>
              <w:t xml:space="preserve">    0.04</w:t>
            </w:r>
          </w:p>
        </w:tc>
        <w:tc>
          <w:tcPr>
            <w:tcW w:w="993" w:type="dxa"/>
            <w:tcBorders>
              <w:top w:val="nil"/>
              <w:bottom w:val="nil"/>
            </w:tcBorders>
          </w:tcPr>
          <w:p w:rsidR="00000000" w:rsidRDefault="00000000">
            <w:pPr>
              <w:rPr>
                <w:kern w:val="20"/>
                <w:sz w:val="18"/>
              </w:rPr>
            </w:pPr>
            <w:r>
              <w:rPr>
                <w:kern w:val="20"/>
                <w:sz w:val="18"/>
              </w:rPr>
              <w:t xml:space="preserve">      1.54</w:t>
            </w:r>
          </w:p>
        </w:tc>
        <w:tc>
          <w:tcPr>
            <w:tcW w:w="708" w:type="dxa"/>
            <w:tcBorders>
              <w:top w:val="nil"/>
              <w:bottom w:val="nil"/>
            </w:tcBorders>
          </w:tcPr>
          <w:p w:rsidR="00000000" w:rsidRDefault="00000000">
            <w:pPr>
              <w:rPr>
                <w:kern w:val="20"/>
                <w:sz w:val="18"/>
              </w:rPr>
            </w:pPr>
            <w:r>
              <w:rPr>
                <w:kern w:val="20"/>
                <w:sz w:val="18"/>
              </w:rPr>
              <w:t xml:space="preserve">   1.15</w:t>
            </w:r>
          </w:p>
        </w:tc>
        <w:tc>
          <w:tcPr>
            <w:tcW w:w="851" w:type="dxa"/>
            <w:tcBorders>
              <w:top w:val="nil"/>
              <w:bottom w:val="nil"/>
            </w:tcBorders>
          </w:tcPr>
          <w:p w:rsidR="00000000" w:rsidRDefault="00000000">
            <w:pPr>
              <w:rPr>
                <w:kern w:val="20"/>
                <w:sz w:val="18"/>
              </w:rPr>
            </w:pPr>
            <w:r>
              <w:rPr>
                <w:kern w:val="20"/>
                <w:sz w:val="18"/>
              </w:rPr>
              <w:t xml:space="preserve">     0.89</w:t>
            </w:r>
          </w:p>
        </w:tc>
        <w:tc>
          <w:tcPr>
            <w:tcW w:w="950" w:type="dxa"/>
            <w:gridSpan w:val="2"/>
            <w:tcBorders>
              <w:top w:val="nil"/>
              <w:bottom w:val="nil"/>
            </w:tcBorders>
          </w:tcPr>
          <w:p w:rsidR="00000000" w:rsidRDefault="00000000">
            <w:pPr>
              <w:rPr>
                <w:kern w:val="20"/>
                <w:sz w:val="18"/>
              </w:rPr>
            </w:pPr>
            <w:r>
              <w:rPr>
                <w:kern w:val="20"/>
                <w:sz w:val="18"/>
              </w:rPr>
              <w:t xml:space="preserve">          7</w:t>
            </w:r>
          </w:p>
        </w:tc>
        <w:tc>
          <w:tcPr>
            <w:tcW w:w="751" w:type="dxa"/>
            <w:tcBorders>
              <w:top w:val="nil"/>
              <w:bottom w:val="nil"/>
            </w:tcBorders>
          </w:tcPr>
          <w:p w:rsidR="00000000" w:rsidRDefault="00000000">
            <w:pPr>
              <w:rPr>
                <w:kern w:val="20"/>
                <w:sz w:val="18"/>
              </w:rPr>
            </w:pPr>
            <w:r>
              <w:rPr>
                <w:kern w:val="20"/>
                <w:sz w:val="18"/>
              </w:rPr>
              <w:t xml:space="preserve">    0.02</w:t>
            </w:r>
          </w:p>
        </w:tc>
        <w:tc>
          <w:tcPr>
            <w:tcW w:w="808" w:type="dxa"/>
            <w:tcBorders>
              <w:top w:val="nil"/>
              <w:bottom w:val="nil"/>
            </w:tcBorders>
          </w:tcPr>
          <w:p w:rsidR="00000000" w:rsidRDefault="00000000">
            <w:pPr>
              <w:rPr>
                <w:kern w:val="20"/>
                <w:sz w:val="18"/>
              </w:rPr>
            </w:pPr>
            <w:r>
              <w:rPr>
                <w:kern w:val="20"/>
                <w:sz w:val="18"/>
              </w:rPr>
              <w:t xml:space="preserve">     0.01</w:t>
            </w:r>
          </w:p>
        </w:tc>
        <w:tc>
          <w:tcPr>
            <w:tcW w:w="892" w:type="dxa"/>
            <w:tcBorders>
              <w:top w:val="nil"/>
              <w:bottom w:val="nil"/>
            </w:tcBorders>
          </w:tcPr>
          <w:p w:rsidR="00000000" w:rsidRDefault="00000000">
            <w:pPr>
              <w:rPr>
                <w:kern w:val="20"/>
                <w:sz w:val="18"/>
              </w:rPr>
            </w:pPr>
            <w:r>
              <w:rPr>
                <w:kern w:val="20"/>
                <w:sz w:val="18"/>
              </w:rPr>
              <w:t xml:space="preserve">      0.89</w:t>
            </w:r>
          </w:p>
        </w:tc>
        <w:tc>
          <w:tcPr>
            <w:tcW w:w="777" w:type="dxa"/>
            <w:tcBorders>
              <w:top w:val="nil"/>
              <w:bottom w:val="nil"/>
            </w:tcBorders>
          </w:tcPr>
          <w:p w:rsidR="00000000" w:rsidRDefault="00000000">
            <w:pPr>
              <w:rPr>
                <w:kern w:val="20"/>
                <w:sz w:val="18"/>
              </w:rPr>
            </w:pPr>
            <w:r>
              <w:rPr>
                <w:kern w:val="20"/>
                <w:sz w:val="18"/>
              </w:rPr>
              <w:t xml:space="preserve">   0.55</w:t>
            </w:r>
          </w:p>
        </w:tc>
        <w:tc>
          <w:tcPr>
            <w:tcW w:w="851" w:type="dxa"/>
            <w:tcBorders>
              <w:top w:val="nil"/>
              <w:bottom w:val="nil"/>
            </w:tcBorders>
          </w:tcPr>
          <w:p w:rsidR="00000000" w:rsidRDefault="00000000">
            <w:pPr>
              <w:rPr>
                <w:kern w:val="20"/>
                <w:sz w:val="18"/>
              </w:rPr>
            </w:pPr>
            <w:r>
              <w:rPr>
                <w:kern w:val="20"/>
                <w:sz w:val="18"/>
              </w:rPr>
              <w:t xml:space="preserve">    0.36</w:t>
            </w:r>
          </w:p>
        </w:tc>
      </w:tr>
      <w:tr w:rsidR="00000000">
        <w:tblPrEx>
          <w:tblCellMar>
            <w:top w:w="0" w:type="dxa"/>
            <w:bottom w:w="0" w:type="dxa"/>
          </w:tblCellMar>
        </w:tblPrEx>
        <w:tc>
          <w:tcPr>
            <w:tcW w:w="1701" w:type="dxa"/>
            <w:tcBorders>
              <w:top w:val="nil"/>
            </w:tcBorders>
          </w:tcPr>
          <w:p w:rsidR="00000000" w:rsidRDefault="00000000">
            <w:pPr>
              <w:rPr>
                <w:kern w:val="20"/>
                <w:sz w:val="18"/>
              </w:rPr>
            </w:pPr>
            <w:r>
              <w:rPr>
                <w:kern w:val="20"/>
                <w:sz w:val="18"/>
              </w:rPr>
              <w:t>Barbershop and</w:t>
            </w:r>
          </w:p>
          <w:p w:rsidR="00000000" w:rsidRDefault="00000000">
            <w:pPr>
              <w:rPr>
                <w:kern w:val="20"/>
                <w:sz w:val="18"/>
              </w:rPr>
            </w:pPr>
            <w:r>
              <w:rPr>
                <w:kern w:val="20"/>
                <w:sz w:val="18"/>
              </w:rPr>
              <w:t xml:space="preserve">  beauty parlour</w:t>
            </w:r>
          </w:p>
          <w:p w:rsidR="00000000" w:rsidRDefault="00000000">
            <w:pPr>
              <w:rPr>
                <w:kern w:val="20"/>
                <w:sz w:val="18"/>
              </w:rPr>
            </w:pPr>
            <w:r>
              <w:rPr>
                <w:kern w:val="20"/>
                <w:sz w:val="18"/>
              </w:rPr>
              <w:t xml:space="preserve">  services</w:t>
            </w:r>
          </w:p>
        </w:tc>
        <w:tc>
          <w:tcPr>
            <w:tcW w:w="993" w:type="dxa"/>
            <w:tcBorders>
              <w:top w:val="nil"/>
            </w:tcBorders>
          </w:tcPr>
          <w:p w:rsidR="00000000" w:rsidRDefault="00000000">
            <w:pPr>
              <w:rPr>
                <w:kern w:val="20"/>
                <w:sz w:val="18"/>
              </w:rPr>
            </w:pPr>
            <w:r>
              <w:rPr>
                <w:kern w:val="20"/>
                <w:sz w:val="18"/>
              </w:rPr>
              <w:t xml:space="preserve">       0.40 </w:t>
            </w:r>
          </w:p>
        </w:tc>
        <w:tc>
          <w:tcPr>
            <w:tcW w:w="892" w:type="dxa"/>
            <w:gridSpan w:val="2"/>
            <w:tcBorders>
              <w:top w:val="nil"/>
            </w:tcBorders>
          </w:tcPr>
          <w:p w:rsidR="00000000" w:rsidRDefault="00000000">
            <w:pPr>
              <w:jc w:val="center"/>
              <w:rPr>
                <w:kern w:val="20"/>
                <w:sz w:val="18"/>
              </w:rPr>
            </w:pPr>
            <w:r>
              <w:rPr>
                <w:kern w:val="20"/>
                <w:sz w:val="18"/>
              </w:rPr>
              <w:t xml:space="preserve">  14</w:t>
            </w:r>
          </w:p>
        </w:tc>
        <w:tc>
          <w:tcPr>
            <w:tcW w:w="709" w:type="dxa"/>
            <w:tcBorders>
              <w:top w:val="nil"/>
            </w:tcBorders>
          </w:tcPr>
          <w:p w:rsidR="00000000" w:rsidRDefault="00000000">
            <w:pPr>
              <w:rPr>
                <w:kern w:val="20"/>
                <w:sz w:val="18"/>
              </w:rPr>
            </w:pPr>
            <w:r>
              <w:rPr>
                <w:kern w:val="20"/>
                <w:sz w:val="18"/>
              </w:rPr>
              <w:t xml:space="preserve">   0.05</w:t>
            </w:r>
          </w:p>
        </w:tc>
        <w:tc>
          <w:tcPr>
            <w:tcW w:w="850" w:type="dxa"/>
            <w:tcBorders>
              <w:top w:val="nil"/>
            </w:tcBorders>
          </w:tcPr>
          <w:p w:rsidR="00000000" w:rsidRDefault="00000000">
            <w:pPr>
              <w:rPr>
                <w:kern w:val="20"/>
                <w:sz w:val="18"/>
              </w:rPr>
            </w:pPr>
            <w:r>
              <w:rPr>
                <w:kern w:val="20"/>
                <w:sz w:val="18"/>
              </w:rPr>
              <w:t xml:space="preserve">    0.03</w:t>
            </w:r>
          </w:p>
        </w:tc>
        <w:tc>
          <w:tcPr>
            <w:tcW w:w="993" w:type="dxa"/>
            <w:tcBorders>
              <w:top w:val="nil"/>
            </w:tcBorders>
          </w:tcPr>
          <w:p w:rsidR="00000000" w:rsidRDefault="00000000">
            <w:pPr>
              <w:rPr>
                <w:kern w:val="20"/>
                <w:sz w:val="18"/>
              </w:rPr>
            </w:pPr>
            <w:r>
              <w:rPr>
                <w:kern w:val="20"/>
                <w:sz w:val="18"/>
              </w:rPr>
              <w:t xml:space="preserve">      0.17</w:t>
            </w:r>
          </w:p>
        </w:tc>
        <w:tc>
          <w:tcPr>
            <w:tcW w:w="708" w:type="dxa"/>
            <w:tcBorders>
              <w:top w:val="nil"/>
            </w:tcBorders>
          </w:tcPr>
          <w:p w:rsidR="00000000" w:rsidRDefault="00000000">
            <w:pPr>
              <w:rPr>
                <w:kern w:val="20"/>
                <w:sz w:val="18"/>
              </w:rPr>
            </w:pPr>
            <w:r>
              <w:rPr>
                <w:kern w:val="20"/>
                <w:sz w:val="18"/>
              </w:rPr>
              <w:t xml:space="preserve">   0.13</w:t>
            </w:r>
          </w:p>
        </w:tc>
        <w:tc>
          <w:tcPr>
            <w:tcW w:w="851" w:type="dxa"/>
            <w:tcBorders>
              <w:top w:val="nil"/>
            </w:tcBorders>
          </w:tcPr>
          <w:p w:rsidR="00000000" w:rsidRDefault="00000000">
            <w:pPr>
              <w:rPr>
                <w:kern w:val="20"/>
                <w:sz w:val="18"/>
              </w:rPr>
            </w:pPr>
            <w:r>
              <w:rPr>
                <w:kern w:val="20"/>
                <w:sz w:val="18"/>
              </w:rPr>
              <w:t xml:space="preserve">     0.11</w:t>
            </w:r>
          </w:p>
        </w:tc>
        <w:tc>
          <w:tcPr>
            <w:tcW w:w="950" w:type="dxa"/>
            <w:gridSpan w:val="2"/>
            <w:tcBorders>
              <w:top w:val="nil"/>
            </w:tcBorders>
          </w:tcPr>
          <w:p w:rsidR="00000000" w:rsidRDefault="00000000">
            <w:pPr>
              <w:rPr>
                <w:kern w:val="20"/>
                <w:sz w:val="18"/>
              </w:rPr>
            </w:pPr>
            <w:r>
              <w:rPr>
                <w:kern w:val="20"/>
                <w:sz w:val="18"/>
              </w:rPr>
              <w:t xml:space="preserve">          4</w:t>
            </w:r>
          </w:p>
        </w:tc>
        <w:tc>
          <w:tcPr>
            <w:tcW w:w="751" w:type="dxa"/>
            <w:tcBorders>
              <w:top w:val="nil"/>
            </w:tcBorders>
          </w:tcPr>
          <w:p w:rsidR="00000000" w:rsidRDefault="00000000">
            <w:pPr>
              <w:rPr>
                <w:kern w:val="20"/>
                <w:sz w:val="18"/>
              </w:rPr>
            </w:pPr>
            <w:r>
              <w:rPr>
                <w:kern w:val="20"/>
                <w:sz w:val="18"/>
              </w:rPr>
              <w:t xml:space="preserve">    0.01</w:t>
            </w:r>
          </w:p>
        </w:tc>
        <w:tc>
          <w:tcPr>
            <w:tcW w:w="808" w:type="dxa"/>
            <w:tcBorders>
              <w:top w:val="nil"/>
            </w:tcBorders>
          </w:tcPr>
          <w:p w:rsidR="00000000" w:rsidRDefault="00000000">
            <w:pPr>
              <w:rPr>
                <w:kern w:val="20"/>
                <w:sz w:val="18"/>
              </w:rPr>
            </w:pPr>
            <w:r>
              <w:rPr>
                <w:kern w:val="20"/>
                <w:sz w:val="18"/>
              </w:rPr>
              <w:t xml:space="preserve">     0.01</w:t>
            </w:r>
          </w:p>
        </w:tc>
        <w:tc>
          <w:tcPr>
            <w:tcW w:w="892" w:type="dxa"/>
            <w:tcBorders>
              <w:top w:val="nil"/>
            </w:tcBorders>
          </w:tcPr>
          <w:p w:rsidR="00000000" w:rsidRDefault="00000000">
            <w:pPr>
              <w:rPr>
                <w:kern w:val="20"/>
                <w:sz w:val="18"/>
              </w:rPr>
            </w:pPr>
            <w:r>
              <w:rPr>
                <w:kern w:val="20"/>
                <w:sz w:val="18"/>
              </w:rPr>
              <w:t xml:space="preserve">      0.11</w:t>
            </w:r>
          </w:p>
        </w:tc>
        <w:tc>
          <w:tcPr>
            <w:tcW w:w="777" w:type="dxa"/>
            <w:tcBorders>
              <w:top w:val="nil"/>
            </w:tcBorders>
          </w:tcPr>
          <w:p w:rsidR="00000000" w:rsidRDefault="00000000">
            <w:pPr>
              <w:rPr>
                <w:kern w:val="20"/>
                <w:sz w:val="18"/>
              </w:rPr>
            </w:pPr>
            <w:r>
              <w:rPr>
                <w:kern w:val="20"/>
                <w:sz w:val="18"/>
              </w:rPr>
              <w:t xml:space="preserve">   0.08</w:t>
            </w:r>
          </w:p>
        </w:tc>
        <w:tc>
          <w:tcPr>
            <w:tcW w:w="851" w:type="dxa"/>
            <w:tcBorders>
              <w:top w:val="nil"/>
            </w:tcBorders>
          </w:tcPr>
          <w:p w:rsidR="00000000" w:rsidRDefault="00000000">
            <w:pPr>
              <w:rPr>
                <w:kern w:val="20"/>
                <w:sz w:val="18"/>
              </w:rPr>
            </w:pPr>
            <w:r>
              <w:rPr>
                <w:kern w:val="20"/>
                <w:sz w:val="18"/>
              </w:rPr>
              <w:t xml:space="preserve">    0.07</w:t>
            </w:r>
          </w:p>
        </w:tc>
      </w:tr>
    </w:tbl>
    <w:p w:rsidR="00000000" w:rsidRDefault="00000000"/>
    <w:p w:rsidR="00000000" w:rsidRDefault="00000000">
      <w:r>
        <w:br w:type="page"/>
      </w:r>
    </w:p>
    <w:tbl>
      <w:tblPr>
        <w:tblW w:w="1272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28" w:type="dxa"/>
        </w:tblCellMar>
        <w:tblLook w:val="0000" w:firstRow="0" w:lastRow="0" w:firstColumn="0" w:lastColumn="0" w:noHBand="0" w:noVBand="0"/>
      </w:tblPr>
      <w:tblGrid>
        <w:gridCol w:w="1701"/>
        <w:gridCol w:w="993"/>
        <w:gridCol w:w="6"/>
        <w:gridCol w:w="886"/>
        <w:gridCol w:w="709"/>
        <w:gridCol w:w="850"/>
        <w:gridCol w:w="993"/>
        <w:gridCol w:w="708"/>
        <w:gridCol w:w="851"/>
        <w:gridCol w:w="927"/>
        <w:gridCol w:w="23"/>
        <w:gridCol w:w="751"/>
        <w:gridCol w:w="808"/>
        <w:gridCol w:w="892"/>
        <w:gridCol w:w="777"/>
        <w:gridCol w:w="851"/>
      </w:tblGrid>
      <w:tr w:rsidR="00000000">
        <w:tblPrEx>
          <w:tblCellMar>
            <w:top w:w="0" w:type="dxa"/>
            <w:bottom w:w="0" w:type="dxa"/>
          </w:tblCellMar>
        </w:tblPrEx>
        <w:trPr>
          <w:tblHeader/>
        </w:trPr>
        <w:tc>
          <w:tcPr>
            <w:tcW w:w="12726" w:type="dxa"/>
            <w:gridSpan w:val="16"/>
            <w:tcBorders>
              <w:top w:val="nil"/>
              <w:left w:val="nil"/>
              <w:right w:val="nil"/>
            </w:tcBorders>
          </w:tcPr>
          <w:p w:rsidR="00000000" w:rsidRDefault="00000000">
            <w:pPr>
              <w:jc w:val="center"/>
              <w:rPr>
                <w:b/>
                <w:bCs/>
              </w:rPr>
            </w:pPr>
            <w:r>
              <w:br w:type="page"/>
            </w:r>
            <w:r>
              <w:rPr>
                <w:b/>
                <w:bCs/>
              </w:rPr>
              <w:t>Table 45  (</w:t>
            </w:r>
            <w:r>
              <w:rPr>
                <w:b/>
                <w:bCs/>
                <w:u w:val="single"/>
              </w:rPr>
              <w:t>continued</w:t>
            </w:r>
            <w:r>
              <w:rPr>
                <w:b/>
                <w:bCs/>
              </w:rPr>
              <w:t>)</w:t>
            </w:r>
          </w:p>
          <w:p w:rsidR="00000000" w:rsidRDefault="00000000">
            <w:pPr>
              <w:jc w:val="center"/>
              <w:rPr>
                <w:b/>
                <w:bCs/>
              </w:rPr>
            </w:pPr>
          </w:p>
          <w:p w:rsidR="00000000" w:rsidRDefault="00000000">
            <w:pPr>
              <w:jc w:val="center"/>
              <w:rPr>
                <w:kern w:val="20"/>
                <w:sz w:val="18"/>
              </w:rPr>
            </w:pPr>
          </w:p>
        </w:tc>
      </w:tr>
      <w:tr w:rsidR="00000000">
        <w:tblPrEx>
          <w:tblCellMar>
            <w:top w:w="0" w:type="dxa"/>
            <w:bottom w:w="0" w:type="dxa"/>
          </w:tblCellMar>
        </w:tblPrEx>
        <w:trPr>
          <w:cantSplit/>
          <w:tblHeader/>
        </w:trPr>
        <w:tc>
          <w:tcPr>
            <w:tcW w:w="1701" w:type="dxa"/>
            <w:tcBorders>
              <w:bottom w:val="nil"/>
            </w:tcBorders>
          </w:tcPr>
          <w:p w:rsidR="00000000" w:rsidRDefault="00000000">
            <w:pPr>
              <w:rPr>
                <w:kern w:val="20"/>
                <w:sz w:val="18"/>
              </w:rPr>
            </w:pPr>
          </w:p>
        </w:tc>
        <w:tc>
          <w:tcPr>
            <w:tcW w:w="999" w:type="dxa"/>
            <w:gridSpan w:val="2"/>
            <w:tcBorders>
              <w:bottom w:val="nil"/>
            </w:tcBorders>
          </w:tcPr>
          <w:p w:rsidR="00000000" w:rsidRDefault="00000000">
            <w:pPr>
              <w:jc w:val="center"/>
              <w:rPr>
                <w:kern w:val="20"/>
                <w:sz w:val="18"/>
              </w:rPr>
            </w:pPr>
          </w:p>
        </w:tc>
        <w:tc>
          <w:tcPr>
            <w:tcW w:w="4997" w:type="dxa"/>
            <w:gridSpan w:val="6"/>
          </w:tcPr>
          <w:p w:rsidR="00000000" w:rsidRDefault="00000000">
            <w:pPr>
              <w:jc w:val="center"/>
              <w:rPr>
                <w:kern w:val="20"/>
                <w:sz w:val="18"/>
              </w:rPr>
            </w:pPr>
            <w:r>
              <w:rPr>
                <w:kern w:val="20"/>
                <w:sz w:val="18"/>
              </w:rPr>
              <w:t>Poverty line</w:t>
            </w:r>
          </w:p>
        </w:tc>
        <w:tc>
          <w:tcPr>
            <w:tcW w:w="5029" w:type="dxa"/>
            <w:gridSpan w:val="7"/>
          </w:tcPr>
          <w:p w:rsidR="00000000" w:rsidRDefault="00000000">
            <w:pPr>
              <w:jc w:val="center"/>
              <w:rPr>
                <w:kern w:val="20"/>
                <w:sz w:val="18"/>
              </w:rPr>
            </w:pPr>
            <w:r>
              <w:rPr>
                <w:kern w:val="20"/>
                <w:sz w:val="18"/>
              </w:rPr>
              <w:t>Extreme poverty line</w:t>
            </w:r>
          </w:p>
        </w:tc>
      </w:tr>
      <w:tr w:rsidR="00000000">
        <w:tblPrEx>
          <w:tblCellMar>
            <w:top w:w="0" w:type="dxa"/>
            <w:bottom w:w="0" w:type="dxa"/>
          </w:tblCellMar>
        </w:tblPrEx>
        <w:trPr>
          <w:tblHeader/>
        </w:trPr>
        <w:tc>
          <w:tcPr>
            <w:tcW w:w="1701" w:type="dxa"/>
            <w:tcBorders>
              <w:top w:val="nil"/>
              <w:bottom w:val="nil"/>
            </w:tcBorders>
          </w:tcPr>
          <w:p w:rsidR="00000000" w:rsidRDefault="00000000">
            <w:pPr>
              <w:rPr>
                <w:kern w:val="20"/>
                <w:sz w:val="18"/>
              </w:rPr>
            </w:pPr>
          </w:p>
        </w:tc>
        <w:tc>
          <w:tcPr>
            <w:tcW w:w="993" w:type="dxa"/>
            <w:tcBorders>
              <w:top w:val="nil"/>
            </w:tcBorders>
          </w:tcPr>
          <w:p w:rsidR="00000000" w:rsidRDefault="00000000">
            <w:pPr>
              <w:rPr>
                <w:kern w:val="20"/>
                <w:sz w:val="18"/>
              </w:rPr>
            </w:pPr>
          </w:p>
        </w:tc>
        <w:tc>
          <w:tcPr>
            <w:tcW w:w="2451" w:type="dxa"/>
            <w:gridSpan w:val="4"/>
          </w:tcPr>
          <w:p w:rsidR="00000000" w:rsidRDefault="00000000">
            <w:pPr>
              <w:jc w:val="center"/>
              <w:rPr>
                <w:kern w:val="20"/>
                <w:sz w:val="18"/>
              </w:rPr>
            </w:pPr>
            <w:r>
              <w:rPr>
                <w:kern w:val="20"/>
                <w:sz w:val="18"/>
              </w:rPr>
              <w:t>Incidence of poverty within category</w:t>
            </w:r>
          </w:p>
        </w:tc>
        <w:tc>
          <w:tcPr>
            <w:tcW w:w="2552" w:type="dxa"/>
            <w:gridSpan w:val="3"/>
          </w:tcPr>
          <w:p w:rsidR="00000000" w:rsidRDefault="00000000">
            <w:pPr>
              <w:jc w:val="center"/>
              <w:rPr>
                <w:kern w:val="20"/>
                <w:sz w:val="18"/>
              </w:rPr>
            </w:pPr>
            <w:r>
              <w:rPr>
                <w:kern w:val="20"/>
                <w:sz w:val="18"/>
              </w:rPr>
              <w:t>Distribution of poverty across category</w:t>
            </w:r>
          </w:p>
        </w:tc>
        <w:tc>
          <w:tcPr>
            <w:tcW w:w="2509" w:type="dxa"/>
            <w:gridSpan w:val="4"/>
          </w:tcPr>
          <w:p w:rsidR="00000000" w:rsidRDefault="00000000">
            <w:pPr>
              <w:jc w:val="center"/>
              <w:rPr>
                <w:kern w:val="20"/>
                <w:sz w:val="18"/>
              </w:rPr>
            </w:pPr>
            <w:r>
              <w:rPr>
                <w:kern w:val="20"/>
                <w:sz w:val="18"/>
              </w:rPr>
              <w:t>Incidence of poverty within category</w:t>
            </w:r>
          </w:p>
        </w:tc>
        <w:tc>
          <w:tcPr>
            <w:tcW w:w="2520" w:type="dxa"/>
            <w:gridSpan w:val="3"/>
          </w:tcPr>
          <w:p w:rsidR="00000000" w:rsidRDefault="00000000">
            <w:pPr>
              <w:jc w:val="center"/>
              <w:rPr>
                <w:kern w:val="20"/>
                <w:sz w:val="18"/>
              </w:rPr>
            </w:pPr>
            <w:r>
              <w:rPr>
                <w:kern w:val="20"/>
                <w:sz w:val="18"/>
              </w:rPr>
              <w:t>Distribution of poverty across category</w:t>
            </w:r>
          </w:p>
        </w:tc>
      </w:tr>
      <w:tr w:rsidR="00000000">
        <w:tblPrEx>
          <w:tblCellMar>
            <w:top w:w="0" w:type="dxa"/>
            <w:bottom w:w="0" w:type="dxa"/>
          </w:tblCellMar>
        </w:tblPrEx>
        <w:trPr>
          <w:tblHeader/>
        </w:trPr>
        <w:tc>
          <w:tcPr>
            <w:tcW w:w="1701" w:type="dxa"/>
            <w:tcBorders>
              <w:top w:val="nil"/>
            </w:tcBorders>
          </w:tcPr>
          <w:p w:rsidR="00000000" w:rsidRDefault="00000000">
            <w:pPr>
              <w:rPr>
                <w:kern w:val="20"/>
                <w:sz w:val="18"/>
              </w:rPr>
            </w:pPr>
          </w:p>
        </w:tc>
        <w:tc>
          <w:tcPr>
            <w:tcW w:w="993" w:type="dxa"/>
          </w:tcPr>
          <w:p w:rsidR="00000000" w:rsidRDefault="00000000">
            <w:pPr>
              <w:jc w:val="center"/>
              <w:rPr>
                <w:kern w:val="20"/>
                <w:sz w:val="18"/>
              </w:rPr>
            </w:pPr>
            <w:r>
              <w:rPr>
                <w:kern w:val="20"/>
                <w:sz w:val="18"/>
              </w:rPr>
              <w:t>Frequency</w:t>
            </w:r>
          </w:p>
          <w:p w:rsidR="00000000" w:rsidRDefault="00000000">
            <w:pPr>
              <w:jc w:val="center"/>
              <w:rPr>
                <w:kern w:val="20"/>
                <w:sz w:val="18"/>
              </w:rPr>
            </w:pPr>
            <w:r>
              <w:rPr>
                <w:kern w:val="20"/>
                <w:sz w:val="18"/>
              </w:rPr>
              <w:t>in the population</w:t>
            </w:r>
          </w:p>
        </w:tc>
        <w:tc>
          <w:tcPr>
            <w:tcW w:w="892" w:type="dxa"/>
            <w:gridSpan w:val="2"/>
          </w:tcPr>
          <w:p w:rsidR="00000000" w:rsidRDefault="00000000">
            <w:pPr>
              <w:jc w:val="center"/>
              <w:rPr>
                <w:kern w:val="20"/>
                <w:sz w:val="18"/>
              </w:rPr>
            </w:pPr>
            <w:r>
              <w:rPr>
                <w:kern w:val="20"/>
                <w:sz w:val="18"/>
              </w:rPr>
              <w:t>Percentage</w:t>
            </w:r>
          </w:p>
          <w:p w:rsidR="00000000" w:rsidRDefault="00000000">
            <w:pPr>
              <w:jc w:val="center"/>
              <w:rPr>
                <w:kern w:val="20"/>
                <w:sz w:val="18"/>
              </w:rPr>
            </w:pPr>
            <w:r>
              <w:rPr>
                <w:kern w:val="20"/>
                <w:sz w:val="18"/>
              </w:rPr>
              <w:t>of poor</w:t>
            </w:r>
          </w:p>
        </w:tc>
        <w:tc>
          <w:tcPr>
            <w:tcW w:w="709" w:type="dxa"/>
          </w:tcPr>
          <w:p w:rsidR="00000000" w:rsidRDefault="00000000">
            <w:pPr>
              <w:jc w:val="center"/>
              <w:rPr>
                <w:kern w:val="20"/>
                <w:sz w:val="18"/>
              </w:rPr>
            </w:pPr>
            <w:r>
              <w:rPr>
                <w:kern w:val="20"/>
                <w:sz w:val="18"/>
              </w:rPr>
              <w:t>Average income gap</w:t>
            </w:r>
          </w:p>
        </w:tc>
        <w:tc>
          <w:tcPr>
            <w:tcW w:w="850" w:type="dxa"/>
          </w:tcPr>
          <w:p w:rsidR="00000000" w:rsidRDefault="00000000">
            <w:pPr>
              <w:jc w:val="center"/>
              <w:rPr>
                <w:kern w:val="20"/>
                <w:sz w:val="18"/>
              </w:rPr>
            </w:pPr>
            <w:r>
              <w:rPr>
                <w:kern w:val="20"/>
                <w:sz w:val="18"/>
              </w:rPr>
              <w:t>Quadratic average income</w:t>
            </w:r>
          </w:p>
          <w:p w:rsidR="00000000" w:rsidRDefault="00000000">
            <w:pPr>
              <w:jc w:val="center"/>
              <w:rPr>
                <w:kern w:val="20"/>
                <w:sz w:val="18"/>
              </w:rPr>
            </w:pPr>
            <w:r>
              <w:rPr>
                <w:kern w:val="20"/>
                <w:sz w:val="18"/>
              </w:rPr>
              <w:t>gap</w:t>
            </w:r>
          </w:p>
        </w:tc>
        <w:tc>
          <w:tcPr>
            <w:tcW w:w="993" w:type="dxa"/>
          </w:tcPr>
          <w:p w:rsidR="00000000" w:rsidRDefault="00000000">
            <w:pPr>
              <w:jc w:val="center"/>
              <w:rPr>
                <w:kern w:val="20"/>
                <w:sz w:val="18"/>
              </w:rPr>
            </w:pPr>
            <w:r>
              <w:rPr>
                <w:kern w:val="20"/>
                <w:sz w:val="18"/>
              </w:rPr>
              <w:t>Percentage of poor</w:t>
            </w:r>
          </w:p>
        </w:tc>
        <w:tc>
          <w:tcPr>
            <w:tcW w:w="708" w:type="dxa"/>
          </w:tcPr>
          <w:p w:rsidR="00000000" w:rsidRDefault="00000000">
            <w:pPr>
              <w:jc w:val="center"/>
              <w:rPr>
                <w:kern w:val="20"/>
                <w:sz w:val="18"/>
              </w:rPr>
            </w:pPr>
            <w:r>
              <w:rPr>
                <w:kern w:val="20"/>
                <w:sz w:val="18"/>
              </w:rPr>
              <w:t>Average income gap</w:t>
            </w:r>
          </w:p>
        </w:tc>
        <w:tc>
          <w:tcPr>
            <w:tcW w:w="851" w:type="dxa"/>
          </w:tcPr>
          <w:p w:rsidR="00000000" w:rsidRDefault="00000000">
            <w:pPr>
              <w:jc w:val="center"/>
              <w:rPr>
                <w:kern w:val="20"/>
                <w:sz w:val="18"/>
              </w:rPr>
            </w:pPr>
            <w:r>
              <w:rPr>
                <w:kern w:val="20"/>
                <w:sz w:val="18"/>
              </w:rPr>
              <w:t>Quadratic average income</w:t>
            </w:r>
          </w:p>
          <w:p w:rsidR="00000000" w:rsidRDefault="00000000">
            <w:pPr>
              <w:jc w:val="center"/>
              <w:rPr>
                <w:kern w:val="20"/>
                <w:sz w:val="18"/>
              </w:rPr>
            </w:pPr>
            <w:r>
              <w:rPr>
                <w:kern w:val="20"/>
                <w:sz w:val="18"/>
              </w:rPr>
              <w:t>gap</w:t>
            </w:r>
          </w:p>
        </w:tc>
        <w:tc>
          <w:tcPr>
            <w:tcW w:w="927" w:type="dxa"/>
          </w:tcPr>
          <w:p w:rsidR="00000000" w:rsidRDefault="00000000">
            <w:pPr>
              <w:jc w:val="center"/>
              <w:rPr>
                <w:kern w:val="20"/>
                <w:sz w:val="18"/>
              </w:rPr>
            </w:pPr>
            <w:r>
              <w:rPr>
                <w:kern w:val="20"/>
                <w:sz w:val="18"/>
              </w:rPr>
              <w:t>Percentage of poor</w:t>
            </w:r>
          </w:p>
        </w:tc>
        <w:tc>
          <w:tcPr>
            <w:tcW w:w="774" w:type="dxa"/>
            <w:gridSpan w:val="2"/>
          </w:tcPr>
          <w:p w:rsidR="00000000" w:rsidRDefault="00000000">
            <w:pPr>
              <w:jc w:val="center"/>
              <w:rPr>
                <w:kern w:val="20"/>
                <w:sz w:val="18"/>
              </w:rPr>
            </w:pPr>
            <w:r>
              <w:rPr>
                <w:kern w:val="20"/>
                <w:sz w:val="18"/>
              </w:rPr>
              <w:t>Average income gap</w:t>
            </w:r>
          </w:p>
        </w:tc>
        <w:tc>
          <w:tcPr>
            <w:tcW w:w="808" w:type="dxa"/>
          </w:tcPr>
          <w:p w:rsidR="00000000" w:rsidRDefault="00000000">
            <w:pPr>
              <w:jc w:val="center"/>
              <w:rPr>
                <w:kern w:val="20"/>
                <w:sz w:val="18"/>
              </w:rPr>
            </w:pPr>
            <w:r>
              <w:rPr>
                <w:kern w:val="20"/>
                <w:sz w:val="18"/>
              </w:rPr>
              <w:t>Quadratic average income</w:t>
            </w:r>
          </w:p>
          <w:p w:rsidR="00000000" w:rsidRDefault="00000000">
            <w:pPr>
              <w:jc w:val="center"/>
              <w:rPr>
                <w:kern w:val="20"/>
                <w:sz w:val="18"/>
              </w:rPr>
            </w:pPr>
            <w:r>
              <w:rPr>
                <w:kern w:val="20"/>
                <w:sz w:val="18"/>
              </w:rPr>
              <w:t>gap</w:t>
            </w:r>
          </w:p>
        </w:tc>
        <w:tc>
          <w:tcPr>
            <w:tcW w:w="892" w:type="dxa"/>
          </w:tcPr>
          <w:p w:rsidR="00000000" w:rsidRDefault="00000000">
            <w:pPr>
              <w:jc w:val="center"/>
              <w:rPr>
                <w:kern w:val="20"/>
                <w:sz w:val="18"/>
              </w:rPr>
            </w:pPr>
            <w:r>
              <w:rPr>
                <w:kern w:val="20"/>
                <w:sz w:val="18"/>
              </w:rPr>
              <w:t>Percentage of poor</w:t>
            </w:r>
          </w:p>
        </w:tc>
        <w:tc>
          <w:tcPr>
            <w:tcW w:w="777" w:type="dxa"/>
          </w:tcPr>
          <w:p w:rsidR="00000000" w:rsidRDefault="00000000">
            <w:pPr>
              <w:jc w:val="center"/>
              <w:rPr>
                <w:kern w:val="20"/>
                <w:sz w:val="18"/>
              </w:rPr>
            </w:pPr>
            <w:r>
              <w:rPr>
                <w:kern w:val="20"/>
                <w:sz w:val="18"/>
              </w:rPr>
              <w:t>Average income</w:t>
            </w:r>
          </w:p>
          <w:p w:rsidR="00000000" w:rsidRDefault="00000000">
            <w:pPr>
              <w:ind w:right="34"/>
              <w:jc w:val="center"/>
              <w:rPr>
                <w:kern w:val="20"/>
                <w:sz w:val="18"/>
              </w:rPr>
            </w:pPr>
            <w:r>
              <w:rPr>
                <w:kern w:val="20"/>
                <w:sz w:val="18"/>
              </w:rPr>
              <w:t>gap</w:t>
            </w:r>
          </w:p>
        </w:tc>
        <w:tc>
          <w:tcPr>
            <w:tcW w:w="851" w:type="dxa"/>
          </w:tcPr>
          <w:p w:rsidR="00000000" w:rsidRDefault="00000000">
            <w:pPr>
              <w:jc w:val="center"/>
              <w:rPr>
                <w:kern w:val="20"/>
                <w:sz w:val="18"/>
              </w:rPr>
            </w:pPr>
            <w:r>
              <w:rPr>
                <w:kern w:val="20"/>
                <w:sz w:val="18"/>
              </w:rPr>
              <w:t>Quadratic average income gap</w:t>
            </w:r>
          </w:p>
        </w:tc>
      </w:tr>
      <w:tr w:rsidR="00000000">
        <w:tblPrEx>
          <w:tblCellMar>
            <w:top w:w="0" w:type="dxa"/>
            <w:bottom w:w="0" w:type="dxa"/>
          </w:tblCellMar>
        </w:tblPrEx>
        <w:trPr>
          <w:cantSplit/>
        </w:trPr>
        <w:tc>
          <w:tcPr>
            <w:tcW w:w="1701" w:type="dxa"/>
          </w:tcPr>
          <w:p w:rsidR="00000000" w:rsidRDefault="00000000">
            <w:pPr>
              <w:rPr>
                <w:b/>
                <w:bCs/>
                <w:kern w:val="20"/>
                <w:sz w:val="18"/>
              </w:rPr>
            </w:pPr>
            <w:r>
              <w:rPr>
                <w:b/>
                <w:bCs/>
                <w:kern w:val="20"/>
                <w:sz w:val="18"/>
              </w:rPr>
              <w:t>Occupational group (continued)</w:t>
            </w:r>
          </w:p>
        </w:tc>
        <w:tc>
          <w:tcPr>
            <w:tcW w:w="11025" w:type="dxa"/>
            <w:gridSpan w:val="15"/>
          </w:tcPr>
          <w:p w:rsidR="00000000" w:rsidRDefault="00000000">
            <w:pPr>
              <w:rPr>
                <w:kern w:val="20"/>
                <w:sz w:val="18"/>
              </w:rPr>
            </w:pPr>
          </w:p>
        </w:tc>
      </w:tr>
      <w:tr w:rsidR="00000000">
        <w:tblPrEx>
          <w:tblCellMar>
            <w:top w:w="0" w:type="dxa"/>
            <w:bottom w:w="0" w:type="dxa"/>
          </w:tblCellMar>
        </w:tblPrEx>
        <w:tc>
          <w:tcPr>
            <w:tcW w:w="1701" w:type="dxa"/>
            <w:tcBorders>
              <w:bottom w:val="nil"/>
            </w:tcBorders>
          </w:tcPr>
          <w:p w:rsidR="00000000" w:rsidRDefault="00000000">
            <w:pPr>
              <w:rPr>
                <w:kern w:val="20"/>
                <w:sz w:val="18"/>
              </w:rPr>
            </w:pPr>
            <w:r>
              <w:rPr>
                <w:kern w:val="20"/>
                <w:sz w:val="18"/>
              </w:rPr>
              <w:t>Manual labour</w:t>
            </w:r>
          </w:p>
        </w:tc>
        <w:tc>
          <w:tcPr>
            <w:tcW w:w="993" w:type="dxa"/>
            <w:tcBorders>
              <w:bottom w:val="nil"/>
            </w:tcBorders>
          </w:tcPr>
          <w:p w:rsidR="00000000" w:rsidRDefault="00000000">
            <w:pPr>
              <w:rPr>
                <w:kern w:val="20"/>
                <w:sz w:val="18"/>
              </w:rPr>
            </w:pPr>
            <w:r>
              <w:rPr>
                <w:kern w:val="20"/>
                <w:sz w:val="18"/>
              </w:rPr>
              <w:t xml:space="preserve">        0.70</w:t>
            </w:r>
          </w:p>
        </w:tc>
        <w:tc>
          <w:tcPr>
            <w:tcW w:w="892" w:type="dxa"/>
            <w:gridSpan w:val="2"/>
            <w:tcBorders>
              <w:bottom w:val="nil"/>
            </w:tcBorders>
          </w:tcPr>
          <w:p w:rsidR="00000000" w:rsidRDefault="00000000">
            <w:pPr>
              <w:jc w:val="center"/>
              <w:rPr>
                <w:kern w:val="20"/>
                <w:sz w:val="18"/>
              </w:rPr>
            </w:pPr>
            <w:r>
              <w:rPr>
                <w:kern w:val="20"/>
                <w:sz w:val="18"/>
              </w:rPr>
              <w:t xml:space="preserve">  42</w:t>
            </w:r>
          </w:p>
        </w:tc>
        <w:tc>
          <w:tcPr>
            <w:tcW w:w="709" w:type="dxa"/>
            <w:tcBorders>
              <w:bottom w:val="nil"/>
            </w:tcBorders>
          </w:tcPr>
          <w:p w:rsidR="00000000" w:rsidRDefault="00000000">
            <w:pPr>
              <w:rPr>
                <w:kern w:val="20"/>
                <w:sz w:val="18"/>
              </w:rPr>
            </w:pPr>
            <w:r>
              <w:rPr>
                <w:kern w:val="20"/>
                <w:sz w:val="18"/>
              </w:rPr>
              <w:t xml:space="preserve">   0.16</w:t>
            </w:r>
          </w:p>
        </w:tc>
        <w:tc>
          <w:tcPr>
            <w:tcW w:w="850" w:type="dxa"/>
            <w:tcBorders>
              <w:bottom w:val="nil"/>
            </w:tcBorders>
          </w:tcPr>
          <w:p w:rsidR="00000000" w:rsidRDefault="00000000">
            <w:pPr>
              <w:rPr>
                <w:kern w:val="20"/>
                <w:sz w:val="18"/>
              </w:rPr>
            </w:pPr>
            <w:r>
              <w:rPr>
                <w:kern w:val="20"/>
                <w:sz w:val="18"/>
              </w:rPr>
              <w:t xml:space="preserve">     0.09</w:t>
            </w:r>
          </w:p>
        </w:tc>
        <w:tc>
          <w:tcPr>
            <w:tcW w:w="993" w:type="dxa"/>
            <w:tcBorders>
              <w:bottom w:val="nil"/>
            </w:tcBorders>
          </w:tcPr>
          <w:p w:rsidR="00000000" w:rsidRDefault="00000000">
            <w:pPr>
              <w:rPr>
                <w:kern w:val="20"/>
                <w:sz w:val="18"/>
              </w:rPr>
            </w:pPr>
            <w:r>
              <w:rPr>
                <w:kern w:val="20"/>
                <w:sz w:val="18"/>
              </w:rPr>
              <w:t xml:space="preserve">       0.86</w:t>
            </w:r>
          </w:p>
        </w:tc>
        <w:tc>
          <w:tcPr>
            <w:tcW w:w="708" w:type="dxa"/>
            <w:tcBorders>
              <w:bottom w:val="nil"/>
            </w:tcBorders>
          </w:tcPr>
          <w:p w:rsidR="00000000" w:rsidRDefault="00000000">
            <w:pPr>
              <w:rPr>
                <w:kern w:val="20"/>
                <w:sz w:val="18"/>
              </w:rPr>
            </w:pPr>
            <w:r>
              <w:rPr>
                <w:kern w:val="20"/>
                <w:sz w:val="18"/>
              </w:rPr>
              <w:t xml:space="preserve">    0.73</w:t>
            </w:r>
          </w:p>
        </w:tc>
        <w:tc>
          <w:tcPr>
            <w:tcW w:w="851" w:type="dxa"/>
            <w:tcBorders>
              <w:bottom w:val="nil"/>
            </w:tcBorders>
          </w:tcPr>
          <w:p w:rsidR="00000000" w:rsidRDefault="00000000">
            <w:pPr>
              <w:rPr>
                <w:kern w:val="20"/>
                <w:sz w:val="18"/>
              </w:rPr>
            </w:pPr>
            <w:r>
              <w:rPr>
                <w:kern w:val="20"/>
                <w:sz w:val="18"/>
              </w:rPr>
              <w:t xml:space="preserve">      0.64</w:t>
            </w:r>
          </w:p>
        </w:tc>
        <w:tc>
          <w:tcPr>
            <w:tcW w:w="950" w:type="dxa"/>
            <w:gridSpan w:val="2"/>
            <w:tcBorders>
              <w:bottom w:val="nil"/>
            </w:tcBorders>
          </w:tcPr>
          <w:p w:rsidR="00000000" w:rsidRDefault="00000000">
            <w:pPr>
              <w:rPr>
                <w:kern w:val="20"/>
                <w:sz w:val="18"/>
              </w:rPr>
            </w:pPr>
            <w:r>
              <w:rPr>
                <w:kern w:val="20"/>
                <w:sz w:val="18"/>
              </w:rPr>
              <w:t xml:space="preserve">        14</w:t>
            </w:r>
          </w:p>
        </w:tc>
        <w:tc>
          <w:tcPr>
            <w:tcW w:w="751" w:type="dxa"/>
            <w:tcBorders>
              <w:bottom w:val="nil"/>
            </w:tcBorders>
          </w:tcPr>
          <w:p w:rsidR="00000000" w:rsidRDefault="00000000">
            <w:pPr>
              <w:rPr>
                <w:kern w:val="20"/>
                <w:sz w:val="18"/>
              </w:rPr>
            </w:pPr>
            <w:r>
              <w:rPr>
                <w:kern w:val="20"/>
                <w:sz w:val="18"/>
              </w:rPr>
              <w:t xml:space="preserve">    0.05</w:t>
            </w:r>
          </w:p>
        </w:tc>
        <w:tc>
          <w:tcPr>
            <w:tcW w:w="808" w:type="dxa"/>
            <w:tcBorders>
              <w:bottom w:val="nil"/>
            </w:tcBorders>
          </w:tcPr>
          <w:p w:rsidR="00000000" w:rsidRDefault="00000000">
            <w:pPr>
              <w:rPr>
                <w:kern w:val="20"/>
                <w:sz w:val="18"/>
              </w:rPr>
            </w:pPr>
            <w:r>
              <w:rPr>
                <w:kern w:val="20"/>
                <w:sz w:val="18"/>
              </w:rPr>
              <w:t xml:space="preserve">     0.02</w:t>
            </w:r>
          </w:p>
        </w:tc>
        <w:tc>
          <w:tcPr>
            <w:tcW w:w="892" w:type="dxa"/>
            <w:tcBorders>
              <w:bottom w:val="nil"/>
            </w:tcBorders>
          </w:tcPr>
          <w:p w:rsidR="00000000" w:rsidRDefault="00000000">
            <w:pPr>
              <w:rPr>
                <w:kern w:val="20"/>
                <w:sz w:val="18"/>
              </w:rPr>
            </w:pPr>
            <w:r>
              <w:rPr>
                <w:kern w:val="20"/>
                <w:sz w:val="18"/>
              </w:rPr>
              <w:t xml:space="preserve">      0.68</w:t>
            </w:r>
          </w:p>
        </w:tc>
        <w:tc>
          <w:tcPr>
            <w:tcW w:w="777" w:type="dxa"/>
            <w:tcBorders>
              <w:bottom w:val="nil"/>
            </w:tcBorders>
          </w:tcPr>
          <w:p w:rsidR="00000000" w:rsidRDefault="00000000">
            <w:pPr>
              <w:rPr>
                <w:kern w:val="20"/>
                <w:sz w:val="18"/>
              </w:rPr>
            </w:pPr>
            <w:r>
              <w:rPr>
                <w:kern w:val="20"/>
                <w:sz w:val="18"/>
              </w:rPr>
              <w:t xml:space="preserve">     0.52</w:t>
            </w:r>
          </w:p>
        </w:tc>
        <w:tc>
          <w:tcPr>
            <w:tcW w:w="851" w:type="dxa"/>
            <w:tcBorders>
              <w:bottom w:val="nil"/>
            </w:tcBorders>
          </w:tcPr>
          <w:p w:rsidR="00000000" w:rsidRDefault="00000000">
            <w:pPr>
              <w:rPr>
                <w:kern w:val="20"/>
                <w:sz w:val="18"/>
              </w:rPr>
            </w:pPr>
            <w:r>
              <w:rPr>
                <w:kern w:val="20"/>
                <w:sz w:val="18"/>
              </w:rPr>
              <w:t xml:space="preserve">      0.40</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Communications</w:t>
            </w:r>
          </w:p>
          <w:p w:rsidR="00000000" w:rsidRDefault="00000000">
            <w:pPr>
              <w:rPr>
                <w:kern w:val="20"/>
                <w:sz w:val="18"/>
              </w:rPr>
            </w:pPr>
            <w:r>
              <w:rPr>
                <w:kern w:val="20"/>
                <w:sz w:val="18"/>
              </w:rPr>
              <w:t xml:space="preserve">  services</w:t>
            </w:r>
          </w:p>
        </w:tc>
        <w:tc>
          <w:tcPr>
            <w:tcW w:w="993" w:type="dxa"/>
            <w:tcBorders>
              <w:top w:val="nil"/>
              <w:bottom w:val="nil"/>
            </w:tcBorders>
          </w:tcPr>
          <w:p w:rsidR="00000000" w:rsidRDefault="00000000">
            <w:pPr>
              <w:rPr>
                <w:kern w:val="20"/>
                <w:sz w:val="18"/>
              </w:rPr>
            </w:pPr>
            <w:r>
              <w:rPr>
                <w:kern w:val="20"/>
                <w:sz w:val="18"/>
              </w:rPr>
              <w:t xml:space="preserve">        0.20</w:t>
            </w:r>
          </w:p>
        </w:tc>
        <w:tc>
          <w:tcPr>
            <w:tcW w:w="892" w:type="dxa"/>
            <w:gridSpan w:val="2"/>
            <w:tcBorders>
              <w:top w:val="nil"/>
              <w:bottom w:val="nil"/>
            </w:tcBorders>
          </w:tcPr>
          <w:p w:rsidR="00000000" w:rsidRDefault="00000000">
            <w:pPr>
              <w:jc w:val="center"/>
              <w:rPr>
                <w:kern w:val="20"/>
                <w:sz w:val="18"/>
              </w:rPr>
            </w:pPr>
            <w:r>
              <w:rPr>
                <w:kern w:val="20"/>
                <w:sz w:val="18"/>
              </w:rPr>
              <w:t xml:space="preserve">  10</w:t>
            </w:r>
          </w:p>
        </w:tc>
        <w:tc>
          <w:tcPr>
            <w:tcW w:w="709" w:type="dxa"/>
            <w:tcBorders>
              <w:top w:val="nil"/>
              <w:bottom w:val="nil"/>
            </w:tcBorders>
          </w:tcPr>
          <w:p w:rsidR="00000000" w:rsidRDefault="00000000">
            <w:pPr>
              <w:rPr>
                <w:kern w:val="20"/>
                <w:sz w:val="18"/>
              </w:rPr>
            </w:pPr>
            <w:r>
              <w:rPr>
                <w:kern w:val="20"/>
                <w:sz w:val="18"/>
              </w:rPr>
              <w:t xml:space="preserve">   0.03</w:t>
            </w:r>
          </w:p>
        </w:tc>
        <w:tc>
          <w:tcPr>
            <w:tcW w:w="850" w:type="dxa"/>
            <w:tcBorders>
              <w:top w:val="nil"/>
              <w:bottom w:val="nil"/>
            </w:tcBorders>
          </w:tcPr>
          <w:p w:rsidR="00000000" w:rsidRDefault="00000000">
            <w:pPr>
              <w:rPr>
                <w:kern w:val="20"/>
                <w:sz w:val="18"/>
              </w:rPr>
            </w:pPr>
            <w:r>
              <w:rPr>
                <w:kern w:val="20"/>
                <w:sz w:val="18"/>
              </w:rPr>
              <w:t xml:space="preserve">     0.02</w:t>
            </w:r>
          </w:p>
        </w:tc>
        <w:tc>
          <w:tcPr>
            <w:tcW w:w="993" w:type="dxa"/>
            <w:tcBorders>
              <w:top w:val="nil"/>
              <w:bottom w:val="nil"/>
            </w:tcBorders>
          </w:tcPr>
          <w:p w:rsidR="00000000" w:rsidRDefault="00000000">
            <w:pPr>
              <w:rPr>
                <w:kern w:val="20"/>
                <w:sz w:val="18"/>
              </w:rPr>
            </w:pPr>
            <w:r>
              <w:rPr>
                <w:kern w:val="20"/>
                <w:sz w:val="18"/>
              </w:rPr>
              <w:t xml:space="preserve">       0.06</w:t>
            </w:r>
          </w:p>
        </w:tc>
        <w:tc>
          <w:tcPr>
            <w:tcW w:w="708" w:type="dxa"/>
            <w:tcBorders>
              <w:top w:val="nil"/>
              <w:bottom w:val="nil"/>
            </w:tcBorders>
          </w:tcPr>
          <w:p w:rsidR="00000000" w:rsidRDefault="00000000">
            <w:pPr>
              <w:rPr>
                <w:kern w:val="20"/>
                <w:sz w:val="18"/>
              </w:rPr>
            </w:pPr>
            <w:r>
              <w:rPr>
                <w:kern w:val="20"/>
                <w:sz w:val="18"/>
              </w:rPr>
              <w:t xml:space="preserve">    0.04</w:t>
            </w:r>
          </w:p>
        </w:tc>
        <w:tc>
          <w:tcPr>
            <w:tcW w:w="851" w:type="dxa"/>
            <w:tcBorders>
              <w:top w:val="nil"/>
              <w:bottom w:val="nil"/>
            </w:tcBorders>
          </w:tcPr>
          <w:p w:rsidR="00000000" w:rsidRDefault="00000000">
            <w:pPr>
              <w:rPr>
                <w:kern w:val="20"/>
                <w:sz w:val="18"/>
              </w:rPr>
            </w:pPr>
            <w:r>
              <w:rPr>
                <w:kern w:val="20"/>
                <w:sz w:val="18"/>
              </w:rPr>
              <w:t xml:space="preserve">      0.03</w:t>
            </w:r>
          </w:p>
        </w:tc>
        <w:tc>
          <w:tcPr>
            <w:tcW w:w="950" w:type="dxa"/>
            <w:gridSpan w:val="2"/>
            <w:tcBorders>
              <w:top w:val="nil"/>
              <w:bottom w:val="nil"/>
            </w:tcBorders>
          </w:tcPr>
          <w:p w:rsidR="00000000" w:rsidRDefault="00000000">
            <w:pPr>
              <w:rPr>
                <w:kern w:val="20"/>
                <w:sz w:val="18"/>
              </w:rPr>
            </w:pPr>
            <w:r>
              <w:rPr>
                <w:kern w:val="20"/>
                <w:sz w:val="18"/>
              </w:rPr>
              <w:t xml:space="preserve">          3</w:t>
            </w:r>
          </w:p>
        </w:tc>
        <w:tc>
          <w:tcPr>
            <w:tcW w:w="751" w:type="dxa"/>
            <w:tcBorders>
              <w:top w:val="nil"/>
              <w:bottom w:val="nil"/>
            </w:tcBorders>
          </w:tcPr>
          <w:p w:rsidR="00000000" w:rsidRDefault="00000000">
            <w:pPr>
              <w:rPr>
                <w:kern w:val="20"/>
                <w:sz w:val="18"/>
              </w:rPr>
            </w:pPr>
            <w:r>
              <w:rPr>
                <w:kern w:val="20"/>
                <w:sz w:val="18"/>
              </w:rPr>
              <w:t xml:space="preserve">    0.01</w:t>
            </w:r>
          </w:p>
        </w:tc>
        <w:tc>
          <w:tcPr>
            <w:tcW w:w="808" w:type="dxa"/>
            <w:tcBorders>
              <w:top w:val="nil"/>
              <w:bottom w:val="nil"/>
            </w:tcBorders>
          </w:tcPr>
          <w:p w:rsidR="00000000" w:rsidRDefault="00000000">
            <w:pPr>
              <w:rPr>
                <w:kern w:val="20"/>
                <w:sz w:val="18"/>
              </w:rPr>
            </w:pPr>
            <w:r>
              <w:rPr>
                <w:kern w:val="20"/>
                <w:sz w:val="18"/>
              </w:rPr>
              <w:t xml:space="preserve">     0.00</w:t>
            </w:r>
          </w:p>
        </w:tc>
        <w:tc>
          <w:tcPr>
            <w:tcW w:w="892" w:type="dxa"/>
            <w:tcBorders>
              <w:top w:val="nil"/>
              <w:bottom w:val="nil"/>
            </w:tcBorders>
          </w:tcPr>
          <w:p w:rsidR="00000000" w:rsidRDefault="00000000">
            <w:pPr>
              <w:rPr>
                <w:kern w:val="20"/>
                <w:sz w:val="18"/>
              </w:rPr>
            </w:pPr>
            <w:r>
              <w:rPr>
                <w:kern w:val="20"/>
                <w:sz w:val="18"/>
              </w:rPr>
              <w:t xml:space="preserve">      0.03</w:t>
            </w:r>
          </w:p>
        </w:tc>
        <w:tc>
          <w:tcPr>
            <w:tcW w:w="777" w:type="dxa"/>
            <w:tcBorders>
              <w:top w:val="nil"/>
              <w:bottom w:val="nil"/>
            </w:tcBorders>
          </w:tcPr>
          <w:p w:rsidR="00000000" w:rsidRDefault="00000000">
            <w:pPr>
              <w:rPr>
                <w:kern w:val="20"/>
                <w:sz w:val="18"/>
              </w:rPr>
            </w:pPr>
            <w:r>
              <w:rPr>
                <w:kern w:val="20"/>
                <w:sz w:val="18"/>
              </w:rPr>
              <w:t xml:space="preserve">     0.02</w:t>
            </w:r>
          </w:p>
        </w:tc>
        <w:tc>
          <w:tcPr>
            <w:tcW w:w="851" w:type="dxa"/>
            <w:tcBorders>
              <w:top w:val="nil"/>
              <w:bottom w:val="nil"/>
            </w:tcBorders>
          </w:tcPr>
          <w:p w:rsidR="00000000" w:rsidRDefault="00000000">
            <w:pPr>
              <w:rPr>
                <w:kern w:val="20"/>
                <w:sz w:val="18"/>
              </w:rPr>
            </w:pPr>
            <w:r>
              <w:rPr>
                <w:kern w:val="20"/>
                <w:sz w:val="18"/>
              </w:rPr>
              <w:t xml:space="preserve">      0.01</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Undeclared</w:t>
            </w:r>
          </w:p>
        </w:tc>
        <w:tc>
          <w:tcPr>
            <w:tcW w:w="993" w:type="dxa"/>
            <w:tcBorders>
              <w:top w:val="nil"/>
              <w:bottom w:val="nil"/>
            </w:tcBorders>
          </w:tcPr>
          <w:p w:rsidR="00000000" w:rsidRDefault="00000000">
            <w:pPr>
              <w:rPr>
                <w:kern w:val="20"/>
                <w:sz w:val="18"/>
              </w:rPr>
            </w:pPr>
            <w:r>
              <w:rPr>
                <w:kern w:val="20"/>
                <w:sz w:val="18"/>
              </w:rPr>
              <w:t xml:space="preserve">        0.00</w:t>
            </w:r>
          </w:p>
        </w:tc>
        <w:tc>
          <w:tcPr>
            <w:tcW w:w="892" w:type="dxa"/>
            <w:gridSpan w:val="2"/>
            <w:tcBorders>
              <w:top w:val="nil"/>
              <w:bottom w:val="nil"/>
            </w:tcBorders>
          </w:tcPr>
          <w:p w:rsidR="00000000" w:rsidRDefault="00000000">
            <w:pPr>
              <w:jc w:val="center"/>
              <w:rPr>
                <w:kern w:val="20"/>
                <w:sz w:val="18"/>
              </w:rPr>
            </w:pPr>
            <w:r>
              <w:rPr>
                <w:kern w:val="20"/>
                <w:sz w:val="18"/>
              </w:rPr>
              <w:t xml:space="preserve">  17</w:t>
            </w:r>
          </w:p>
        </w:tc>
        <w:tc>
          <w:tcPr>
            <w:tcW w:w="709" w:type="dxa"/>
            <w:tcBorders>
              <w:top w:val="nil"/>
              <w:bottom w:val="nil"/>
            </w:tcBorders>
          </w:tcPr>
          <w:p w:rsidR="00000000" w:rsidRDefault="00000000">
            <w:pPr>
              <w:rPr>
                <w:kern w:val="20"/>
                <w:sz w:val="18"/>
              </w:rPr>
            </w:pPr>
            <w:r>
              <w:rPr>
                <w:kern w:val="20"/>
                <w:sz w:val="18"/>
              </w:rPr>
              <w:t xml:space="preserve">   0.04</w:t>
            </w:r>
          </w:p>
        </w:tc>
        <w:tc>
          <w:tcPr>
            <w:tcW w:w="850" w:type="dxa"/>
            <w:tcBorders>
              <w:top w:val="nil"/>
              <w:bottom w:val="nil"/>
            </w:tcBorders>
          </w:tcPr>
          <w:p w:rsidR="00000000" w:rsidRDefault="00000000">
            <w:pPr>
              <w:rPr>
                <w:kern w:val="20"/>
                <w:sz w:val="18"/>
              </w:rPr>
            </w:pPr>
            <w:r>
              <w:rPr>
                <w:kern w:val="20"/>
                <w:sz w:val="18"/>
              </w:rPr>
              <w:t xml:space="preserve">     0.01</w:t>
            </w:r>
          </w:p>
        </w:tc>
        <w:tc>
          <w:tcPr>
            <w:tcW w:w="993" w:type="dxa"/>
            <w:tcBorders>
              <w:top w:val="nil"/>
              <w:bottom w:val="nil"/>
            </w:tcBorders>
          </w:tcPr>
          <w:p w:rsidR="00000000" w:rsidRDefault="00000000">
            <w:pPr>
              <w:rPr>
                <w:kern w:val="20"/>
                <w:sz w:val="18"/>
              </w:rPr>
            </w:pPr>
            <w:r>
              <w:rPr>
                <w:kern w:val="20"/>
                <w:sz w:val="18"/>
              </w:rPr>
              <w:t xml:space="preserve">       0.00</w:t>
            </w:r>
          </w:p>
        </w:tc>
        <w:tc>
          <w:tcPr>
            <w:tcW w:w="708" w:type="dxa"/>
            <w:tcBorders>
              <w:top w:val="nil"/>
              <w:bottom w:val="nil"/>
            </w:tcBorders>
          </w:tcPr>
          <w:p w:rsidR="00000000" w:rsidRDefault="00000000">
            <w:pPr>
              <w:rPr>
                <w:kern w:val="20"/>
                <w:sz w:val="18"/>
              </w:rPr>
            </w:pPr>
            <w:r>
              <w:rPr>
                <w:kern w:val="20"/>
                <w:sz w:val="18"/>
              </w:rPr>
              <w:t xml:space="preserve">    0.00</w:t>
            </w:r>
          </w:p>
        </w:tc>
        <w:tc>
          <w:tcPr>
            <w:tcW w:w="851" w:type="dxa"/>
            <w:tcBorders>
              <w:top w:val="nil"/>
              <w:bottom w:val="nil"/>
            </w:tcBorders>
          </w:tcPr>
          <w:p w:rsidR="00000000" w:rsidRDefault="00000000">
            <w:pPr>
              <w:rPr>
                <w:kern w:val="20"/>
                <w:sz w:val="18"/>
              </w:rPr>
            </w:pPr>
            <w:r>
              <w:rPr>
                <w:kern w:val="20"/>
                <w:sz w:val="18"/>
              </w:rPr>
              <w:t xml:space="preserve">      0.00</w:t>
            </w:r>
          </w:p>
        </w:tc>
        <w:tc>
          <w:tcPr>
            <w:tcW w:w="950" w:type="dxa"/>
            <w:gridSpan w:val="2"/>
            <w:tcBorders>
              <w:top w:val="nil"/>
              <w:bottom w:val="nil"/>
            </w:tcBorders>
          </w:tcPr>
          <w:p w:rsidR="00000000" w:rsidRDefault="00000000">
            <w:pPr>
              <w:rPr>
                <w:kern w:val="20"/>
                <w:sz w:val="18"/>
              </w:rPr>
            </w:pPr>
            <w:r>
              <w:rPr>
                <w:kern w:val="20"/>
                <w:sz w:val="18"/>
              </w:rPr>
              <w:t xml:space="preserve">          0</w:t>
            </w:r>
          </w:p>
        </w:tc>
        <w:tc>
          <w:tcPr>
            <w:tcW w:w="751" w:type="dxa"/>
            <w:tcBorders>
              <w:top w:val="nil"/>
              <w:bottom w:val="nil"/>
            </w:tcBorders>
          </w:tcPr>
          <w:p w:rsidR="00000000" w:rsidRDefault="00000000">
            <w:pPr>
              <w:rPr>
                <w:kern w:val="20"/>
                <w:sz w:val="18"/>
              </w:rPr>
            </w:pPr>
            <w:r>
              <w:rPr>
                <w:kern w:val="20"/>
                <w:sz w:val="18"/>
              </w:rPr>
              <w:t xml:space="preserve">    0.00</w:t>
            </w:r>
          </w:p>
        </w:tc>
        <w:tc>
          <w:tcPr>
            <w:tcW w:w="808" w:type="dxa"/>
            <w:tcBorders>
              <w:top w:val="nil"/>
              <w:bottom w:val="nil"/>
            </w:tcBorders>
          </w:tcPr>
          <w:p w:rsidR="00000000" w:rsidRDefault="00000000">
            <w:pPr>
              <w:rPr>
                <w:kern w:val="20"/>
                <w:sz w:val="18"/>
              </w:rPr>
            </w:pPr>
            <w:r>
              <w:rPr>
                <w:kern w:val="20"/>
                <w:sz w:val="18"/>
              </w:rPr>
              <w:t xml:space="preserve">     0.00</w:t>
            </w:r>
          </w:p>
        </w:tc>
        <w:tc>
          <w:tcPr>
            <w:tcW w:w="892" w:type="dxa"/>
            <w:tcBorders>
              <w:top w:val="nil"/>
              <w:bottom w:val="nil"/>
            </w:tcBorders>
          </w:tcPr>
          <w:p w:rsidR="00000000" w:rsidRDefault="00000000">
            <w:pPr>
              <w:rPr>
                <w:kern w:val="20"/>
                <w:sz w:val="18"/>
              </w:rPr>
            </w:pPr>
            <w:r>
              <w:rPr>
                <w:kern w:val="20"/>
                <w:sz w:val="18"/>
              </w:rPr>
              <w:t xml:space="preserve">      0.00</w:t>
            </w:r>
          </w:p>
        </w:tc>
        <w:tc>
          <w:tcPr>
            <w:tcW w:w="777" w:type="dxa"/>
            <w:tcBorders>
              <w:top w:val="nil"/>
              <w:bottom w:val="nil"/>
            </w:tcBorders>
          </w:tcPr>
          <w:p w:rsidR="00000000" w:rsidRDefault="00000000">
            <w:pPr>
              <w:rPr>
                <w:kern w:val="20"/>
                <w:sz w:val="18"/>
              </w:rPr>
            </w:pPr>
            <w:r>
              <w:rPr>
                <w:kern w:val="20"/>
                <w:sz w:val="18"/>
              </w:rPr>
              <w:t xml:space="preserve">     0.00</w:t>
            </w:r>
          </w:p>
        </w:tc>
        <w:tc>
          <w:tcPr>
            <w:tcW w:w="851" w:type="dxa"/>
            <w:tcBorders>
              <w:top w:val="nil"/>
              <w:bottom w:val="nil"/>
            </w:tcBorders>
          </w:tcPr>
          <w:p w:rsidR="00000000" w:rsidRDefault="00000000">
            <w:pPr>
              <w:rPr>
                <w:kern w:val="20"/>
                <w:sz w:val="18"/>
              </w:rPr>
            </w:pPr>
            <w:r>
              <w:rPr>
                <w:kern w:val="20"/>
                <w:sz w:val="18"/>
              </w:rPr>
              <w:t xml:space="preserve">     0.00</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Domestic services</w:t>
            </w:r>
          </w:p>
        </w:tc>
        <w:tc>
          <w:tcPr>
            <w:tcW w:w="993" w:type="dxa"/>
            <w:tcBorders>
              <w:top w:val="nil"/>
              <w:bottom w:val="nil"/>
            </w:tcBorders>
          </w:tcPr>
          <w:p w:rsidR="00000000" w:rsidRDefault="00000000">
            <w:pPr>
              <w:rPr>
                <w:kern w:val="20"/>
                <w:sz w:val="18"/>
              </w:rPr>
            </w:pPr>
            <w:r>
              <w:rPr>
                <w:kern w:val="20"/>
                <w:sz w:val="18"/>
              </w:rPr>
              <w:t xml:space="preserve">        3.20</w:t>
            </w:r>
          </w:p>
        </w:tc>
        <w:tc>
          <w:tcPr>
            <w:tcW w:w="892" w:type="dxa"/>
            <w:gridSpan w:val="2"/>
            <w:tcBorders>
              <w:top w:val="nil"/>
              <w:bottom w:val="nil"/>
            </w:tcBorders>
          </w:tcPr>
          <w:p w:rsidR="00000000" w:rsidRDefault="00000000">
            <w:pPr>
              <w:jc w:val="center"/>
              <w:rPr>
                <w:kern w:val="20"/>
                <w:sz w:val="18"/>
              </w:rPr>
            </w:pPr>
            <w:r>
              <w:rPr>
                <w:kern w:val="20"/>
                <w:sz w:val="18"/>
              </w:rPr>
              <w:t xml:space="preserve">  36</w:t>
            </w:r>
          </w:p>
        </w:tc>
        <w:tc>
          <w:tcPr>
            <w:tcW w:w="709" w:type="dxa"/>
            <w:tcBorders>
              <w:top w:val="nil"/>
              <w:bottom w:val="nil"/>
            </w:tcBorders>
          </w:tcPr>
          <w:p w:rsidR="00000000" w:rsidRDefault="00000000">
            <w:pPr>
              <w:rPr>
                <w:kern w:val="20"/>
                <w:sz w:val="18"/>
              </w:rPr>
            </w:pPr>
            <w:r>
              <w:rPr>
                <w:kern w:val="20"/>
                <w:sz w:val="18"/>
              </w:rPr>
              <w:t xml:space="preserve">   0.13</w:t>
            </w:r>
          </w:p>
        </w:tc>
        <w:tc>
          <w:tcPr>
            <w:tcW w:w="850" w:type="dxa"/>
            <w:tcBorders>
              <w:top w:val="nil"/>
              <w:bottom w:val="nil"/>
            </w:tcBorders>
          </w:tcPr>
          <w:p w:rsidR="00000000" w:rsidRDefault="00000000">
            <w:pPr>
              <w:rPr>
                <w:kern w:val="20"/>
                <w:sz w:val="18"/>
              </w:rPr>
            </w:pPr>
            <w:r>
              <w:rPr>
                <w:kern w:val="20"/>
                <w:sz w:val="18"/>
              </w:rPr>
              <w:t xml:space="preserve">     0.07</w:t>
            </w:r>
          </w:p>
        </w:tc>
        <w:tc>
          <w:tcPr>
            <w:tcW w:w="993" w:type="dxa"/>
            <w:tcBorders>
              <w:top w:val="nil"/>
              <w:bottom w:val="nil"/>
            </w:tcBorders>
          </w:tcPr>
          <w:p w:rsidR="00000000" w:rsidRDefault="00000000">
            <w:pPr>
              <w:rPr>
                <w:kern w:val="20"/>
                <w:sz w:val="18"/>
              </w:rPr>
            </w:pPr>
            <w:r>
              <w:rPr>
                <w:kern w:val="20"/>
                <w:sz w:val="18"/>
              </w:rPr>
              <w:t xml:space="preserve">       3.36</w:t>
            </w:r>
          </w:p>
        </w:tc>
        <w:tc>
          <w:tcPr>
            <w:tcW w:w="708" w:type="dxa"/>
            <w:tcBorders>
              <w:top w:val="nil"/>
              <w:bottom w:val="nil"/>
            </w:tcBorders>
          </w:tcPr>
          <w:p w:rsidR="00000000" w:rsidRDefault="00000000">
            <w:pPr>
              <w:rPr>
                <w:kern w:val="20"/>
                <w:sz w:val="18"/>
              </w:rPr>
            </w:pPr>
            <w:r>
              <w:rPr>
                <w:kern w:val="20"/>
                <w:sz w:val="18"/>
              </w:rPr>
              <w:t xml:space="preserve">    2.72</w:t>
            </w:r>
          </w:p>
        </w:tc>
        <w:tc>
          <w:tcPr>
            <w:tcW w:w="851" w:type="dxa"/>
            <w:tcBorders>
              <w:top w:val="nil"/>
              <w:bottom w:val="nil"/>
            </w:tcBorders>
          </w:tcPr>
          <w:p w:rsidR="00000000" w:rsidRDefault="00000000">
            <w:pPr>
              <w:rPr>
                <w:kern w:val="20"/>
                <w:sz w:val="18"/>
              </w:rPr>
            </w:pPr>
            <w:r>
              <w:rPr>
                <w:kern w:val="20"/>
                <w:sz w:val="18"/>
              </w:rPr>
              <w:t xml:space="preserve">      2.28</w:t>
            </w:r>
          </w:p>
        </w:tc>
        <w:tc>
          <w:tcPr>
            <w:tcW w:w="950" w:type="dxa"/>
            <w:gridSpan w:val="2"/>
            <w:tcBorders>
              <w:top w:val="nil"/>
              <w:bottom w:val="nil"/>
            </w:tcBorders>
          </w:tcPr>
          <w:p w:rsidR="00000000" w:rsidRDefault="00000000">
            <w:pPr>
              <w:rPr>
                <w:kern w:val="20"/>
                <w:sz w:val="18"/>
              </w:rPr>
            </w:pPr>
            <w:r>
              <w:rPr>
                <w:kern w:val="20"/>
                <w:sz w:val="18"/>
              </w:rPr>
              <w:t xml:space="preserve">        11</w:t>
            </w:r>
          </w:p>
        </w:tc>
        <w:tc>
          <w:tcPr>
            <w:tcW w:w="751" w:type="dxa"/>
            <w:tcBorders>
              <w:top w:val="nil"/>
              <w:bottom w:val="nil"/>
            </w:tcBorders>
          </w:tcPr>
          <w:p w:rsidR="00000000" w:rsidRDefault="00000000">
            <w:pPr>
              <w:rPr>
                <w:kern w:val="20"/>
                <w:sz w:val="18"/>
              </w:rPr>
            </w:pPr>
            <w:r>
              <w:rPr>
                <w:kern w:val="20"/>
                <w:sz w:val="18"/>
              </w:rPr>
              <w:t xml:space="preserve">    0.03</w:t>
            </w:r>
          </w:p>
        </w:tc>
        <w:tc>
          <w:tcPr>
            <w:tcW w:w="808" w:type="dxa"/>
            <w:tcBorders>
              <w:top w:val="nil"/>
              <w:bottom w:val="nil"/>
            </w:tcBorders>
          </w:tcPr>
          <w:p w:rsidR="00000000" w:rsidRDefault="00000000">
            <w:pPr>
              <w:rPr>
                <w:kern w:val="20"/>
                <w:sz w:val="18"/>
              </w:rPr>
            </w:pPr>
            <w:r>
              <w:rPr>
                <w:kern w:val="20"/>
                <w:sz w:val="18"/>
              </w:rPr>
              <w:t xml:space="preserve">     0.02</w:t>
            </w:r>
          </w:p>
        </w:tc>
        <w:tc>
          <w:tcPr>
            <w:tcW w:w="892" w:type="dxa"/>
            <w:tcBorders>
              <w:top w:val="nil"/>
              <w:bottom w:val="nil"/>
            </w:tcBorders>
          </w:tcPr>
          <w:p w:rsidR="00000000" w:rsidRDefault="00000000">
            <w:pPr>
              <w:rPr>
                <w:kern w:val="20"/>
                <w:sz w:val="18"/>
              </w:rPr>
            </w:pPr>
            <w:r>
              <w:rPr>
                <w:kern w:val="20"/>
                <w:sz w:val="18"/>
              </w:rPr>
              <w:t xml:space="preserve">      2.31</w:t>
            </w:r>
          </w:p>
        </w:tc>
        <w:tc>
          <w:tcPr>
            <w:tcW w:w="777" w:type="dxa"/>
            <w:tcBorders>
              <w:top w:val="nil"/>
              <w:bottom w:val="nil"/>
            </w:tcBorders>
          </w:tcPr>
          <w:p w:rsidR="00000000" w:rsidRDefault="00000000">
            <w:pPr>
              <w:rPr>
                <w:kern w:val="20"/>
                <w:sz w:val="18"/>
              </w:rPr>
            </w:pPr>
            <w:r>
              <w:rPr>
                <w:kern w:val="20"/>
                <w:sz w:val="18"/>
              </w:rPr>
              <w:t xml:space="preserve">     1.72</w:t>
            </w:r>
          </w:p>
        </w:tc>
        <w:tc>
          <w:tcPr>
            <w:tcW w:w="851" w:type="dxa"/>
            <w:tcBorders>
              <w:top w:val="nil"/>
              <w:bottom w:val="nil"/>
            </w:tcBorders>
          </w:tcPr>
          <w:p w:rsidR="00000000" w:rsidRDefault="00000000">
            <w:pPr>
              <w:rPr>
                <w:kern w:val="20"/>
                <w:sz w:val="18"/>
              </w:rPr>
            </w:pPr>
            <w:r>
              <w:rPr>
                <w:kern w:val="20"/>
                <w:sz w:val="18"/>
              </w:rPr>
              <w:t xml:space="preserve">     1.27</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Public safety services</w:t>
            </w:r>
          </w:p>
        </w:tc>
        <w:tc>
          <w:tcPr>
            <w:tcW w:w="993" w:type="dxa"/>
            <w:tcBorders>
              <w:top w:val="nil"/>
              <w:bottom w:val="nil"/>
            </w:tcBorders>
          </w:tcPr>
          <w:p w:rsidR="00000000" w:rsidRDefault="00000000">
            <w:pPr>
              <w:rPr>
                <w:kern w:val="20"/>
                <w:sz w:val="18"/>
              </w:rPr>
            </w:pPr>
            <w:r>
              <w:rPr>
                <w:kern w:val="20"/>
                <w:sz w:val="18"/>
              </w:rPr>
              <w:t xml:space="preserve">        0.50</w:t>
            </w:r>
          </w:p>
        </w:tc>
        <w:tc>
          <w:tcPr>
            <w:tcW w:w="892" w:type="dxa"/>
            <w:gridSpan w:val="2"/>
            <w:tcBorders>
              <w:top w:val="nil"/>
              <w:bottom w:val="nil"/>
            </w:tcBorders>
          </w:tcPr>
          <w:p w:rsidR="00000000" w:rsidRDefault="00000000">
            <w:pPr>
              <w:jc w:val="center"/>
              <w:rPr>
                <w:kern w:val="20"/>
                <w:sz w:val="18"/>
              </w:rPr>
            </w:pPr>
            <w:r>
              <w:rPr>
                <w:kern w:val="20"/>
                <w:sz w:val="18"/>
              </w:rPr>
              <w:t xml:space="preserve">   4</w:t>
            </w:r>
          </w:p>
        </w:tc>
        <w:tc>
          <w:tcPr>
            <w:tcW w:w="709" w:type="dxa"/>
            <w:tcBorders>
              <w:top w:val="nil"/>
              <w:bottom w:val="nil"/>
            </w:tcBorders>
          </w:tcPr>
          <w:p w:rsidR="00000000" w:rsidRDefault="00000000">
            <w:pPr>
              <w:rPr>
                <w:kern w:val="20"/>
                <w:sz w:val="18"/>
              </w:rPr>
            </w:pPr>
            <w:r>
              <w:rPr>
                <w:kern w:val="20"/>
                <w:sz w:val="18"/>
              </w:rPr>
              <w:t xml:space="preserve">   0.01</w:t>
            </w:r>
          </w:p>
        </w:tc>
        <w:tc>
          <w:tcPr>
            <w:tcW w:w="850" w:type="dxa"/>
            <w:tcBorders>
              <w:top w:val="nil"/>
              <w:bottom w:val="nil"/>
            </w:tcBorders>
          </w:tcPr>
          <w:p w:rsidR="00000000" w:rsidRDefault="00000000">
            <w:pPr>
              <w:rPr>
                <w:kern w:val="20"/>
                <w:sz w:val="18"/>
              </w:rPr>
            </w:pPr>
            <w:r>
              <w:rPr>
                <w:kern w:val="20"/>
                <w:sz w:val="18"/>
              </w:rPr>
              <w:t xml:space="preserve">     0.00</w:t>
            </w:r>
          </w:p>
        </w:tc>
        <w:tc>
          <w:tcPr>
            <w:tcW w:w="993" w:type="dxa"/>
            <w:tcBorders>
              <w:top w:val="nil"/>
              <w:bottom w:val="nil"/>
            </w:tcBorders>
          </w:tcPr>
          <w:p w:rsidR="00000000" w:rsidRDefault="00000000">
            <w:pPr>
              <w:rPr>
                <w:kern w:val="20"/>
                <w:sz w:val="18"/>
              </w:rPr>
            </w:pPr>
            <w:r>
              <w:rPr>
                <w:kern w:val="20"/>
                <w:sz w:val="18"/>
              </w:rPr>
              <w:t xml:space="preserve">       0.06</w:t>
            </w:r>
          </w:p>
        </w:tc>
        <w:tc>
          <w:tcPr>
            <w:tcW w:w="708" w:type="dxa"/>
            <w:tcBorders>
              <w:top w:val="nil"/>
              <w:bottom w:val="nil"/>
            </w:tcBorders>
          </w:tcPr>
          <w:p w:rsidR="00000000" w:rsidRDefault="00000000">
            <w:pPr>
              <w:rPr>
                <w:kern w:val="20"/>
                <w:sz w:val="18"/>
              </w:rPr>
            </w:pPr>
            <w:r>
              <w:rPr>
                <w:kern w:val="20"/>
                <w:sz w:val="18"/>
              </w:rPr>
              <w:t xml:space="preserve">    0.03</w:t>
            </w:r>
          </w:p>
        </w:tc>
        <w:tc>
          <w:tcPr>
            <w:tcW w:w="851" w:type="dxa"/>
            <w:tcBorders>
              <w:top w:val="nil"/>
              <w:bottom w:val="nil"/>
            </w:tcBorders>
          </w:tcPr>
          <w:p w:rsidR="00000000" w:rsidRDefault="00000000">
            <w:pPr>
              <w:rPr>
                <w:kern w:val="20"/>
                <w:sz w:val="18"/>
              </w:rPr>
            </w:pPr>
            <w:r>
              <w:rPr>
                <w:kern w:val="20"/>
                <w:sz w:val="18"/>
              </w:rPr>
              <w:t xml:space="preserve">      0.02</w:t>
            </w:r>
          </w:p>
        </w:tc>
        <w:tc>
          <w:tcPr>
            <w:tcW w:w="950" w:type="dxa"/>
            <w:gridSpan w:val="2"/>
            <w:tcBorders>
              <w:top w:val="nil"/>
              <w:bottom w:val="nil"/>
            </w:tcBorders>
          </w:tcPr>
          <w:p w:rsidR="00000000" w:rsidRDefault="00000000">
            <w:pPr>
              <w:rPr>
                <w:kern w:val="20"/>
                <w:sz w:val="18"/>
              </w:rPr>
            </w:pPr>
            <w:r>
              <w:rPr>
                <w:kern w:val="20"/>
                <w:sz w:val="18"/>
              </w:rPr>
              <w:t xml:space="preserve">          1</w:t>
            </w:r>
          </w:p>
        </w:tc>
        <w:tc>
          <w:tcPr>
            <w:tcW w:w="751" w:type="dxa"/>
            <w:tcBorders>
              <w:top w:val="nil"/>
              <w:bottom w:val="nil"/>
            </w:tcBorders>
          </w:tcPr>
          <w:p w:rsidR="00000000" w:rsidRDefault="00000000">
            <w:pPr>
              <w:rPr>
                <w:kern w:val="20"/>
                <w:sz w:val="18"/>
              </w:rPr>
            </w:pPr>
            <w:r>
              <w:rPr>
                <w:kern w:val="20"/>
                <w:sz w:val="18"/>
              </w:rPr>
              <w:t xml:space="preserve">    0.00</w:t>
            </w:r>
          </w:p>
        </w:tc>
        <w:tc>
          <w:tcPr>
            <w:tcW w:w="808" w:type="dxa"/>
            <w:tcBorders>
              <w:top w:val="nil"/>
              <w:bottom w:val="nil"/>
            </w:tcBorders>
          </w:tcPr>
          <w:p w:rsidR="00000000" w:rsidRDefault="00000000">
            <w:pPr>
              <w:rPr>
                <w:kern w:val="20"/>
                <w:sz w:val="18"/>
              </w:rPr>
            </w:pPr>
            <w:r>
              <w:rPr>
                <w:kern w:val="20"/>
                <w:sz w:val="18"/>
              </w:rPr>
              <w:t xml:space="preserve">     0.00</w:t>
            </w:r>
          </w:p>
        </w:tc>
        <w:tc>
          <w:tcPr>
            <w:tcW w:w="892" w:type="dxa"/>
            <w:tcBorders>
              <w:top w:val="nil"/>
              <w:bottom w:val="nil"/>
            </w:tcBorders>
          </w:tcPr>
          <w:p w:rsidR="00000000" w:rsidRDefault="00000000">
            <w:pPr>
              <w:rPr>
                <w:kern w:val="20"/>
                <w:sz w:val="18"/>
              </w:rPr>
            </w:pPr>
            <w:r>
              <w:rPr>
                <w:kern w:val="20"/>
                <w:sz w:val="18"/>
              </w:rPr>
              <w:t xml:space="preserve">      0.02</w:t>
            </w:r>
          </w:p>
        </w:tc>
        <w:tc>
          <w:tcPr>
            <w:tcW w:w="777" w:type="dxa"/>
            <w:tcBorders>
              <w:top w:val="nil"/>
              <w:bottom w:val="nil"/>
            </w:tcBorders>
          </w:tcPr>
          <w:p w:rsidR="00000000" w:rsidRDefault="00000000">
            <w:pPr>
              <w:rPr>
                <w:kern w:val="20"/>
                <w:sz w:val="18"/>
              </w:rPr>
            </w:pPr>
            <w:r>
              <w:rPr>
                <w:kern w:val="20"/>
                <w:sz w:val="18"/>
              </w:rPr>
              <w:t xml:space="preserve">     0.01</w:t>
            </w:r>
          </w:p>
        </w:tc>
        <w:tc>
          <w:tcPr>
            <w:tcW w:w="851" w:type="dxa"/>
            <w:tcBorders>
              <w:top w:val="nil"/>
              <w:bottom w:val="nil"/>
            </w:tcBorders>
          </w:tcPr>
          <w:p w:rsidR="00000000" w:rsidRDefault="00000000">
            <w:pPr>
              <w:rPr>
                <w:kern w:val="20"/>
                <w:sz w:val="18"/>
              </w:rPr>
            </w:pPr>
            <w:r>
              <w:rPr>
                <w:kern w:val="20"/>
                <w:sz w:val="18"/>
              </w:rPr>
              <w:t xml:space="preserve">     0.00</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Hotel, bar and</w:t>
            </w:r>
          </w:p>
          <w:p w:rsidR="00000000" w:rsidRDefault="00000000">
            <w:pPr>
              <w:rPr>
                <w:kern w:val="20"/>
                <w:sz w:val="18"/>
                <w:lang w:val="fr-FR"/>
              </w:rPr>
            </w:pPr>
            <w:r>
              <w:rPr>
                <w:kern w:val="20"/>
                <w:sz w:val="18"/>
                <w:lang w:val="fr-FR"/>
              </w:rPr>
              <w:t xml:space="preserve">  restaurant services,</w:t>
            </w:r>
          </w:p>
          <w:p w:rsidR="00000000" w:rsidRDefault="00000000">
            <w:pPr>
              <w:rPr>
                <w:kern w:val="20"/>
                <w:sz w:val="18"/>
                <w:lang w:val="fr-FR"/>
              </w:rPr>
            </w:pPr>
            <w:r>
              <w:rPr>
                <w:kern w:val="20"/>
                <w:sz w:val="18"/>
                <w:lang w:val="fr-FR"/>
              </w:rPr>
              <w:t xml:space="preserve">  restaurants</w:t>
            </w:r>
          </w:p>
        </w:tc>
        <w:tc>
          <w:tcPr>
            <w:tcW w:w="993" w:type="dxa"/>
            <w:tcBorders>
              <w:top w:val="nil"/>
              <w:bottom w:val="nil"/>
            </w:tcBorders>
          </w:tcPr>
          <w:p w:rsidR="00000000" w:rsidRDefault="00000000">
            <w:pPr>
              <w:rPr>
                <w:kern w:val="20"/>
                <w:sz w:val="18"/>
              </w:rPr>
            </w:pPr>
            <w:r>
              <w:rPr>
                <w:kern w:val="20"/>
                <w:sz w:val="18"/>
                <w:lang w:val="fr-FR"/>
              </w:rPr>
              <w:t xml:space="preserve">        </w:t>
            </w:r>
            <w:r>
              <w:rPr>
                <w:kern w:val="20"/>
                <w:sz w:val="18"/>
              </w:rPr>
              <w:t>1.20</w:t>
            </w:r>
          </w:p>
        </w:tc>
        <w:tc>
          <w:tcPr>
            <w:tcW w:w="892" w:type="dxa"/>
            <w:gridSpan w:val="2"/>
            <w:tcBorders>
              <w:top w:val="nil"/>
              <w:bottom w:val="nil"/>
            </w:tcBorders>
          </w:tcPr>
          <w:p w:rsidR="00000000" w:rsidRDefault="00000000">
            <w:pPr>
              <w:jc w:val="center"/>
              <w:rPr>
                <w:kern w:val="20"/>
                <w:sz w:val="18"/>
              </w:rPr>
            </w:pPr>
            <w:r>
              <w:rPr>
                <w:kern w:val="20"/>
                <w:sz w:val="18"/>
              </w:rPr>
              <w:t xml:space="preserve">  21</w:t>
            </w:r>
          </w:p>
        </w:tc>
        <w:tc>
          <w:tcPr>
            <w:tcW w:w="709" w:type="dxa"/>
            <w:tcBorders>
              <w:top w:val="nil"/>
              <w:bottom w:val="nil"/>
            </w:tcBorders>
          </w:tcPr>
          <w:p w:rsidR="00000000" w:rsidRDefault="00000000">
            <w:pPr>
              <w:rPr>
                <w:kern w:val="20"/>
                <w:sz w:val="18"/>
              </w:rPr>
            </w:pPr>
            <w:r>
              <w:rPr>
                <w:kern w:val="20"/>
                <w:sz w:val="18"/>
              </w:rPr>
              <w:t xml:space="preserve">   0.07</w:t>
            </w:r>
          </w:p>
        </w:tc>
        <w:tc>
          <w:tcPr>
            <w:tcW w:w="850" w:type="dxa"/>
            <w:tcBorders>
              <w:top w:val="nil"/>
              <w:bottom w:val="nil"/>
            </w:tcBorders>
          </w:tcPr>
          <w:p w:rsidR="00000000" w:rsidRDefault="00000000">
            <w:pPr>
              <w:rPr>
                <w:kern w:val="20"/>
                <w:sz w:val="18"/>
              </w:rPr>
            </w:pPr>
            <w:r>
              <w:rPr>
                <w:kern w:val="20"/>
                <w:sz w:val="18"/>
              </w:rPr>
              <w:t xml:space="preserve">     0.04</w:t>
            </w:r>
          </w:p>
        </w:tc>
        <w:tc>
          <w:tcPr>
            <w:tcW w:w="993" w:type="dxa"/>
            <w:tcBorders>
              <w:top w:val="nil"/>
              <w:bottom w:val="nil"/>
            </w:tcBorders>
          </w:tcPr>
          <w:p w:rsidR="00000000" w:rsidRDefault="00000000">
            <w:pPr>
              <w:rPr>
                <w:kern w:val="20"/>
                <w:sz w:val="18"/>
              </w:rPr>
            </w:pPr>
            <w:r>
              <w:rPr>
                <w:kern w:val="20"/>
                <w:sz w:val="18"/>
              </w:rPr>
              <w:t xml:space="preserve">       0.75</w:t>
            </w:r>
          </w:p>
        </w:tc>
        <w:tc>
          <w:tcPr>
            <w:tcW w:w="708" w:type="dxa"/>
            <w:tcBorders>
              <w:top w:val="nil"/>
              <w:bottom w:val="nil"/>
            </w:tcBorders>
          </w:tcPr>
          <w:p w:rsidR="00000000" w:rsidRDefault="00000000">
            <w:pPr>
              <w:rPr>
                <w:kern w:val="20"/>
                <w:sz w:val="18"/>
              </w:rPr>
            </w:pPr>
            <w:r>
              <w:rPr>
                <w:kern w:val="20"/>
                <w:sz w:val="18"/>
              </w:rPr>
              <w:t xml:space="preserve">    0.56</w:t>
            </w:r>
          </w:p>
        </w:tc>
        <w:tc>
          <w:tcPr>
            <w:tcW w:w="851" w:type="dxa"/>
            <w:tcBorders>
              <w:top w:val="nil"/>
              <w:bottom w:val="nil"/>
            </w:tcBorders>
          </w:tcPr>
          <w:p w:rsidR="00000000" w:rsidRDefault="00000000">
            <w:pPr>
              <w:rPr>
                <w:kern w:val="20"/>
                <w:sz w:val="18"/>
              </w:rPr>
            </w:pPr>
            <w:r>
              <w:rPr>
                <w:kern w:val="20"/>
                <w:sz w:val="18"/>
              </w:rPr>
              <w:t xml:space="preserve">      0.44</w:t>
            </w:r>
          </w:p>
        </w:tc>
        <w:tc>
          <w:tcPr>
            <w:tcW w:w="950" w:type="dxa"/>
            <w:gridSpan w:val="2"/>
            <w:tcBorders>
              <w:top w:val="nil"/>
              <w:bottom w:val="nil"/>
            </w:tcBorders>
          </w:tcPr>
          <w:p w:rsidR="00000000" w:rsidRDefault="00000000">
            <w:pPr>
              <w:rPr>
                <w:kern w:val="20"/>
                <w:sz w:val="18"/>
              </w:rPr>
            </w:pPr>
            <w:r>
              <w:rPr>
                <w:kern w:val="20"/>
                <w:sz w:val="18"/>
              </w:rPr>
              <w:t xml:space="preserve">          6</w:t>
            </w:r>
          </w:p>
        </w:tc>
        <w:tc>
          <w:tcPr>
            <w:tcW w:w="751" w:type="dxa"/>
            <w:tcBorders>
              <w:top w:val="nil"/>
              <w:bottom w:val="nil"/>
            </w:tcBorders>
          </w:tcPr>
          <w:p w:rsidR="00000000" w:rsidRDefault="00000000">
            <w:pPr>
              <w:rPr>
                <w:kern w:val="20"/>
                <w:sz w:val="18"/>
              </w:rPr>
            </w:pPr>
            <w:r>
              <w:rPr>
                <w:kern w:val="20"/>
                <w:sz w:val="18"/>
              </w:rPr>
              <w:t xml:space="preserve">    0.02</w:t>
            </w:r>
          </w:p>
        </w:tc>
        <w:tc>
          <w:tcPr>
            <w:tcW w:w="808" w:type="dxa"/>
            <w:tcBorders>
              <w:top w:val="nil"/>
              <w:bottom w:val="nil"/>
            </w:tcBorders>
          </w:tcPr>
          <w:p w:rsidR="00000000" w:rsidRDefault="00000000">
            <w:pPr>
              <w:rPr>
                <w:kern w:val="20"/>
                <w:sz w:val="18"/>
              </w:rPr>
            </w:pPr>
            <w:r>
              <w:rPr>
                <w:kern w:val="20"/>
                <w:sz w:val="18"/>
              </w:rPr>
              <w:t xml:space="preserve">     0.01</w:t>
            </w:r>
          </w:p>
        </w:tc>
        <w:tc>
          <w:tcPr>
            <w:tcW w:w="892" w:type="dxa"/>
            <w:tcBorders>
              <w:top w:val="nil"/>
              <w:bottom w:val="nil"/>
            </w:tcBorders>
          </w:tcPr>
          <w:p w:rsidR="00000000" w:rsidRDefault="00000000">
            <w:pPr>
              <w:rPr>
                <w:kern w:val="20"/>
                <w:sz w:val="18"/>
              </w:rPr>
            </w:pPr>
            <w:r>
              <w:rPr>
                <w:kern w:val="20"/>
                <w:sz w:val="18"/>
              </w:rPr>
              <w:t xml:space="preserve">      0.46</w:t>
            </w:r>
          </w:p>
        </w:tc>
        <w:tc>
          <w:tcPr>
            <w:tcW w:w="777" w:type="dxa"/>
            <w:tcBorders>
              <w:top w:val="nil"/>
              <w:bottom w:val="nil"/>
            </w:tcBorders>
          </w:tcPr>
          <w:p w:rsidR="00000000" w:rsidRDefault="00000000">
            <w:pPr>
              <w:rPr>
                <w:kern w:val="20"/>
                <w:sz w:val="18"/>
              </w:rPr>
            </w:pPr>
            <w:r>
              <w:rPr>
                <w:kern w:val="20"/>
                <w:sz w:val="18"/>
              </w:rPr>
              <w:t xml:space="preserve">     0.31</w:t>
            </w:r>
          </w:p>
        </w:tc>
        <w:tc>
          <w:tcPr>
            <w:tcW w:w="851" w:type="dxa"/>
            <w:tcBorders>
              <w:top w:val="nil"/>
              <w:bottom w:val="nil"/>
            </w:tcBorders>
          </w:tcPr>
          <w:p w:rsidR="00000000" w:rsidRDefault="00000000">
            <w:pPr>
              <w:rPr>
                <w:kern w:val="20"/>
                <w:sz w:val="18"/>
              </w:rPr>
            </w:pPr>
            <w:r>
              <w:rPr>
                <w:kern w:val="20"/>
                <w:sz w:val="18"/>
              </w:rPr>
              <w:t xml:space="preserve">     0.23</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Judiciary, education</w:t>
            </w:r>
          </w:p>
          <w:p w:rsidR="00000000" w:rsidRDefault="00000000">
            <w:pPr>
              <w:rPr>
                <w:kern w:val="20"/>
                <w:sz w:val="18"/>
              </w:rPr>
            </w:pPr>
            <w:r>
              <w:rPr>
                <w:kern w:val="20"/>
                <w:sz w:val="18"/>
              </w:rPr>
              <w:t xml:space="preserve">  and health services</w:t>
            </w:r>
          </w:p>
        </w:tc>
        <w:tc>
          <w:tcPr>
            <w:tcW w:w="993" w:type="dxa"/>
            <w:tcBorders>
              <w:top w:val="nil"/>
              <w:bottom w:val="nil"/>
            </w:tcBorders>
          </w:tcPr>
          <w:p w:rsidR="00000000" w:rsidRDefault="00000000">
            <w:pPr>
              <w:rPr>
                <w:kern w:val="20"/>
                <w:sz w:val="18"/>
              </w:rPr>
            </w:pPr>
            <w:r>
              <w:rPr>
                <w:kern w:val="20"/>
                <w:sz w:val="18"/>
              </w:rPr>
              <w:t xml:space="preserve">        2.10</w:t>
            </w:r>
          </w:p>
        </w:tc>
        <w:tc>
          <w:tcPr>
            <w:tcW w:w="892" w:type="dxa"/>
            <w:gridSpan w:val="2"/>
            <w:tcBorders>
              <w:top w:val="nil"/>
              <w:bottom w:val="nil"/>
            </w:tcBorders>
          </w:tcPr>
          <w:p w:rsidR="00000000" w:rsidRDefault="00000000">
            <w:pPr>
              <w:jc w:val="center"/>
              <w:rPr>
                <w:kern w:val="20"/>
                <w:sz w:val="18"/>
              </w:rPr>
            </w:pPr>
            <w:r>
              <w:rPr>
                <w:kern w:val="20"/>
                <w:sz w:val="18"/>
              </w:rPr>
              <w:t xml:space="preserve">   8</w:t>
            </w:r>
          </w:p>
        </w:tc>
        <w:tc>
          <w:tcPr>
            <w:tcW w:w="709" w:type="dxa"/>
            <w:tcBorders>
              <w:top w:val="nil"/>
              <w:bottom w:val="nil"/>
            </w:tcBorders>
          </w:tcPr>
          <w:p w:rsidR="00000000" w:rsidRDefault="00000000">
            <w:pPr>
              <w:rPr>
                <w:kern w:val="20"/>
                <w:sz w:val="18"/>
              </w:rPr>
            </w:pPr>
            <w:r>
              <w:rPr>
                <w:kern w:val="20"/>
                <w:sz w:val="18"/>
              </w:rPr>
              <w:t xml:space="preserve">   0.03</w:t>
            </w:r>
          </w:p>
        </w:tc>
        <w:tc>
          <w:tcPr>
            <w:tcW w:w="850" w:type="dxa"/>
            <w:tcBorders>
              <w:top w:val="nil"/>
              <w:bottom w:val="nil"/>
            </w:tcBorders>
          </w:tcPr>
          <w:p w:rsidR="00000000" w:rsidRDefault="00000000">
            <w:pPr>
              <w:rPr>
                <w:kern w:val="20"/>
                <w:sz w:val="18"/>
              </w:rPr>
            </w:pPr>
            <w:r>
              <w:rPr>
                <w:kern w:val="20"/>
                <w:sz w:val="18"/>
              </w:rPr>
              <w:t xml:space="preserve">     0.01</w:t>
            </w:r>
          </w:p>
        </w:tc>
        <w:tc>
          <w:tcPr>
            <w:tcW w:w="993" w:type="dxa"/>
            <w:tcBorders>
              <w:top w:val="nil"/>
              <w:bottom w:val="nil"/>
            </w:tcBorders>
          </w:tcPr>
          <w:p w:rsidR="00000000" w:rsidRDefault="00000000">
            <w:pPr>
              <w:rPr>
                <w:kern w:val="20"/>
                <w:sz w:val="18"/>
              </w:rPr>
            </w:pPr>
            <w:r>
              <w:rPr>
                <w:kern w:val="20"/>
                <w:sz w:val="18"/>
              </w:rPr>
              <w:t xml:space="preserve">       0.48</w:t>
            </w:r>
          </w:p>
        </w:tc>
        <w:tc>
          <w:tcPr>
            <w:tcW w:w="708" w:type="dxa"/>
            <w:tcBorders>
              <w:top w:val="nil"/>
              <w:bottom w:val="nil"/>
            </w:tcBorders>
          </w:tcPr>
          <w:p w:rsidR="00000000" w:rsidRDefault="00000000">
            <w:pPr>
              <w:rPr>
                <w:kern w:val="20"/>
                <w:sz w:val="18"/>
              </w:rPr>
            </w:pPr>
            <w:r>
              <w:rPr>
                <w:kern w:val="20"/>
                <w:sz w:val="18"/>
              </w:rPr>
              <w:t xml:space="preserve">    0.36</w:t>
            </w:r>
          </w:p>
        </w:tc>
        <w:tc>
          <w:tcPr>
            <w:tcW w:w="851" w:type="dxa"/>
            <w:tcBorders>
              <w:top w:val="nil"/>
              <w:bottom w:val="nil"/>
            </w:tcBorders>
          </w:tcPr>
          <w:p w:rsidR="00000000" w:rsidRDefault="00000000">
            <w:pPr>
              <w:rPr>
                <w:kern w:val="20"/>
                <w:sz w:val="18"/>
              </w:rPr>
            </w:pPr>
            <w:r>
              <w:rPr>
                <w:kern w:val="20"/>
                <w:sz w:val="18"/>
              </w:rPr>
              <w:t xml:space="preserve">      0.28</w:t>
            </w:r>
          </w:p>
        </w:tc>
        <w:tc>
          <w:tcPr>
            <w:tcW w:w="950" w:type="dxa"/>
            <w:gridSpan w:val="2"/>
            <w:tcBorders>
              <w:top w:val="nil"/>
              <w:bottom w:val="nil"/>
            </w:tcBorders>
          </w:tcPr>
          <w:p w:rsidR="00000000" w:rsidRDefault="00000000">
            <w:pPr>
              <w:rPr>
                <w:kern w:val="20"/>
                <w:sz w:val="18"/>
              </w:rPr>
            </w:pPr>
            <w:r>
              <w:rPr>
                <w:kern w:val="20"/>
                <w:sz w:val="18"/>
              </w:rPr>
              <w:t xml:space="preserve">          2</w:t>
            </w:r>
          </w:p>
        </w:tc>
        <w:tc>
          <w:tcPr>
            <w:tcW w:w="751" w:type="dxa"/>
            <w:tcBorders>
              <w:top w:val="nil"/>
              <w:bottom w:val="nil"/>
            </w:tcBorders>
          </w:tcPr>
          <w:p w:rsidR="00000000" w:rsidRDefault="00000000">
            <w:pPr>
              <w:rPr>
                <w:kern w:val="20"/>
                <w:sz w:val="18"/>
              </w:rPr>
            </w:pPr>
            <w:r>
              <w:rPr>
                <w:kern w:val="20"/>
                <w:sz w:val="18"/>
              </w:rPr>
              <w:t xml:space="preserve">    0.01</w:t>
            </w:r>
          </w:p>
        </w:tc>
        <w:tc>
          <w:tcPr>
            <w:tcW w:w="808" w:type="dxa"/>
            <w:tcBorders>
              <w:top w:val="nil"/>
              <w:bottom w:val="nil"/>
            </w:tcBorders>
          </w:tcPr>
          <w:p w:rsidR="00000000" w:rsidRDefault="00000000">
            <w:pPr>
              <w:rPr>
                <w:kern w:val="20"/>
                <w:sz w:val="18"/>
              </w:rPr>
            </w:pPr>
            <w:r>
              <w:rPr>
                <w:kern w:val="20"/>
                <w:sz w:val="18"/>
              </w:rPr>
              <w:t xml:space="preserve">    0.00</w:t>
            </w:r>
          </w:p>
        </w:tc>
        <w:tc>
          <w:tcPr>
            <w:tcW w:w="892" w:type="dxa"/>
            <w:tcBorders>
              <w:top w:val="nil"/>
              <w:bottom w:val="nil"/>
            </w:tcBorders>
          </w:tcPr>
          <w:p w:rsidR="00000000" w:rsidRDefault="00000000">
            <w:pPr>
              <w:rPr>
                <w:kern w:val="20"/>
                <w:sz w:val="18"/>
              </w:rPr>
            </w:pPr>
            <w:r>
              <w:rPr>
                <w:kern w:val="20"/>
                <w:sz w:val="18"/>
              </w:rPr>
              <w:t xml:space="preserve">      0.28</w:t>
            </w:r>
          </w:p>
        </w:tc>
        <w:tc>
          <w:tcPr>
            <w:tcW w:w="777" w:type="dxa"/>
            <w:tcBorders>
              <w:top w:val="nil"/>
              <w:bottom w:val="nil"/>
            </w:tcBorders>
          </w:tcPr>
          <w:p w:rsidR="00000000" w:rsidRDefault="00000000">
            <w:pPr>
              <w:rPr>
                <w:kern w:val="20"/>
                <w:sz w:val="18"/>
              </w:rPr>
            </w:pPr>
            <w:r>
              <w:rPr>
                <w:kern w:val="20"/>
                <w:sz w:val="18"/>
              </w:rPr>
              <w:t xml:space="preserve">     0.18</w:t>
            </w:r>
          </w:p>
        </w:tc>
        <w:tc>
          <w:tcPr>
            <w:tcW w:w="851" w:type="dxa"/>
            <w:tcBorders>
              <w:top w:val="nil"/>
              <w:bottom w:val="nil"/>
            </w:tcBorders>
          </w:tcPr>
          <w:p w:rsidR="00000000" w:rsidRDefault="00000000">
            <w:pPr>
              <w:rPr>
                <w:kern w:val="20"/>
                <w:sz w:val="18"/>
              </w:rPr>
            </w:pPr>
            <w:r>
              <w:rPr>
                <w:kern w:val="20"/>
                <w:sz w:val="18"/>
              </w:rPr>
              <w:t xml:space="preserve">     0.13</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Proprietor</w:t>
            </w:r>
          </w:p>
        </w:tc>
        <w:tc>
          <w:tcPr>
            <w:tcW w:w="993" w:type="dxa"/>
            <w:tcBorders>
              <w:top w:val="nil"/>
              <w:bottom w:val="nil"/>
            </w:tcBorders>
          </w:tcPr>
          <w:p w:rsidR="00000000" w:rsidRDefault="00000000">
            <w:pPr>
              <w:rPr>
                <w:kern w:val="20"/>
                <w:sz w:val="18"/>
              </w:rPr>
            </w:pPr>
            <w:r>
              <w:rPr>
                <w:kern w:val="20"/>
                <w:sz w:val="18"/>
              </w:rPr>
              <w:t xml:space="preserve">        0.20</w:t>
            </w:r>
          </w:p>
        </w:tc>
        <w:tc>
          <w:tcPr>
            <w:tcW w:w="892" w:type="dxa"/>
            <w:gridSpan w:val="2"/>
            <w:tcBorders>
              <w:top w:val="nil"/>
              <w:bottom w:val="nil"/>
            </w:tcBorders>
          </w:tcPr>
          <w:p w:rsidR="00000000" w:rsidRDefault="00000000">
            <w:pPr>
              <w:jc w:val="center"/>
              <w:rPr>
                <w:kern w:val="20"/>
                <w:sz w:val="18"/>
              </w:rPr>
            </w:pPr>
            <w:r>
              <w:rPr>
                <w:kern w:val="20"/>
                <w:sz w:val="18"/>
              </w:rPr>
              <w:t xml:space="preserve">   3</w:t>
            </w:r>
          </w:p>
        </w:tc>
        <w:tc>
          <w:tcPr>
            <w:tcW w:w="709" w:type="dxa"/>
            <w:tcBorders>
              <w:top w:val="nil"/>
              <w:bottom w:val="nil"/>
            </w:tcBorders>
          </w:tcPr>
          <w:p w:rsidR="00000000" w:rsidRDefault="00000000">
            <w:pPr>
              <w:rPr>
                <w:kern w:val="20"/>
                <w:sz w:val="18"/>
              </w:rPr>
            </w:pPr>
            <w:r>
              <w:rPr>
                <w:kern w:val="20"/>
                <w:sz w:val="18"/>
              </w:rPr>
              <w:t xml:space="preserve">   0.01</w:t>
            </w:r>
          </w:p>
        </w:tc>
        <w:tc>
          <w:tcPr>
            <w:tcW w:w="850" w:type="dxa"/>
            <w:tcBorders>
              <w:top w:val="nil"/>
              <w:bottom w:val="nil"/>
            </w:tcBorders>
          </w:tcPr>
          <w:p w:rsidR="00000000" w:rsidRDefault="00000000">
            <w:pPr>
              <w:rPr>
                <w:kern w:val="20"/>
                <w:sz w:val="18"/>
              </w:rPr>
            </w:pPr>
            <w:r>
              <w:rPr>
                <w:kern w:val="20"/>
                <w:sz w:val="18"/>
              </w:rPr>
              <w:t xml:space="preserve">     0.00</w:t>
            </w:r>
          </w:p>
        </w:tc>
        <w:tc>
          <w:tcPr>
            <w:tcW w:w="993" w:type="dxa"/>
            <w:tcBorders>
              <w:top w:val="nil"/>
              <w:bottom w:val="nil"/>
            </w:tcBorders>
          </w:tcPr>
          <w:p w:rsidR="00000000" w:rsidRDefault="00000000">
            <w:pPr>
              <w:rPr>
                <w:kern w:val="20"/>
                <w:sz w:val="18"/>
              </w:rPr>
            </w:pPr>
            <w:r>
              <w:rPr>
                <w:kern w:val="20"/>
                <w:sz w:val="18"/>
              </w:rPr>
              <w:t xml:space="preserve">       0.02</w:t>
            </w:r>
          </w:p>
        </w:tc>
        <w:tc>
          <w:tcPr>
            <w:tcW w:w="708" w:type="dxa"/>
            <w:tcBorders>
              <w:top w:val="nil"/>
              <w:bottom w:val="nil"/>
            </w:tcBorders>
          </w:tcPr>
          <w:p w:rsidR="00000000" w:rsidRDefault="00000000">
            <w:pPr>
              <w:rPr>
                <w:kern w:val="20"/>
                <w:sz w:val="18"/>
              </w:rPr>
            </w:pPr>
            <w:r>
              <w:rPr>
                <w:kern w:val="20"/>
                <w:sz w:val="18"/>
              </w:rPr>
              <w:t xml:space="preserve">    0.01</w:t>
            </w:r>
          </w:p>
        </w:tc>
        <w:tc>
          <w:tcPr>
            <w:tcW w:w="851" w:type="dxa"/>
            <w:tcBorders>
              <w:top w:val="nil"/>
              <w:bottom w:val="nil"/>
            </w:tcBorders>
          </w:tcPr>
          <w:p w:rsidR="00000000" w:rsidRDefault="00000000">
            <w:pPr>
              <w:rPr>
                <w:kern w:val="20"/>
                <w:sz w:val="18"/>
              </w:rPr>
            </w:pPr>
            <w:r>
              <w:rPr>
                <w:kern w:val="20"/>
                <w:sz w:val="18"/>
              </w:rPr>
              <w:t xml:space="preserve">      0.01</w:t>
            </w:r>
          </w:p>
        </w:tc>
        <w:tc>
          <w:tcPr>
            <w:tcW w:w="950" w:type="dxa"/>
            <w:gridSpan w:val="2"/>
            <w:tcBorders>
              <w:top w:val="nil"/>
              <w:bottom w:val="nil"/>
            </w:tcBorders>
          </w:tcPr>
          <w:p w:rsidR="00000000" w:rsidRDefault="00000000">
            <w:pPr>
              <w:rPr>
                <w:kern w:val="20"/>
                <w:sz w:val="18"/>
              </w:rPr>
            </w:pPr>
            <w:r>
              <w:rPr>
                <w:kern w:val="20"/>
                <w:sz w:val="18"/>
              </w:rPr>
              <w:t xml:space="preserve">          1</w:t>
            </w:r>
          </w:p>
        </w:tc>
        <w:tc>
          <w:tcPr>
            <w:tcW w:w="751" w:type="dxa"/>
            <w:tcBorders>
              <w:top w:val="nil"/>
              <w:bottom w:val="nil"/>
            </w:tcBorders>
          </w:tcPr>
          <w:p w:rsidR="00000000" w:rsidRDefault="00000000">
            <w:pPr>
              <w:rPr>
                <w:kern w:val="20"/>
                <w:sz w:val="18"/>
              </w:rPr>
            </w:pPr>
            <w:r>
              <w:rPr>
                <w:kern w:val="20"/>
                <w:sz w:val="18"/>
              </w:rPr>
              <w:t xml:space="preserve">    0.00</w:t>
            </w:r>
          </w:p>
        </w:tc>
        <w:tc>
          <w:tcPr>
            <w:tcW w:w="808" w:type="dxa"/>
            <w:tcBorders>
              <w:top w:val="nil"/>
              <w:bottom w:val="nil"/>
            </w:tcBorders>
          </w:tcPr>
          <w:p w:rsidR="00000000" w:rsidRDefault="00000000">
            <w:pPr>
              <w:rPr>
                <w:kern w:val="20"/>
                <w:sz w:val="18"/>
              </w:rPr>
            </w:pPr>
            <w:r>
              <w:rPr>
                <w:kern w:val="20"/>
                <w:sz w:val="18"/>
              </w:rPr>
              <w:t xml:space="preserve">    0.00</w:t>
            </w:r>
          </w:p>
        </w:tc>
        <w:tc>
          <w:tcPr>
            <w:tcW w:w="892" w:type="dxa"/>
            <w:tcBorders>
              <w:top w:val="nil"/>
              <w:bottom w:val="nil"/>
            </w:tcBorders>
          </w:tcPr>
          <w:p w:rsidR="00000000" w:rsidRDefault="00000000">
            <w:pPr>
              <w:rPr>
                <w:kern w:val="20"/>
                <w:sz w:val="18"/>
              </w:rPr>
            </w:pPr>
            <w:r>
              <w:rPr>
                <w:kern w:val="20"/>
                <w:sz w:val="18"/>
              </w:rPr>
              <w:t xml:space="preserve">      0.01</w:t>
            </w:r>
          </w:p>
        </w:tc>
        <w:tc>
          <w:tcPr>
            <w:tcW w:w="777" w:type="dxa"/>
            <w:tcBorders>
              <w:top w:val="nil"/>
              <w:bottom w:val="nil"/>
            </w:tcBorders>
          </w:tcPr>
          <w:p w:rsidR="00000000" w:rsidRDefault="00000000">
            <w:pPr>
              <w:rPr>
                <w:kern w:val="20"/>
                <w:sz w:val="18"/>
              </w:rPr>
            </w:pPr>
            <w:r>
              <w:rPr>
                <w:kern w:val="20"/>
                <w:sz w:val="18"/>
              </w:rPr>
              <w:t xml:space="preserve">     0.00</w:t>
            </w:r>
          </w:p>
        </w:tc>
        <w:tc>
          <w:tcPr>
            <w:tcW w:w="851" w:type="dxa"/>
            <w:tcBorders>
              <w:top w:val="nil"/>
              <w:bottom w:val="nil"/>
            </w:tcBorders>
          </w:tcPr>
          <w:p w:rsidR="00000000" w:rsidRDefault="00000000">
            <w:pPr>
              <w:rPr>
                <w:kern w:val="20"/>
                <w:sz w:val="18"/>
              </w:rPr>
            </w:pPr>
            <w:r>
              <w:rPr>
                <w:kern w:val="20"/>
                <w:sz w:val="18"/>
              </w:rPr>
              <w:t xml:space="preserve">     0.00</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Entertainment and</w:t>
            </w:r>
          </w:p>
          <w:p w:rsidR="00000000" w:rsidRDefault="00000000">
            <w:pPr>
              <w:rPr>
                <w:kern w:val="20"/>
                <w:sz w:val="18"/>
              </w:rPr>
            </w:pPr>
            <w:r>
              <w:rPr>
                <w:kern w:val="20"/>
                <w:sz w:val="18"/>
              </w:rPr>
              <w:t xml:space="preserve">  crafts services</w:t>
            </w:r>
          </w:p>
        </w:tc>
        <w:tc>
          <w:tcPr>
            <w:tcW w:w="993" w:type="dxa"/>
            <w:tcBorders>
              <w:top w:val="nil"/>
              <w:bottom w:val="nil"/>
            </w:tcBorders>
          </w:tcPr>
          <w:p w:rsidR="00000000" w:rsidRDefault="00000000">
            <w:pPr>
              <w:rPr>
                <w:kern w:val="20"/>
                <w:sz w:val="18"/>
              </w:rPr>
            </w:pPr>
            <w:r>
              <w:rPr>
                <w:kern w:val="20"/>
                <w:sz w:val="18"/>
              </w:rPr>
              <w:t xml:space="preserve">        0.30</w:t>
            </w:r>
          </w:p>
        </w:tc>
        <w:tc>
          <w:tcPr>
            <w:tcW w:w="892" w:type="dxa"/>
            <w:gridSpan w:val="2"/>
            <w:tcBorders>
              <w:top w:val="nil"/>
              <w:bottom w:val="nil"/>
            </w:tcBorders>
          </w:tcPr>
          <w:p w:rsidR="00000000" w:rsidRDefault="00000000">
            <w:pPr>
              <w:jc w:val="center"/>
              <w:rPr>
                <w:kern w:val="20"/>
                <w:sz w:val="18"/>
              </w:rPr>
            </w:pPr>
            <w:r>
              <w:rPr>
                <w:kern w:val="20"/>
                <w:sz w:val="18"/>
              </w:rPr>
              <w:t xml:space="preserve"> 14</w:t>
            </w:r>
          </w:p>
        </w:tc>
        <w:tc>
          <w:tcPr>
            <w:tcW w:w="709" w:type="dxa"/>
            <w:tcBorders>
              <w:top w:val="nil"/>
              <w:bottom w:val="nil"/>
            </w:tcBorders>
          </w:tcPr>
          <w:p w:rsidR="00000000" w:rsidRDefault="00000000">
            <w:pPr>
              <w:rPr>
                <w:kern w:val="20"/>
                <w:sz w:val="18"/>
              </w:rPr>
            </w:pPr>
            <w:r>
              <w:rPr>
                <w:kern w:val="20"/>
                <w:sz w:val="18"/>
              </w:rPr>
              <w:t xml:space="preserve">   0.05</w:t>
            </w:r>
          </w:p>
        </w:tc>
        <w:tc>
          <w:tcPr>
            <w:tcW w:w="850" w:type="dxa"/>
            <w:tcBorders>
              <w:top w:val="nil"/>
              <w:bottom w:val="nil"/>
            </w:tcBorders>
          </w:tcPr>
          <w:p w:rsidR="00000000" w:rsidRDefault="00000000">
            <w:pPr>
              <w:rPr>
                <w:kern w:val="20"/>
                <w:sz w:val="18"/>
              </w:rPr>
            </w:pPr>
            <w:r>
              <w:rPr>
                <w:kern w:val="20"/>
                <w:sz w:val="18"/>
              </w:rPr>
              <w:t xml:space="preserve">     0.03</w:t>
            </w:r>
          </w:p>
        </w:tc>
        <w:tc>
          <w:tcPr>
            <w:tcW w:w="993" w:type="dxa"/>
            <w:tcBorders>
              <w:top w:val="nil"/>
              <w:bottom w:val="nil"/>
            </w:tcBorders>
          </w:tcPr>
          <w:p w:rsidR="00000000" w:rsidRDefault="00000000">
            <w:pPr>
              <w:rPr>
                <w:kern w:val="20"/>
                <w:sz w:val="18"/>
              </w:rPr>
            </w:pPr>
            <w:r>
              <w:rPr>
                <w:kern w:val="20"/>
                <w:sz w:val="18"/>
              </w:rPr>
              <w:t xml:space="preserve">       0.12</w:t>
            </w:r>
          </w:p>
        </w:tc>
        <w:tc>
          <w:tcPr>
            <w:tcW w:w="708" w:type="dxa"/>
            <w:tcBorders>
              <w:top w:val="nil"/>
              <w:bottom w:val="nil"/>
            </w:tcBorders>
          </w:tcPr>
          <w:p w:rsidR="00000000" w:rsidRDefault="00000000">
            <w:pPr>
              <w:rPr>
                <w:kern w:val="20"/>
                <w:sz w:val="18"/>
              </w:rPr>
            </w:pPr>
            <w:r>
              <w:rPr>
                <w:kern w:val="20"/>
                <w:sz w:val="18"/>
              </w:rPr>
              <w:t xml:space="preserve">    0.09</w:t>
            </w:r>
          </w:p>
        </w:tc>
        <w:tc>
          <w:tcPr>
            <w:tcW w:w="851" w:type="dxa"/>
            <w:tcBorders>
              <w:top w:val="nil"/>
              <w:bottom w:val="nil"/>
            </w:tcBorders>
          </w:tcPr>
          <w:p w:rsidR="00000000" w:rsidRDefault="00000000">
            <w:pPr>
              <w:rPr>
                <w:kern w:val="20"/>
                <w:sz w:val="18"/>
              </w:rPr>
            </w:pPr>
            <w:r>
              <w:rPr>
                <w:kern w:val="20"/>
                <w:sz w:val="18"/>
              </w:rPr>
              <w:t xml:space="preserve">      0.08</w:t>
            </w:r>
          </w:p>
        </w:tc>
        <w:tc>
          <w:tcPr>
            <w:tcW w:w="950" w:type="dxa"/>
            <w:gridSpan w:val="2"/>
            <w:tcBorders>
              <w:top w:val="nil"/>
              <w:bottom w:val="nil"/>
            </w:tcBorders>
          </w:tcPr>
          <w:p w:rsidR="00000000" w:rsidRDefault="00000000">
            <w:pPr>
              <w:rPr>
                <w:kern w:val="20"/>
                <w:sz w:val="18"/>
              </w:rPr>
            </w:pPr>
            <w:r>
              <w:rPr>
                <w:kern w:val="20"/>
                <w:sz w:val="18"/>
              </w:rPr>
              <w:t xml:space="preserve">          4</w:t>
            </w:r>
          </w:p>
        </w:tc>
        <w:tc>
          <w:tcPr>
            <w:tcW w:w="751" w:type="dxa"/>
            <w:tcBorders>
              <w:top w:val="nil"/>
              <w:bottom w:val="nil"/>
            </w:tcBorders>
          </w:tcPr>
          <w:p w:rsidR="00000000" w:rsidRDefault="00000000">
            <w:pPr>
              <w:rPr>
                <w:kern w:val="20"/>
                <w:sz w:val="18"/>
              </w:rPr>
            </w:pPr>
            <w:r>
              <w:rPr>
                <w:kern w:val="20"/>
                <w:sz w:val="18"/>
              </w:rPr>
              <w:t xml:space="preserve">    0.01</w:t>
            </w:r>
          </w:p>
        </w:tc>
        <w:tc>
          <w:tcPr>
            <w:tcW w:w="808" w:type="dxa"/>
            <w:tcBorders>
              <w:top w:val="nil"/>
              <w:bottom w:val="nil"/>
            </w:tcBorders>
          </w:tcPr>
          <w:p w:rsidR="00000000" w:rsidRDefault="00000000">
            <w:pPr>
              <w:rPr>
                <w:kern w:val="20"/>
                <w:sz w:val="18"/>
              </w:rPr>
            </w:pPr>
            <w:r>
              <w:rPr>
                <w:kern w:val="20"/>
                <w:sz w:val="18"/>
              </w:rPr>
              <w:t xml:space="preserve">    0.01</w:t>
            </w:r>
          </w:p>
        </w:tc>
        <w:tc>
          <w:tcPr>
            <w:tcW w:w="892" w:type="dxa"/>
            <w:tcBorders>
              <w:top w:val="nil"/>
              <w:bottom w:val="nil"/>
            </w:tcBorders>
          </w:tcPr>
          <w:p w:rsidR="00000000" w:rsidRDefault="00000000">
            <w:pPr>
              <w:rPr>
                <w:kern w:val="20"/>
                <w:sz w:val="18"/>
              </w:rPr>
            </w:pPr>
            <w:r>
              <w:rPr>
                <w:kern w:val="20"/>
                <w:sz w:val="18"/>
              </w:rPr>
              <w:t xml:space="preserve">      0.09</w:t>
            </w:r>
          </w:p>
        </w:tc>
        <w:tc>
          <w:tcPr>
            <w:tcW w:w="777" w:type="dxa"/>
            <w:tcBorders>
              <w:top w:val="nil"/>
              <w:bottom w:val="nil"/>
            </w:tcBorders>
          </w:tcPr>
          <w:p w:rsidR="00000000" w:rsidRDefault="00000000">
            <w:pPr>
              <w:rPr>
                <w:kern w:val="20"/>
                <w:sz w:val="18"/>
              </w:rPr>
            </w:pPr>
            <w:r>
              <w:rPr>
                <w:kern w:val="20"/>
                <w:sz w:val="18"/>
              </w:rPr>
              <w:t xml:space="preserve">     0.07</w:t>
            </w:r>
          </w:p>
        </w:tc>
        <w:tc>
          <w:tcPr>
            <w:tcW w:w="851" w:type="dxa"/>
            <w:tcBorders>
              <w:top w:val="nil"/>
              <w:bottom w:val="nil"/>
            </w:tcBorders>
          </w:tcPr>
          <w:p w:rsidR="00000000" w:rsidRDefault="00000000">
            <w:pPr>
              <w:rPr>
                <w:kern w:val="20"/>
                <w:sz w:val="18"/>
              </w:rPr>
            </w:pPr>
            <w:r>
              <w:rPr>
                <w:kern w:val="20"/>
                <w:sz w:val="18"/>
              </w:rPr>
              <w:t xml:space="preserve">     0.05</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Repair services</w:t>
            </w:r>
          </w:p>
        </w:tc>
        <w:tc>
          <w:tcPr>
            <w:tcW w:w="993" w:type="dxa"/>
            <w:tcBorders>
              <w:top w:val="nil"/>
              <w:bottom w:val="nil"/>
            </w:tcBorders>
          </w:tcPr>
          <w:p w:rsidR="00000000" w:rsidRDefault="00000000">
            <w:pPr>
              <w:rPr>
                <w:kern w:val="20"/>
                <w:sz w:val="18"/>
              </w:rPr>
            </w:pPr>
            <w:r>
              <w:rPr>
                <w:kern w:val="20"/>
                <w:sz w:val="18"/>
              </w:rPr>
              <w:t xml:space="preserve">        1.00</w:t>
            </w:r>
          </w:p>
        </w:tc>
        <w:tc>
          <w:tcPr>
            <w:tcW w:w="892" w:type="dxa"/>
            <w:gridSpan w:val="2"/>
            <w:tcBorders>
              <w:top w:val="nil"/>
              <w:bottom w:val="nil"/>
            </w:tcBorders>
          </w:tcPr>
          <w:p w:rsidR="00000000" w:rsidRDefault="00000000">
            <w:pPr>
              <w:jc w:val="center"/>
              <w:rPr>
                <w:kern w:val="20"/>
                <w:sz w:val="18"/>
              </w:rPr>
            </w:pPr>
            <w:r>
              <w:rPr>
                <w:kern w:val="20"/>
                <w:sz w:val="18"/>
              </w:rPr>
              <w:t>16</w:t>
            </w:r>
          </w:p>
        </w:tc>
        <w:tc>
          <w:tcPr>
            <w:tcW w:w="709" w:type="dxa"/>
            <w:tcBorders>
              <w:top w:val="nil"/>
              <w:bottom w:val="nil"/>
            </w:tcBorders>
          </w:tcPr>
          <w:p w:rsidR="00000000" w:rsidRDefault="00000000">
            <w:pPr>
              <w:rPr>
                <w:kern w:val="20"/>
                <w:sz w:val="18"/>
              </w:rPr>
            </w:pPr>
            <w:r>
              <w:rPr>
                <w:kern w:val="20"/>
                <w:sz w:val="18"/>
              </w:rPr>
              <w:t xml:space="preserve">   0.05</w:t>
            </w:r>
          </w:p>
        </w:tc>
        <w:tc>
          <w:tcPr>
            <w:tcW w:w="850" w:type="dxa"/>
            <w:tcBorders>
              <w:top w:val="nil"/>
              <w:bottom w:val="nil"/>
            </w:tcBorders>
          </w:tcPr>
          <w:p w:rsidR="00000000" w:rsidRDefault="00000000">
            <w:pPr>
              <w:rPr>
                <w:kern w:val="20"/>
                <w:sz w:val="18"/>
              </w:rPr>
            </w:pPr>
            <w:r>
              <w:rPr>
                <w:kern w:val="20"/>
                <w:sz w:val="18"/>
              </w:rPr>
              <w:t xml:space="preserve">     0.03</w:t>
            </w:r>
          </w:p>
        </w:tc>
        <w:tc>
          <w:tcPr>
            <w:tcW w:w="993" w:type="dxa"/>
            <w:tcBorders>
              <w:top w:val="nil"/>
              <w:bottom w:val="nil"/>
            </w:tcBorders>
          </w:tcPr>
          <w:p w:rsidR="00000000" w:rsidRDefault="00000000">
            <w:pPr>
              <w:rPr>
                <w:kern w:val="20"/>
                <w:sz w:val="18"/>
              </w:rPr>
            </w:pPr>
            <w:r>
              <w:rPr>
                <w:kern w:val="20"/>
                <w:sz w:val="18"/>
              </w:rPr>
              <w:t xml:space="preserve">       0.46</w:t>
            </w:r>
          </w:p>
        </w:tc>
        <w:tc>
          <w:tcPr>
            <w:tcW w:w="708" w:type="dxa"/>
            <w:tcBorders>
              <w:top w:val="nil"/>
              <w:bottom w:val="nil"/>
            </w:tcBorders>
          </w:tcPr>
          <w:p w:rsidR="00000000" w:rsidRDefault="00000000">
            <w:pPr>
              <w:rPr>
                <w:kern w:val="20"/>
                <w:sz w:val="18"/>
              </w:rPr>
            </w:pPr>
            <w:r>
              <w:rPr>
                <w:kern w:val="20"/>
                <w:sz w:val="18"/>
              </w:rPr>
              <w:t xml:space="preserve">    0.35</w:t>
            </w:r>
          </w:p>
        </w:tc>
        <w:tc>
          <w:tcPr>
            <w:tcW w:w="851" w:type="dxa"/>
            <w:tcBorders>
              <w:top w:val="nil"/>
              <w:bottom w:val="nil"/>
            </w:tcBorders>
          </w:tcPr>
          <w:p w:rsidR="00000000" w:rsidRDefault="00000000">
            <w:pPr>
              <w:rPr>
                <w:kern w:val="20"/>
                <w:sz w:val="18"/>
              </w:rPr>
            </w:pPr>
            <w:r>
              <w:rPr>
                <w:kern w:val="20"/>
                <w:sz w:val="18"/>
              </w:rPr>
              <w:t xml:space="preserve">      0.28</w:t>
            </w:r>
          </w:p>
        </w:tc>
        <w:tc>
          <w:tcPr>
            <w:tcW w:w="950" w:type="dxa"/>
            <w:gridSpan w:val="2"/>
            <w:tcBorders>
              <w:top w:val="nil"/>
              <w:bottom w:val="nil"/>
            </w:tcBorders>
          </w:tcPr>
          <w:p w:rsidR="00000000" w:rsidRDefault="00000000">
            <w:pPr>
              <w:rPr>
                <w:kern w:val="20"/>
                <w:sz w:val="18"/>
              </w:rPr>
            </w:pPr>
            <w:r>
              <w:rPr>
                <w:kern w:val="20"/>
                <w:sz w:val="18"/>
              </w:rPr>
              <w:t xml:space="preserve">          4</w:t>
            </w:r>
          </w:p>
        </w:tc>
        <w:tc>
          <w:tcPr>
            <w:tcW w:w="751" w:type="dxa"/>
            <w:tcBorders>
              <w:top w:val="nil"/>
              <w:bottom w:val="nil"/>
            </w:tcBorders>
          </w:tcPr>
          <w:p w:rsidR="00000000" w:rsidRDefault="00000000">
            <w:pPr>
              <w:rPr>
                <w:kern w:val="20"/>
                <w:sz w:val="18"/>
              </w:rPr>
            </w:pPr>
            <w:r>
              <w:rPr>
                <w:kern w:val="20"/>
                <w:sz w:val="18"/>
              </w:rPr>
              <w:t xml:space="preserve">    0.01</w:t>
            </w:r>
          </w:p>
        </w:tc>
        <w:tc>
          <w:tcPr>
            <w:tcW w:w="808" w:type="dxa"/>
            <w:tcBorders>
              <w:top w:val="nil"/>
              <w:bottom w:val="nil"/>
            </w:tcBorders>
          </w:tcPr>
          <w:p w:rsidR="00000000" w:rsidRDefault="00000000">
            <w:pPr>
              <w:rPr>
                <w:kern w:val="20"/>
                <w:sz w:val="18"/>
              </w:rPr>
            </w:pPr>
            <w:r>
              <w:rPr>
                <w:kern w:val="20"/>
                <w:sz w:val="18"/>
              </w:rPr>
              <w:t xml:space="preserve">    0.01</w:t>
            </w:r>
          </w:p>
        </w:tc>
        <w:tc>
          <w:tcPr>
            <w:tcW w:w="892" w:type="dxa"/>
            <w:tcBorders>
              <w:top w:val="nil"/>
              <w:bottom w:val="nil"/>
            </w:tcBorders>
          </w:tcPr>
          <w:p w:rsidR="00000000" w:rsidRDefault="00000000">
            <w:pPr>
              <w:rPr>
                <w:kern w:val="20"/>
                <w:sz w:val="18"/>
              </w:rPr>
            </w:pPr>
            <w:r>
              <w:rPr>
                <w:kern w:val="20"/>
                <w:sz w:val="18"/>
              </w:rPr>
              <w:t xml:space="preserve">      0.28</w:t>
            </w:r>
          </w:p>
        </w:tc>
        <w:tc>
          <w:tcPr>
            <w:tcW w:w="777" w:type="dxa"/>
            <w:tcBorders>
              <w:top w:val="nil"/>
              <w:bottom w:val="nil"/>
            </w:tcBorders>
          </w:tcPr>
          <w:p w:rsidR="00000000" w:rsidRDefault="00000000">
            <w:pPr>
              <w:rPr>
                <w:kern w:val="20"/>
                <w:sz w:val="18"/>
              </w:rPr>
            </w:pPr>
            <w:r>
              <w:rPr>
                <w:kern w:val="20"/>
                <w:sz w:val="18"/>
              </w:rPr>
              <w:t xml:space="preserve">     0.20</w:t>
            </w:r>
          </w:p>
        </w:tc>
        <w:tc>
          <w:tcPr>
            <w:tcW w:w="851" w:type="dxa"/>
            <w:tcBorders>
              <w:top w:val="nil"/>
              <w:bottom w:val="nil"/>
            </w:tcBorders>
          </w:tcPr>
          <w:p w:rsidR="00000000" w:rsidRDefault="00000000">
            <w:pPr>
              <w:rPr>
                <w:kern w:val="20"/>
                <w:sz w:val="18"/>
              </w:rPr>
            </w:pPr>
            <w:r>
              <w:rPr>
                <w:kern w:val="20"/>
                <w:sz w:val="18"/>
              </w:rPr>
              <w:t xml:space="preserve">     0.14</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Transportation</w:t>
            </w:r>
          </w:p>
          <w:p w:rsidR="00000000" w:rsidRDefault="00000000">
            <w:pPr>
              <w:rPr>
                <w:kern w:val="20"/>
                <w:sz w:val="18"/>
              </w:rPr>
            </w:pPr>
            <w:r>
              <w:rPr>
                <w:kern w:val="20"/>
                <w:sz w:val="18"/>
              </w:rPr>
              <w:t xml:space="preserve">  services</w:t>
            </w:r>
          </w:p>
        </w:tc>
        <w:tc>
          <w:tcPr>
            <w:tcW w:w="993" w:type="dxa"/>
            <w:tcBorders>
              <w:top w:val="nil"/>
              <w:bottom w:val="nil"/>
            </w:tcBorders>
          </w:tcPr>
          <w:p w:rsidR="00000000" w:rsidRDefault="00000000">
            <w:pPr>
              <w:rPr>
                <w:kern w:val="20"/>
                <w:sz w:val="18"/>
              </w:rPr>
            </w:pPr>
            <w:r>
              <w:rPr>
                <w:kern w:val="20"/>
                <w:sz w:val="18"/>
              </w:rPr>
              <w:t xml:space="preserve">        1.70</w:t>
            </w:r>
          </w:p>
        </w:tc>
        <w:tc>
          <w:tcPr>
            <w:tcW w:w="892" w:type="dxa"/>
            <w:gridSpan w:val="2"/>
            <w:tcBorders>
              <w:top w:val="nil"/>
              <w:bottom w:val="nil"/>
            </w:tcBorders>
          </w:tcPr>
          <w:p w:rsidR="00000000" w:rsidRDefault="00000000">
            <w:pPr>
              <w:jc w:val="center"/>
              <w:rPr>
                <w:kern w:val="20"/>
                <w:sz w:val="18"/>
              </w:rPr>
            </w:pPr>
            <w:r>
              <w:rPr>
                <w:kern w:val="20"/>
                <w:sz w:val="18"/>
              </w:rPr>
              <w:t>12</w:t>
            </w:r>
          </w:p>
        </w:tc>
        <w:tc>
          <w:tcPr>
            <w:tcW w:w="709" w:type="dxa"/>
            <w:tcBorders>
              <w:top w:val="nil"/>
              <w:bottom w:val="nil"/>
            </w:tcBorders>
          </w:tcPr>
          <w:p w:rsidR="00000000" w:rsidRDefault="00000000">
            <w:pPr>
              <w:rPr>
                <w:kern w:val="20"/>
                <w:sz w:val="18"/>
              </w:rPr>
            </w:pPr>
            <w:r>
              <w:rPr>
                <w:kern w:val="20"/>
                <w:sz w:val="18"/>
              </w:rPr>
              <w:t xml:space="preserve">   0.03</w:t>
            </w:r>
          </w:p>
        </w:tc>
        <w:tc>
          <w:tcPr>
            <w:tcW w:w="850" w:type="dxa"/>
            <w:tcBorders>
              <w:top w:val="nil"/>
              <w:bottom w:val="nil"/>
            </w:tcBorders>
          </w:tcPr>
          <w:p w:rsidR="00000000" w:rsidRDefault="00000000">
            <w:pPr>
              <w:rPr>
                <w:kern w:val="20"/>
                <w:sz w:val="18"/>
              </w:rPr>
            </w:pPr>
            <w:r>
              <w:rPr>
                <w:kern w:val="20"/>
                <w:sz w:val="18"/>
              </w:rPr>
              <w:t xml:space="preserve">     0.01</w:t>
            </w:r>
          </w:p>
        </w:tc>
        <w:tc>
          <w:tcPr>
            <w:tcW w:w="993" w:type="dxa"/>
            <w:tcBorders>
              <w:top w:val="nil"/>
              <w:bottom w:val="nil"/>
            </w:tcBorders>
          </w:tcPr>
          <w:p w:rsidR="00000000" w:rsidRDefault="00000000">
            <w:pPr>
              <w:rPr>
                <w:kern w:val="20"/>
                <w:sz w:val="18"/>
              </w:rPr>
            </w:pPr>
            <w:r>
              <w:rPr>
                <w:kern w:val="20"/>
                <w:sz w:val="18"/>
              </w:rPr>
              <w:t xml:space="preserve">       0.61</w:t>
            </w:r>
          </w:p>
        </w:tc>
        <w:tc>
          <w:tcPr>
            <w:tcW w:w="708" w:type="dxa"/>
            <w:tcBorders>
              <w:top w:val="nil"/>
              <w:bottom w:val="nil"/>
            </w:tcBorders>
          </w:tcPr>
          <w:p w:rsidR="00000000" w:rsidRDefault="00000000">
            <w:pPr>
              <w:rPr>
                <w:kern w:val="20"/>
                <w:sz w:val="18"/>
              </w:rPr>
            </w:pPr>
            <w:r>
              <w:rPr>
                <w:kern w:val="20"/>
                <w:sz w:val="18"/>
              </w:rPr>
              <w:t xml:space="preserve">    0.38</w:t>
            </w:r>
          </w:p>
        </w:tc>
        <w:tc>
          <w:tcPr>
            <w:tcW w:w="851" w:type="dxa"/>
            <w:tcBorders>
              <w:top w:val="nil"/>
              <w:bottom w:val="nil"/>
            </w:tcBorders>
          </w:tcPr>
          <w:p w:rsidR="00000000" w:rsidRDefault="00000000">
            <w:pPr>
              <w:rPr>
                <w:kern w:val="20"/>
                <w:sz w:val="18"/>
              </w:rPr>
            </w:pPr>
            <w:r>
              <w:rPr>
                <w:kern w:val="20"/>
                <w:sz w:val="18"/>
              </w:rPr>
              <w:t xml:space="preserve">      0.26</w:t>
            </w:r>
          </w:p>
        </w:tc>
        <w:tc>
          <w:tcPr>
            <w:tcW w:w="950" w:type="dxa"/>
            <w:gridSpan w:val="2"/>
            <w:tcBorders>
              <w:top w:val="nil"/>
              <w:bottom w:val="nil"/>
            </w:tcBorders>
          </w:tcPr>
          <w:p w:rsidR="00000000" w:rsidRDefault="00000000">
            <w:pPr>
              <w:rPr>
                <w:kern w:val="20"/>
                <w:sz w:val="18"/>
              </w:rPr>
            </w:pPr>
            <w:r>
              <w:rPr>
                <w:kern w:val="20"/>
                <w:sz w:val="18"/>
              </w:rPr>
              <w:t xml:space="preserve">          2</w:t>
            </w:r>
          </w:p>
        </w:tc>
        <w:tc>
          <w:tcPr>
            <w:tcW w:w="751" w:type="dxa"/>
            <w:tcBorders>
              <w:top w:val="nil"/>
              <w:bottom w:val="nil"/>
            </w:tcBorders>
          </w:tcPr>
          <w:p w:rsidR="00000000" w:rsidRDefault="00000000">
            <w:pPr>
              <w:rPr>
                <w:kern w:val="20"/>
                <w:sz w:val="18"/>
              </w:rPr>
            </w:pPr>
            <w:r>
              <w:rPr>
                <w:kern w:val="20"/>
                <w:sz w:val="18"/>
              </w:rPr>
              <w:t xml:space="preserve">    0.00</w:t>
            </w:r>
          </w:p>
        </w:tc>
        <w:tc>
          <w:tcPr>
            <w:tcW w:w="808" w:type="dxa"/>
            <w:tcBorders>
              <w:top w:val="nil"/>
              <w:bottom w:val="nil"/>
            </w:tcBorders>
          </w:tcPr>
          <w:p w:rsidR="00000000" w:rsidRDefault="00000000">
            <w:pPr>
              <w:rPr>
                <w:kern w:val="20"/>
                <w:sz w:val="18"/>
              </w:rPr>
            </w:pPr>
            <w:r>
              <w:rPr>
                <w:kern w:val="20"/>
                <w:sz w:val="18"/>
              </w:rPr>
              <w:t xml:space="preserve">    0.00</w:t>
            </w:r>
          </w:p>
        </w:tc>
        <w:tc>
          <w:tcPr>
            <w:tcW w:w="892" w:type="dxa"/>
            <w:tcBorders>
              <w:top w:val="nil"/>
              <w:bottom w:val="nil"/>
            </w:tcBorders>
          </w:tcPr>
          <w:p w:rsidR="00000000" w:rsidRDefault="00000000">
            <w:pPr>
              <w:rPr>
                <w:kern w:val="20"/>
                <w:sz w:val="18"/>
              </w:rPr>
            </w:pPr>
            <w:r>
              <w:rPr>
                <w:kern w:val="20"/>
                <w:sz w:val="18"/>
              </w:rPr>
              <w:t xml:space="preserve">      0.24</w:t>
            </w:r>
          </w:p>
        </w:tc>
        <w:tc>
          <w:tcPr>
            <w:tcW w:w="777" w:type="dxa"/>
            <w:tcBorders>
              <w:top w:val="nil"/>
              <w:bottom w:val="nil"/>
            </w:tcBorders>
          </w:tcPr>
          <w:p w:rsidR="00000000" w:rsidRDefault="00000000">
            <w:pPr>
              <w:rPr>
                <w:kern w:val="20"/>
                <w:sz w:val="18"/>
              </w:rPr>
            </w:pPr>
            <w:r>
              <w:rPr>
                <w:kern w:val="20"/>
                <w:sz w:val="18"/>
              </w:rPr>
              <w:t xml:space="preserve">     0.13</w:t>
            </w:r>
          </w:p>
        </w:tc>
        <w:tc>
          <w:tcPr>
            <w:tcW w:w="851" w:type="dxa"/>
            <w:tcBorders>
              <w:top w:val="nil"/>
              <w:bottom w:val="nil"/>
            </w:tcBorders>
          </w:tcPr>
          <w:p w:rsidR="00000000" w:rsidRDefault="00000000">
            <w:pPr>
              <w:rPr>
                <w:kern w:val="20"/>
                <w:sz w:val="18"/>
              </w:rPr>
            </w:pPr>
            <w:r>
              <w:rPr>
                <w:kern w:val="20"/>
                <w:sz w:val="18"/>
              </w:rPr>
              <w:t xml:space="preserve">     0.07</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Office and lab</w:t>
            </w:r>
          </w:p>
          <w:p w:rsidR="00000000" w:rsidRDefault="00000000">
            <w:pPr>
              <w:rPr>
                <w:kern w:val="20"/>
                <w:sz w:val="18"/>
              </w:rPr>
            </w:pPr>
            <w:r>
              <w:rPr>
                <w:kern w:val="20"/>
                <w:sz w:val="18"/>
              </w:rPr>
              <w:t xml:space="preserve">  technicians and</w:t>
            </w:r>
          </w:p>
          <w:p w:rsidR="00000000" w:rsidRDefault="00000000">
            <w:pPr>
              <w:rPr>
                <w:kern w:val="20"/>
                <w:sz w:val="18"/>
              </w:rPr>
            </w:pPr>
            <w:r>
              <w:rPr>
                <w:kern w:val="20"/>
                <w:sz w:val="18"/>
              </w:rPr>
              <w:t xml:space="preserve">  professionals</w:t>
            </w:r>
          </w:p>
        </w:tc>
        <w:tc>
          <w:tcPr>
            <w:tcW w:w="993" w:type="dxa"/>
            <w:tcBorders>
              <w:top w:val="nil"/>
              <w:bottom w:val="nil"/>
            </w:tcBorders>
          </w:tcPr>
          <w:p w:rsidR="00000000" w:rsidRDefault="00000000">
            <w:pPr>
              <w:rPr>
                <w:kern w:val="20"/>
                <w:sz w:val="18"/>
              </w:rPr>
            </w:pPr>
            <w:r>
              <w:rPr>
                <w:kern w:val="20"/>
                <w:sz w:val="18"/>
              </w:rPr>
              <w:t xml:space="preserve">        1.00</w:t>
            </w:r>
          </w:p>
        </w:tc>
        <w:tc>
          <w:tcPr>
            <w:tcW w:w="892" w:type="dxa"/>
            <w:gridSpan w:val="2"/>
            <w:tcBorders>
              <w:top w:val="nil"/>
              <w:bottom w:val="nil"/>
            </w:tcBorders>
          </w:tcPr>
          <w:p w:rsidR="00000000" w:rsidRDefault="00000000">
            <w:pPr>
              <w:jc w:val="center"/>
              <w:rPr>
                <w:kern w:val="20"/>
                <w:sz w:val="18"/>
              </w:rPr>
            </w:pPr>
            <w:r>
              <w:rPr>
                <w:kern w:val="20"/>
                <w:sz w:val="18"/>
              </w:rPr>
              <w:t xml:space="preserve">   1</w:t>
            </w:r>
          </w:p>
        </w:tc>
        <w:tc>
          <w:tcPr>
            <w:tcW w:w="709" w:type="dxa"/>
            <w:tcBorders>
              <w:top w:val="nil"/>
              <w:bottom w:val="nil"/>
            </w:tcBorders>
          </w:tcPr>
          <w:p w:rsidR="00000000" w:rsidRDefault="00000000">
            <w:pPr>
              <w:rPr>
                <w:kern w:val="20"/>
                <w:sz w:val="18"/>
              </w:rPr>
            </w:pPr>
            <w:r>
              <w:rPr>
                <w:kern w:val="20"/>
                <w:sz w:val="18"/>
              </w:rPr>
              <w:t xml:space="preserve">   0.00</w:t>
            </w:r>
          </w:p>
        </w:tc>
        <w:tc>
          <w:tcPr>
            <w:tcW w:w="850" w:type="dxa"/>
            <w:tcBorders>
              <w:top w:val="nil"/>
              <w:bottom w:val="nil"/>
            </w:tcBorders>
          </w:tcPr>
          <w:p w:rsidR="00000000" w:rsidRDefault="00000000">
            <w:pPr>
              <w:rPr>
                <w:kern w:val="20"/>
                <w:sz w:val="18"/>
              </w:rPr>
            </w:pPr>
            <w:r>
              <w:rPr>
                <w:kern w:val="20"/>
                <w:sz w:val="18"/>
              </w:rPr>
              <w:t xml:space="preserve">     0.00</w:t>
            </w:r>
          </w:p>
        </w:tc>
        <w:tc>
          <w:tcPr>
            <w:tcW w:w="993" w:type="dxa"/>
            <w:tcBorders>
              <w:top w:val="nil"/>
              <w:bottom w:val="nil"/>
            </w:tcBorders>
          </w:tcPr>
          <w:p w:rsidR="00000000" w:rsidRDefault="00000000">
            <w:pPr>
              <w:rPr>
                <w:kern w:val="20"/>
                <w:sz w:val="18"/>
              </w:rPr>
            </w:pPr>
            <w:r>
              <w:rPr>
                <w:kern w:val="20"/>
                <w:sz w:val="18"/>
              </w:rPr>
              <w:t xml:space="preserve">       0.04</w:t>
            </w:r>
          </w:p>
        </w:tc>
        <w:tc>
          <w:tcPr>
            <w:tcW w:w="708" w:type="dxa"/>
            <w:tcBorders>
              <w:top w:val="nil"/>
              <w:bottom w:val="nil"/>
            </w:tcBorders>
          </w:tcPr>
          <w:p w:rsidR="00000000" w:rsidRDefault="00000000">
            <w:pPr>
              <w:rPr>
                <w:kern w:val="20"/>
                <w:sz w:val="18"/>
              </w:rPr>
            </w:pPr>
            <w:r>
              <w:rPr>
                <w:kern w:val="20"/>
                <w:sz w:val="18"/>
              </w:rPr>
              <w:t xml:space="preserve">    0.02</w:t>
            </w:r>
          </w:p>
        </w:tc>
        <w:tc>
          <w:tcPr>
            <w:tcW w:w="851" w:type="dxa"/>
            <w:tcBorders>
              <w:top w:val="nil"/>
              <w:bottom w:val="nil"/>
            </w:tcBorders>
          </w:tcPr>
          <w:p w:rsidR="00000000" w:rsidRDefault="00000000">
            <w:pPr>
              <w:rPr>
                <w:kern w:val="20"/>
                <w:sz w:val="18"/>
              </w:rPr>
            </w:pPr>
            <w:r>
              <w:rPr>
                <w:kern w:val="20"/>
                <w:sz w:val="18"/>
              </w:rPr>
              <w:t xml:space="preserve">      0.02</w:t>
            </w:r>
          </w:p>
        </w:tc>
        <w:tc>
          <w:tcPr>
            <w:tcW w:w="950" w:type="dxa"/>
            <w:gridSpan w:val="2"/>
            <w:tcBorders>
              <w:top w:val="nil"/>
              <w:bottom w:val="nil"/>
            </w:tcBorders>
          </w:tcPr>
          <w:p w:rsidR="00000000" w:rsidRDefault="00000000">
            <w:pPr>
              <w:rPr>
                <w:kern w:val="20"/>
                <w:sz w:val="18"/>
              </w:rPr>
            </w:pPr>
            <w:r>
              <w:rPr>
                <w:kern w:val="20"/>
                <w:sz w:val="18"/>
              </w:rPr>
              <w:t xml:space="preserve">          0</w:t>
            </w:r>
          </w:p>
        </w:tc>
        <w:tc>
          <w:tcPr>
            <w:tcW w:w="751" w:type="dxa"/>
            <w:tcBorders>
              <w:top w:val="nil"/>
              <w:bottom w:val="nil"/>
            </w:tcBorders>
          </w:tcPr>
          <w:p w:rsidR="00000000" w:rsidRDefault="00000000">
            <w:pPr>
              <w:rPr>
                <w:kern w:val="20"/>
                <w:sz w:val="18"/>
              </w:rPr>
            </w:pPr>
            <w:r>
              <w:rPr>
                <w:kern w:val="20"/>
                <w:sz w:val="18"/>
              </w:rPr>
              <w:t xml:space="preserve">    0.00</w:t>
            </w:r>
          </w:p>
        </w:tc>
        <w:tc>
          <w:tcPr>
            <w:tcW w:w="808" w:type="dxa"/>
            <w:tcBorders>
              <w:top w:val="nil"/>
              <w:bottom w:val="nil"/>
            </w:tcBorders>
          </w:tcPr>
          <w:p w:rsidR="00000000" w:rsidRDefault="00000000">
            <w:pPr>
              <w:rPr>
                <w:kern w:val="20"/>
                <w:sz w:val="18"/>
              </w:rPr>
            </w:pPr>
            <w:r>
              <w:rPr>
                <w:kern w:val="20"/>
                <w:sz w:val="18"/>
              </w:rPr>
              <w:t xml:space="preserve">    0.00</w:t>
            </w:r>
          </w:p>
        </w:tc>
        <w:tc>
          <w:tcPr>
            <w:tcW w:w="892" w:type="dxa"/>
            <w:tcBorders>
              <w:top w:val="nil"/>
              <w:bottom w:val="nil"/>
            </w:tcBorders>
          </w:tcPr>
          <w:p w:rsidR="00000000" w:rsidRDefault="00000000">
            <w:pPr>
              <w:rPr>
                <w:kern w:val="20"/>
                <w:sz w:val="18"/>
              </w:rPr>
            </w:pPr>
            <w:r>
              <w:rPr>
                <w:kern w:val="20"/>
                <w:sz w:val="18"/>
              </w:rPr>
              <w:t xml:space="preserve">      0.02</w:t>
            </w:r>
          </w:p>
        </w:tc>
        <w:tc>
          <w:tcPr>
            <w:tcW w:w="777" w:type="dxa"/>
            <w:tcBorders>
              <w:top w:val="nil"/>
              <w:bottom w:val="nil"/>
            </w:tcBorders>
          </w:tcPr>
          <w:p w:rsidR="00000000" w:rsidRDefault="00000000">
            <w:pPr>
              <w:rPr>
                <w:kern w:val="20"/>
                <w:sz w:val="18"/>
              </w:rPr>
            </w:pPr>
            <w:r>
              <w:rPr>
                <w:kern w:val="20"/>
                <w:sz w:val="18"/>
              </w:rPr>
              <w:t xml:space="preserve">     0.01</w:t>
            </w:r>
          </w:p>
        </w:tc>
        <w:tc>
          <w:tcPr>
            <w:tcW w:w="851" w:type="dxa"/>
            <w:tcBorders>
              <w:top w:val="nil"/>
              <w:bottom w:val="nil"/>
            </w:tcBorders>
          </w:tcPr>
          <w:p w:rsidR="00000000" w:rsidRDefault="00000000">
            <w:pPr>
              <w:rPr>
                <w:kern w:val="20"/>
                <w:sz w:val="18"/>
              </w:rPr>
            </w:pPr>
            <w:r>
              <w:rPr>
                <w:kern w:val="20"/>
                <w:sz w:val="18"/>
              </w:rPr>
              <w:t xml:space="preserve">     0.00</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Clothing</w:t>
            </w:r>
          </w:p>
        </w:tc>
        <w:tc>
          <w:tcPr>
            <w:tcW w:w="993" w:type="dxa"/>
            <w:tcBorders>
              <w:top w:val="nil"/>
              <w:bottom w:val="nil"/>
            </w:tcBorders>
          </w:tcPr>
          <w:p w:rsidR="00000000" w:rsidRDefault="00000000">
            <w:pPr>
              <w:rPr>
                <w:kern w:val="20"/>
                <w:sz w:val="18"/>
              </w:rPr>
            </w:pPr>
            <w:r>
              <w:rPr>
                <w:kern w:val="20"/>
                <w:sz w:val="18"/>
              </w:rPr>
              <w:t xml:space="preserve">        0.90</w:t>
            </w:r>
          </w:p>
        </w:tc>
        <w:tc>
          <w:tcPr>
            <w:tcW w:w="892" w:type="dxa"/>
            <w:gridSpan w:val="2"/>
            <w:tcBorders>
              <w:top w:val="nil"/>
              <w:bottom w:val="nil"/>
            </w:tcBorders>
          </w:tcPr>
          <w:p w:rsidR="00000000" w:rsidRDefault="00000000">
            <w:pPr>
              <w:jc w:val="center"/>
              <w:rPr>
                <w:kern w:val="20"/>
                <w:sz w:val="18"/>
              </w:rPr>
            </w:pPr>
            <w:r>
              <w:rPr>
                <w:kern w:val="20"/>
                <w:sz w:val="18"/>
              </w:rPr>
              <w:t>17</w:t>
            </w:r>
          </w:p>
        </w:tc>
        <w:tc>
          <w:tcPr>
            <w:tcW w:w="709" w:type="dxa"/>
            <w:tcBorders>
              <w:top w:val="nil"/>
              <w:bottom w:val="nil"/>
            </w:tcBorders>
          </w:tcPr>
          <w:p w:rsidR="00000000" w:rsidRDefault="00000000">
            <w:pPr>
              <w:rPr>
                <w:kern w:val="20"/>
                <w:sz w:val="18"/>
              </w:rPr>
            </w:pPr>
            <w:r>
              <w:rPr>
                <w:kern w:val="20"/>
                <w:sz w:val="18"/>
              </w:rPr>
              <w:t xml:space="preserve">   0.06</w:t>
            </w:r>
          </w:p>
        </w:tc>
        <w:tc>
          <w:tcPr>
            <w:tcW w:w="850" w:type="dxa"/>
            <w:tcBorders>
              <w:top w:val="nil"/>
              <w:bottom w:val="nil"/>
            </w:tcBorders>
          </w:tcPr>
          <w:p w:rsidR="00000000" w:rsidRDefault="00000000">
            <w:pPr>
              <w:rPr>
                <w:kern w:val="20"/>
                <w:sz w:val="18"/>
              </w:rPr>
            </w:pPr>
            <w:r>
              <w:rPr>
                <w:kern w:val="20"/>
                <w:sz w:val="18"/>
              </w:rPr>
              <w:t xml:space="preserve">     0.03</w:t>
            </w:r>
          </w:p>
        </w:tc>
        <w:tc>
          <w:tcPr>
            <w:tcW w:w="993" w:type="dxa"/>
            <w:tcBorders>
              <w:top w:val="nil"/>
              <w:bottom w:val="nil"/>
            </w:tcBorders>
          </w:tcPr>
          <w:p w:rsidR="00000000" w:rsidRDefault="00000000">
            <w:pPr>
              <w:rPr>
                <w:kern w:val="20"/>
                <w:sz w:val="18"/>
              </w:rPr>
            </w:pPr>
            <w:r>
              <w:rPr>
                <w:kern w:val="20"/>
                <w:sz w:val="18"/>
              </w:rPr>
              <w:t xml:space="preserve">       0.46</w:t>
            </w:r>
          </w:p>
        </w:tc>
        <w:tc>
          <w:tcPr>
            <w:tcW w:w="708" w:type="dxa"/>
            <w:tcBorders>
              <w:top w:val="nil"/>
              <w:bottom w:val="nil"/>
            </w:tcBorders>
          </w:tcPr>
          <w:p w:rsidR="00000000" w:rsidRDefault="00000000">
            <w:pPr>
              <w:rPr>
                <w:kern w:val="20"/>
                <w:sz w:val="18"/>
              </w:rPr>
            </w:pPr>
            <w:r>
              <w:rPr>
                <w:kern w:val="20"/>
                <w:sz w:val="18"/>
              </w:rPr>
              <w:t xml:space="preserve">    0.37</w:t>
            </w:r>
          </w:p>
        </w:tc>
        <w:tc>
          <w:tcPr>
            <w:tcW w:w="851" w:type="dxa"/>
            <w:tcBorders>
              <w:top w:val="nil"/>
              <w:bottom w:val="nil"/>
            </w:tcBorders>
          </w:tcPr>
          <w:p w:rsidR="00000000" w:rsidRDefault="00000000">
            <w:pPr>
              <w:rPr>
                <w:kern w:val="20"/>
                <w:sz w:val="18"/>
              </w:rPr>
            </w:pPr>
            <w:r>
              <w:rPr>
                <w:kern w:val="20"/>
                <w:sz w:val="18"/>
              </w:rPr>
              <w:t xml:space="preserve">      0.33</w:t>
            </w:r>
          </w:p>
        </w:tc>
        <w:tc>
          <w:tcPr>
            <w:tcW w:w="950" w:type="dxa"/>
            <w:gridSpan w:val="2"/>
            <w:tcBorders>
              <w:top w:val="nil"/>
              <w:bottom w:val="nil"/>
            </w:tcBorders>
          </w:tcPr>
          <w:p w:rsidR="00000000" w:rsidRDefault="00000000">
            <w:pPr>
              <w:rPr>
                <w:kern w:val="20"/>
                <w:sz w:val="18"/>
              </w:rPr>
            </w:pPr>
            <w:r>
              <w:rPr>
                <w:kern w:val="20"/>
                <w:sz w:val="18"/>
              </w:rPr>
              <w:t xml:space="preserve">          5</w:t>
            </w:r>
          </w:p>
        </w:tc>
        <w:tc>
          <w:tcPr>
            <w:tcW w:w="751" w:type="dxa"/>
            <w:tcBorders>
              <w:top w:val="nil"/>
              <w:bottom w:val="nil"/>
            </w:tcBorders>
          </w:tcPr>
          <w:p w:rsidR="00000000" w:rsidRDefault="00000000">
            <w:pPr>
              <w:rPr>
                <w:kern w:val="20"/>
                <w:sz w:val="18"/>
              </w:rPr>
            </w:pPr>
            <w:r>
              <w:rPr>
                <w:kern w:val="20"/>
                <w:sz w:val="18"/>
              </w:rPr>
              <w:t xml:space="preserve">    0.02</w:t>
            </w:r>
          </w:p>
        </w:tc>
        <w:tc>
          <w:tcPr>
            <w:tcW w:w="808" w:type="dxa"/>
            <w:tcBorders>
              <w:top w:val="nil"/>
              <w:bottom w:val="nil"/>
            </w:tcBorders>
          </w:tcPr>
          <w:p w:rsidR="00000000" w:rsidRDefault="00000000">
            <w:pPr>
              <w:rPr>
                <w:kern w:val="20"/>
                <w:sz w:val="18"/>
              </w:rPr>
            </w:pPr>
            <w:r>
              <w:rPr>
                <w:kern w:val="20"/>
                <w:sz w:val="18"/>
              </w:rPr>
              <w:t xml:space="preserve">    0.01</w:t>
            </w:r>
          </w:p>
        </w:tc>
        <w:tc>
          <w:tcPr>
            <w:tcW w:w="892" w:type="dxa"/>
            <w:tcBorders>
              <w:top w:val="nil"/>
              <w:bottom w:val="nil"/>
            </w:tcBorders>
          </w:tcPr>
          <w:p w:rsidR="00000000" w:rsidRDefault="00000000">
            <w:pPr>
              <w:rPr>
                <w:kern w:val="20"/>
                <w:sz w:val="18"/>
              </w:rPr>
            </w:pPr>
            <w:r>
              <w:rPr>
                <w:kern w:val="20"/>
                <w:sz w:val="18"/>
              </w:rPr>
              <w:t xml:space="preserve">      0.32</w:t>
            </w:r>
          </w:p>
        </w:tc>
        <w:tc>
          <w:tcPr>
            <w:tcW w:w="777" w:type="dxa"/>
            <w:tcBorders>
              <w:top w:val="nil"/>
              <w:bottom w:val="nil"/>
            </w:tcBorders>
          </w:tcPr>
          <w:p w:rsidR="00000000" w:rsidRDefault="00000000">
            <w:pPr>
              <w:rPr>
                <w:kern w:val="20"/>
                <w:sz w:val="18"/>
              </w:rPr>
            </w:pPr>
            <w:r>
              <w:rPr>
                <w:kern w:val="20"/>
                <w:sz w:val="18"/>
              </w:rPr>
              <w:t xml:space="preserve">     0.27</w:t>
            </w:r>
          </w:p>
        </w:tc>
        <w:tc>
          <w:tcPr>
            <w:tcW w:w="851" w:type="dxa"/>
            <w:tcBorders>
              <w:top w:val="nil"/>
              <w:bottom w:val="nil"/>
            </w:tcBorders>
          </w:tcPr>
          <w:p w:rsidR="00000000" w:rsidRDefault="00000000">
            <w:pPr>
              <w:rPr>
                <w:kern w:val="20"/>
                <w:sz w:val="18"/>
              </w:rPr>
            </w:pPr>
            <w:r>
              <w:rPr>
                <w:kern w:val="20"/>
                <w:sz w:val="18"/>
              </w:rPr>
              <w:t xml:space="preserve">     0.22</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 xml:space="preserve">Unemployed </w:t>
            </w:r>
          </w:p>
        </w:tc>
        <w:tc>
          <w:tcPr>
            <w:tcW w:w="993" w:type="dxa"/>
            <w:tcBorders>
              <w:top w:val="nil"/>
              <w:bottom w:val="nil"/>
            </w:tcBorders>
          </w:tcPr>
          <w:p w:rsidR="00000000" w:rsidRDefault="00000000">
            <w:pPr>
              <w:rPr>
                <w:kern w:val="20"/>
                <w:sz w:val="18"/>
              </w:rPr>
            </w:pPr>
            <w:r>
              <w:rPr>
                <w:kern w:val="20"/>
                <w:sz w:val="18"/>
              </w:rPr>
              <w:t xml:space="preserve">        3.80</w:t>
            </w:r>
          </w:p>
        </w:tc>
        <w:tc>
          <w:tcPr>
            <w:tcW w:w="892" w:type="dxa"/>
            <w:gridSpan w:val="2"/>
            <w:tcBorders>
              <w:top w:val="nil"/>
              <w:bottom w:val="nil"/>
            </w:tcBorders>
          </w:tcPr>
          <w:p w:rsidR="00000000" w:rsidRDefault="00000000">
            <w:pPr>
              <w:jc w:val="center"/>
              <w:rPr>
                <w:kern w:val="20"/>
                <w:sz w:val="18"/>
              </w:rPr>
            </w:pPr>
            <w:r>
              <w:rPr>
                <w:kern w:val="20"/>
                <w:sz w:val="18"/>
              </w:rPr>
              <w:t>43</w:t>
            </w:r>
          </w:p>
        </w:tc>
        <w:tc>
          <w:tcPr>
            <w:tcW w:w="709" w:type="dxa"/>
            <w:tcBorders>
              <w:top w:val="nil"/>
              <w:bottom w:val="nil"/>
            </w:tcBorders>
          </w:tcPr>
          <w:p w:rsidR="00000000" w:rsidRDefault="00000000">
            <w:pPr>
              <w:rPr>
                <w:kern w:val="20"/>
                <w:sz w:val="18"/>
              </w:rPr>
            </w:pPr>
            <w:r>
              <w:rPr>
                <w:kern w:val="20"/>
                <w:sz w:val="18"/>
              </w:rPr>
              <w:t xml:space="preserve">   0.23</w:t>
            </w:r>
          </w:p>
        </w:tc>
        <w:tc>
          <w:tcPr>
            <w:tcW w:w="850" w:type="dxa"/>
            <w:tcBorders>
              <w:top w:val="nil"/>
              <w:bottom w:val="nil"/>
            </w:tcBorders>
          </w:tcPr>
          <w:p w:rsidR="00000000" w:rsidRDefault="00000000">
            <w:pPr>
              <w:rPr>
                <w:kern w:val="20"/>
                <w:sz w:val="18"/>
              </w:rPr>
            </w:pPr>
            <w:r>
              <w:rPr>
                <w:kern w:val="20"/>
                <w:sz w:val="18"/>
              </w:rPr>
              <w:t xml:space="preserve">     0.16</w:t>
            </w:r>
          </w:p>
        </w:tc>
        <w:tc>
          <w:tcPr>
            <w:tcW w:w="993" w:type="dxa"/>
            <w:tcBorders>
              <w:top w:val="nil"/>
              <w:bottom w:val="nil"/>
            </w:tcBorders>
          </w:tcPr>
          <w:p w:rsidR="00000000" w:rsidRDefault="00000000">
            <w:pPr>
              <w:rPr>
                <w:kern w:val="20"/>
                <w:sz w:val="18"/>
              </w:rPr>
            </w:pPr>
            <w:r>
              <w:rPr>
                <w:kern w:val="20"/>
                <w:sz w:val="18"/>
              </w:rPr>
              <w:t xml:space="preserve">       4.88</w:t>
            </w:r>
          </w:p>
        </w:tc>
        <w:tc>
          <w:tcPr>
            <w:tcW w:w="708" w:type="dxa"/>
            <w:tcBorders>
              <w:top w:val="nil"/>
              <w:bottom w:val="nil"/>
            </w:tcBorders>
          </w:tcPr>
          <w:p w:rsidR="00000000" w:rsidRDefault="00000000">
            <w:pPr>
              <w:rPr>
                <w:kern w:val="20"/>
                <w:sz w:val="18"/>
              </w:rPr>
            </w:pPr>
            <w:r>
              <w:rPr>
                <w:kern w:val="20"/>
                <w:sz w:val="18"/>
              </w:rPr>
              <w:t xml:space="preserve">    5.64</w:t>
            </w:r>
          </w:p>
        </w:tc>
        <w:tc>
          <w:tcPr>
            <w:tcW w:w="851" w:type="dxa"/>
            <w:tcBorders>
              <w:top w:val="nil"/>
              <w:bottom w:val="nil"/>
            </w:tcBorders>
          </w:tcPr>
          <w:p w:rsidR="00000000" w:rsidRDefault="00000000">
            <w:pPr>
              <w:rPr>
                <w:kern w:val="20"/>
                <w:sz w:val="18"/>
              </w:rPr>
            </w:pPr>
            <w:r>
              <w:rPr>
                <w:kern w:val="20"/>
                <w:sz w:val="18"/>
              </w:rPr>
              <w:t xml:space="preserve">      6.53</w:t>
            </w:r>
          </w:p>
        </w:tc>
        <w:tc>
          <w:tcPr>
            <w:tcW w:w="950" w:type="dxa"/>
            <w:gridSpan w:val="2"/>
            <w:tcBorders>
              <w:top w:val="nil"/>
              <w:bottom w:val="nil"/>
            </w:tcBorders>
          </w:tcPr>
          <w:p w:rsidR="00000000" w:rsidRDefault="00000000">
            <w:pPr>
              <w:rPr>
                <w:kern w:val="20"/>
                <w:sz w:val="18"/>
              </w:rPr>
            </w:pPr>
            <w:r>
              <w:rPr>
                <w:kern w:val="20"/>
                <w:sz w:val="18"/>
              </w:rPr>
              <w:t xml:space="preserve">        22</w:t>
            </w:r>
          </w:p>
        </w:tc>
        <w:tc>
          <w:tcPr>
            <w:tcW w:w="751" w:type="dxa"/>
            <w:tcBorders>
              <w:top w:val="nil"/>
              <w:bottom w:val="nil"/>
            </w:tcBorders>
          </w:tcPr>
          <w:p w:rsidR="00000000" w:rsidRDefault="00000000">
            <w:pPr>
              <w:rPr>
                <w:kern w:val="20"/>
                <w:sz w:val="18"/>
              </w:rPr>
            </w:pPr>
            <w:r>
              <w:rPr>
                <w:kern w:val="20"/>
                <w:sz w:val="18"/>
              </w:rPr>
              <w:t xml:space="preserve">    0.13</w:t>
            </w:r>
          </w:p>
        </w:tc>
        <w:tc>
          <w:tcPr>
            <w:tcW w:w="808" w:type="dxa"/>
            <w:tcBorders>
              <w:top w:val="nil"/>
              <w:bottom w:val="nil"/>
            </w:tcBorders>
          </w:tcPr>
          <w:p w:rsidR="00000000" w:rsidRDefault="00000000">
            <w:pPr>
              <w:rPr>
                <w:kern w:val="20"/>
                <w:sz w:val="18"/>
              </w:rPr>
            </w:pPr>
            <w:r>
              <w:rPr>
                <w:kern w:val="20"/>
                <w:sz w:val="18"/>
              </w:rPr>
              <w:t xml:space="preserve">    0.10</w:t>
            </w:r>
          </w:p>
        </w:tc>
        <w:tc>
          <w:tcPr>
            <w:tcW w:w="892" w:type="dxa"/>
            <w:tcBorders>
              <w:top w:val="nil"/>
              <w:bottom w:val="nil"/>
            </w:tcBorders>
          </w:tcPr>
          <w:p w:rsidR="00000000" w:rsidRDefault="00000000">
            <w:pPr>
              <w:rPr>
                <w:kern w:val="20"/>
                <w:sz w:val="18"/>
              </w:rPr>
            </w:pPr>
            <w:r>
              <w:rPr>
                <w:kern w:val="20"/>
                <w:sz w:val="18"/>
              </w:rPr>
              <w:t xml:space="preserve">      5.66</w:t>
            </w:r>
          </w:p>
        </w:tc>
        <w:tc>
          <w:tcPr>
            <w:tcW w:w="777" w:type="dxa"/>
            <w:tcBorders>
              <w:top w:val="nil"/>
              <w:bottom w:val="nil"/>
            </w:tcBorders>
          </w:tcPr>
          <w:p w:rsidR="00000000" w:rsidRDefault="00000000">
            <w:pPr>
              <w:rPr>
                <w:kern w:val="20"/>
                <w:sz w:val="18"/>
              </w:rPr>
            </w:pPr>
            <w:r>
              <w:rPr>
                <w:kern w:val="20"/>
                <w:sz w:val="18"/>
              </w:rPr>
              <w:t xml:space="preserve">     7.65</w:t>
            </w:r>
          </w:p>
        </w:tc>
        <w:tc>
          <w:tcPr>
            <w:tcW w:w="851" w:type="dxa"/>
            <w:tcBorders>
              <w:top w:val="nil"/>
              <w:bottom w:val="nil"/>
            </w:tcBorders>
          </w:tcPr>
          <w:p w:rsidR="00000000" w:rsidRDefault="00000000">
            <w:pPr>
              <w:rPr>
                <w:kern w:val="20"/>
                <w:sz w:val="18"/>
              </w:rPr>
            </w:pPr>
            <w:r>
              <w:rPr>
                <w:kern w:val="20"/>
                <w:sz w:val="18"/>
              </w:rPr>
              <w:t xml:space="preserve">     9.79</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Inactive</w:t>
            </w:r>
          </w:p>
        </w:tc>
        <w:tc>
          <w:tcPr>
            <w:tcW w:w="993" w:type="dxa"/>
            <w:tcBorders>
              <w:top w:val="nil"/>
              <w:bottom w:val="nil"/>
            </w:tcBorders>
          </w:tcPr>
          <w:p w:rsidR="00000000" w:rsidRDefault="00000000">
            <w:pPr>
              <w:rPr>
                <w:kern w:val="20"/>
                <w:sz w:val="18"/>
              </w:rPr>
            </w:pPr>
            <w:r>
              <w:rPr>
                <w:kern w:val="20"/>
                <w:sz w:val="18"/>
              </w:rPr>
              <w:t xml:space="preserve">      32.10</w:t>
            </w:r>
          </w:p>
        </w:tc>
        <w:tc>
          <w:tcPr>
            <w:tcW w:w="892" w:type="dxa"/>
            <w:gridSpan w:val="2"/>
            <w:tcBorders>
              <w:top w:val="nil"/>
              <w:bottom w:val="nil"/>
            </w:tcBorders>
          </w:tcPr>
          <w:p w:rsidR="00000000" w:rsidRDefault="00000000">
            <w:pPr>
              <w:jc w:val="center"/>
              <w:rPr>
                <w:kern w:val="20"/>
                <w:sz w:val="18"/>
              </w:rPr>
            </w:pPr>
            <w:r>
              <w:rPr>
                <w:kern w:val="20"/>
                <w:sz w:val="18"/>
              </w:rPr>
              <w:t>33</w:t>
            </w:r>
          </w:p>
        </w:tc>
        <w:tc>
          <w:tcPr>
            <w:tcW w:w="709" w:type="dxa"/>
            <w:tcBorders>
              <w:top w:val="nil"/>
              <w:bottom w:val="nil"/>
            </w:tcBorders>
          </w:tcPr>
          <w:p w:rsidR="00000000" w:rsidRDefault="00000000">
            <w:pPr>
              <w:rPr>
                <w:kern w:val="20"/>
                <w:sz w:val="18"/>
              </w:rPr>
            </w:pPr>
            <w:r>
              <w:rPr>
                <w:kern w:val="20"/>
                <w:sz w:val="18"/>
              </w:rPr>
              <w:t xml:space="preserve">   0.14</w:t>
            </w:r>
          </w:p>
        </w:tc>
        <w:tc>
          <w:tcPr>
            <w:tcW w:w="850" w:type="dxa"/>
            <w:tcBorders>
              <w:top w:val="nil"/>
              <w:bottom w:val="nil"/>
            </w:tcBorders>
          </w:tcPr>
          <w:p w:rsidR="00000000" w:rsidRDefault="00000000">
            <w:pPr>
              <w:rPr>
                <w:kern w:val="20"/>
                <w:sz w:val="18"/>
              </w:rPr>
            </w:pPr>
            <w:r>
              <w:rPr>
                <w:kern w:val="20"/>
                <w:sz w:val="18"/>
              </w:rPr>
              <w:t xml:space="preserve">     0.09</w:t>
            </w:r>
          </w:p>
        </w:tc>
        <w:tc>
          <w:tcPr>
            <w:tcW w:w="993" w:type="dxa"/>
            <w:tcBorders>
              <w:top w:val="nil"/>
              <w:bottom w:val="nil"/>
            </w:tcBorders>
          </w:tcPr>
          <w:p w:rsidR="00000000" w:rsidRDefault="00000000">
            <w:pPr>
              <w:rPr>
                <w:kern w:val="20"/>
                <w:sz w:val="18"/>
              </w:rPr>
            </w:pPr>
            <w:r>
              <w:rPr>
                <w:kern w:val="20"/>
                <w:sz w:val="18"/>
              </w:rPr>
              <w:t xml:space="preserve">     30.83</w:t>
            </w:r>
          </w:p>
        </w:tc>
        <w:tc>
          <w:tcPr>
            <w:tcW w:w="708" w:type="dxa"/>
            <w:tcBorders>
              <w:top w:val="nil"/>
              <w:bottom w:val="nil"/>
            </w:tcBorders>
          </w:tcPr>
          <w:p w:rsidR="00000000" w:rsidRDefault="00000000">
            <w:pPr>
              <w:rPr>
                <w:kern w:val="20"/>
                <w:sz w:val="18"/>
              </w:rPr>
            </w:pPr>
            <w:r>
              <w:rPr>
                <w:kern w:val="20"/>
                <w:sz w:val="18"/>
              </w:rPr>
              <w:t xml:space="preserve">  29.96</w:t>
            </w:r>
          </w:p>
        </w:tc>
        <w:tc>
          <w:tcPr>
            <w:tcW w:w="851" w:type="dxa"/>
            <w:tcBorders>
              <w:top w:val="nil"/>
              <w:bottom w:val="nil"/>
            </w:tcBorders>
          </w:tcPr>
          <w:p w:rsidR="00000000" w:rsidRDefault="00000000">
            <w:pPr>
              <w:rPr>
                <w:kern w:val="20"/>
                <w:sz w:val="18"/>
              </w:rPr>
            </w:pPr>
            <w:r>
              <w:rPr>
                <w:kern w:val="20"/>
                <w:sz w:val="18"/>
              </w:rPr>
              <w:t xml:space="preserve">    29.73</w:t>
            </w:r>
          </w:p>
        </w:tc>
        <w:tc>
          <w:tcPr>
            <w:tcW w:w="950" w:type="dxa"/>
            <w:gridSpan w:val="2"/>
            <w:tcBorders>
              <w:top w:val="nil"/>
              <w:bottom w:val="nil"/>
            </w:tcBorders>
          </w:tcPr>
          <w:p w:rsidR="00000000" w:rsidRDefault="00000000">
            <w:pPr>
              <w:rPr>
                <w:kern w:val="20"/>
                <w:sz w:val="18"/>
              </w:rPr>
            </w:pPr>
            <w:r>
              <w:rPr>
                <w:kern w:val="20"/>
                <w:sz w:val="18"/>
              </w:rPr>
              <w:t xml:space="preserve">        13</w:t>
            </w:r>
          </w:p>
        </w:tc>
        <w:tc>
          <w:tcPr>
            <w:tcW w:w="751" w:type="dxa"/>
            <w:tcBorders>
              <w:top w:val="nil"/>
              <w:bottom w:val="nil"/>
            </w:tcBorders>
          </w:tcPr>
          <w:p w:rsidR="00000000" w:rsidRDefault="00000000">
            <w:pPr>
              <w:rPr>
                <w:kern w:val="20"/>
                <w:sz w:val="18"/>
              </w:rPr>
            </w:pPr>
            <w:r>
              <w:rPr>
                <w:kern w:val="20"/>
                <w:sz w:val="18"/>
              </w:rPr>
              <w:t xml:space="preserve">    0.06</w:t>
            </w:r>
          </w:p>
        </w:tc>
        <w:tc>
          <w:tcPr>
            <w:tcW w:w="808" w:type="dxa"/>
            <w:tcBorders>
              <w:top w:val="nil"/>
              <w:bottom w:val="nil"/>
            </w:tcBorders>
          </w:tcPr>
          <w:p w:rsidR="00000000" w:rsidRDefault="00000000">
            <w:pPr>
              <w:rPr>
                <w:kern w:val="20"/>
                <w:sz w:val="18"/>
              </w:rPr>
            </w:pPr>
            <w:r>
              <w:rPr>
                <w:kern w:val="20"/>
                <w:sz w:val="18"/>
              </w:rPr>
              <w:t xml:space="preserve">    0.04</w:t>
            </w:r>
          </w:p>
        </w:tc>
        <w:tc>
          <w:tcPr>
            <w:tcW w:w="892" w:type="dxa"/>
            <w:tcBorders>
              <w:top w:val="nil"/>
              <w:bottom w:val="nil"/>
            </w:tcBorders>
          </w:tcPr>
          <w:p w:rsidR="00000000" w:rsidRDefault="00000000">
            <w:pPr>
              <w:rPr>
                <w:kern w:val="20"/>
                <w:sz w:val="18"/>
              </w:rPr>
            </w:pPr>
            <w:r>
              <w:rPr>
                <w:kern w:val="20"/>
                <w:sz w:val="18"/>
              </w:rPr>
              <w:t xml:space="preserve">    29.02</w:t>
            </w:r>
          </w:p>
        </w:tc>
        <w:tc>
          <w:tcPr>
            <w:tcW w:w="777" w:type="dxa"/>
            <w:tcBorders>
              <w:top w:val="nil"/>
              <w:bottom w:val="nil"/>
            </w:tcBorders>
          </w:tcPr>
          <w:p w:rsidR="00000000" w:rsidRDefault="00000000">
            <w:pPr>
              <w:rPr>
                <w:kern w:val="20"/>
                <w:sz w:val="18"/>
              </w:rPr>
            </w:pPr>
            <w:r>
              <w:rPr>
                <w:kern w:val="20"/>
                <w:sz w:val="18"/>
              </w:rPr>
              <w:t xml:space="preserve">   29.34</w:t>
            </w:r>
          </w:p>
        </w:tc>
        <w:tc>
          <w:tcPr>
            <w:tcW w:w="851" w:type="dxa"/>
            <w:tcBorders>
              <w:top w:val="nil"/>
              <w:bottom w:val="nil"/>
            </w:tcBorders>
          </w:tcPr>
          <w:p w:rsidR="00000000" w:rsidRDefault="00000000">
            <w:pPr>
              <w:rPr>
                <w:kern w:val="20"/>
                <w:sz w:val="18"/>
              </w:rPr>
            </w:pPr>
            <w:r>
              <w:rPr>
                <w:kern w:val="20"/>
                <w:sz w:val="18"/>
              </w:rPr>
              <w:t xml:space="preserve">   30.56</w:t>
            </w:r>
          </w:p>
        </w:tc>
      </w:tr>
      <w:tr w:rsidR="00000000">
        <w:tblPrEx>
          <w:tblCellMar>
            <w:top w:w="0" w:type="dxa"/>
            <w:bottom w:w="0" w:type="dxa"/>
          </w:tblCellMar>
        </w:tblPrEx>
        <w:tc>
          <w:tcPr>
            <w:tcW w:w="1701" w:type="dxa"/>
            <w:tcBorders>
              <w:top w:val="nil"/>
            </w:tcBorders>
          </w:tcPr>
          <w:p w:rsidR="00000000" w:rsidRDefault="00000000">
            <w:pPr>
              <w:rPr>
                <w:kern w:val="20"/>
                <w:sz w:val="18"/>
              </w:rPr>
            </w:pPr>
            <w:r>
              <w:rPr>
                <w:kern w:val="20"/>
                <w:sz w:val="18"/>
              </w:rPr>
              <w:t>Children (0</w:t>
            </w:r>
            <w:r>
              <w:rPr>
                <w:kern w:val="20"/>
                <w:sz w:val="18"/>
              </w:rPr>
              <w:noBreakHyphen/>
              <w:t>9)</w:t>
            </w:r>
          </w:p>
        </w:tc>
        <w:tc>
          <w:tcPr>
            <w:tcW w:w="993" w:type="dxa"/>
            <w:tcBorders>
              <w:top w:val="nil"/>
            </w:tcBorders>
          </w:tcPr>
          <w:p w:rsidR="00000000" w:rsidRDefault="00000000">
            <w:pPr>
              <w:rPr>
                <w:kern w:val="20"/>
                <w:sz w:val="18"/>
              </w:rPr>
            </w:pPr>
            <w:r>
              <w:rPr>
                <w:kern w:val="20"/>
                <w:sz w:val="18"/>
              </w:rPr>
              <w:t xml:space="preserve">      20.10</w:t>
            </w:r>
          </w:p>
        </w:tc>
        <w:tc>
          <w:tcPr>
            <w:tcW w:w="892" w:type="dxa"/>
            <w:gridSpan w:val="2"/>
            <w:tcBorders>
              <w:top w:val="nil"/>
            </w:tcBorders>
          </w:tcPr>
          <w:p w:rsidR="00000000" w:rsidRDefault="00000000">
            <w:pPr>
              <w:jc w:val="center"/>
              <w:rPr>
                <w:kern w:val="20"/>
                <w:sz w:val="18"/>
              </w:rPr>
            </w:pPr>
            <w:r>
              <w:rPr>
                <w:kern w:val="20"/>
                <w:sz w:val="18"/>
              </w:rPr>
              <w:t>49</w:t>
            </w:r>
          </w:p>
        </w:tc>
        <w:tc>
          <w:tcPr>
            <w:tcW w:w="709" w:type="dxa"/>
            <w:tcBorders>
              <w:top w:val="nil"/>
            </w:tcBorders>
          </w:tcPr>
          <w:p w:rsidR="00000000" w:rsidRDefault="00000000">
            <w:pPr>
              <w:rPr>
                <w:kern w:val="20"/>
                <w:sz w:val="18"/>
              </w:rPr>
            </w:pPr>
            <w:r>
              <w:rPr>
                <w:kern w:val="20"/>
                <w:sz w:val="18"/>
              </w:rPr>
              <w:t xml:space="preserve">   0.24</w:t>
            </w:r>
          </w:p>
        </w:tc>
        <w:tc>
          <w:tcPr>
            <w:tcW w:w="850" w:type="dxa"/>
            <w:tcBorders>
              <w:top w:val="nil"/>
            </w:tcBorders>
          </w:tcPr>
          <w:p w:rsidR="00000000" w:rsidRDefault="00000000">
            <w:pPr>
              <w:rPr>
                <w:kern w:val="20"/>
                <w:sz w:val="18"/>
              </w:rPr>
            </w:pPr>
            <w:r>
              <w:rPr>
                <w:kern w:val="20"/>
                <w:sz w:val="18"/>
              </w:rPr>
              <w:t xml:space="preserve">     0.15</w:t>
            </w:r>
          </w:p>
        </w:tc>
        <w:tc>
          <w:tcPr>
            <w:tcW w:w="993" w:type="dxa"/>
            <w:tcBorders>
              <w:top w:val="nil"/>
            </w:tcBorders>
          </w:tcPr>
          <w:p w:rsidR="00000000" w:rsidRDefault="00000000">
            <w:pPr>
              <w:rPr>
                <w:kern w:val="20"/>
                <w:sz w:val="18"/>
              </w:rPr>
            </w:pPr>
            <w:r>
              <w:rPr>
                <w:kern w:val="20"/>
                <w:sz w:val="18"/>
              </w:rPr>
              <w:t xml:space="preserve">     29.27</w:t>
            </w:r>
          </w:p>
        </w:tc>
        <w:tc>
          <w:tcPr>
            <w:tcW w:w="708" w:type="dxa"/>
            <w:tcBorders>
              <w:top w:val="nil"/>
            </w:tcBorders>
          </w:tcPr>
          <w:p w:rsidR="00000000" w:rsidRDefault="00000000">
            <w:pPr>
              <w:rPr>
                <w:kern w:val="20"/>
                <w:sz w:val="18"/>
              </w:rPr>
            </w:pPr>
            <w:r>
              <w:rPr>
                <w:kern w:val="20"/>
                <w:sz w:val="18"/>
              </w:rPr>
              <w:t xml:space="preserve">  31.58</w:t>
            </w:r>
          </w:p>
        </w:tc>
        <w:tc>
          <w:tcPr>
            <w:tcW w:w="851" w:type="dxa"/>
            <w:tcBorders>
              <w:top w:val="nil"/>
            </w:tcBorders>
          </w:tcPr>
          <w:p w:rsidR="00000000" w:rsidRDefault="00000000">
            <w:pPr>
              <w:rPr>
                <w:kern w:val="20"/>
                <w:sz w:val="18"/>
              </w:rPr>
            </w:pPr>
            <w:r>
              <w:rPr>
                <w:kern w:val="20"/>
                <w:sz w:val="18"/>
              </w:rPr>
              <w:t xml:space="preserve">    32.75</w:t>
            </w:r>
          </w:p>
        </w:tc>
        <w:tc>
          <w:tcPr>
            <w:tcW w:w="950" w:type="dxa"/>
            <w:gridSpan w:val="2"/>
            <w:tcBorders>
              <w:top w:val="nil"/>
            </w:tcBorders>
          </w:tcPr>
          <w:p w:rsidR="00000000" w:rsidRDefault="00000000">
            <w:pPr>
              <w:rPr>
                <w:kern w:val="20"/>
                <w:sz w:val="18"/>
              </w:rPr>
            </w:pPr>
            <w:r>
              <w:rPr>
                <w:kern w:val="20"/>
                <w:sz w:val="18"/>
              </w:rPr>
              <w:t xml:space="preserve">        25</w:t>
            </w:r>
          </w:p>
        </w:tc>
        <w:tc>
          <w:tcPr>
            <w:tcW w:w="751" w:type="dxa"/>
            <w:tcBorders>
              <w:top w:val="nil"/>
            </w:tcBorders>
          </w:tcPr>
          <w:p w:rsidR="00000000" w:rsidRDefault="00000000">
            <w:pPr>
              <w:rPr>
                <w:kern w:val="20"/>
                <w:sz w:val="18"/>
              </w:rPr>
            </w:pPr>
            <w:r>
              <w:rPr>
                <w:kern w:val="20"/>
                <w:sz w:val="18"/>
              </w:rPr>
              <w:t xml:space="preserve">    0.11</w:t>
            </w:r>
          </w:p>
        </w:tc>
        <w:tc>
          <w:tcPr>
            <w:tcW w:w="808" w:type="dxa"/>
            <w:tcBorders>
              <w:top w:val="nil"/>
            </w:tcBorders>
          </w:tcPr>
          <w:p w:rsidR="00000000" w:rsidRDefault="00000000">
            <w:pPr>
              <w:rPr>
                <w:kern w:val="20"/>
                <w:sz w:val="18"/>
              </w:rPr>
            </w:pPr>
            <w:r>
              <w:rPr>
                <w:kern w:val="20"/>
                <w:sz w:val="18"/>
              </w:rPr>
              <w:t xml:space="preserve">    0.07</w:t>
            </w:r>
          </w:p>
        </w:tc>
        <w:tc>
          <w:tcPr>
            <w:tcW w:w="892" w:type="dxa"/>
            <w:tcBorders>
              <w:top w:val="nil"/>
            </w:tcBorders>
          </w:tcPr>
          <w:p w:rsidR="00000000" w:rsidRDefault="00000000">
            <w:pPr>
              <w:rPr>
                <w:kern w:val="20"/>
                <w:sz w:val="18"/>
              </w:rPr>
            </w:pPr>
            <w:r>
              <w:rPr>
                <w:kern w:val="20"/>
                <w:sz w:val="18"/>
              </w:rPr>
              <w:t xml:space="preserve">    33.38</w:t>
            </w:r>
          </w:p>
        </w:tc>
        <w:tc>
          <w:tcPr>
            <w:tcW w:w="777" w:type="dxa"/>
            <w:tcBorders>
              <w:top w:val="nil"/>
            </w:tcBorders>
          </w:tcPr>
          <w:p w:rsidR="00000000" w:rsidRDefault="00000000">
            <w:pPr>
              <w:rPr>
                <w:kern w:val="20"/>
                <w:sz w:val="18"/>
              </w:rPr>
            </w:pPr>
            <w:r>
              <w:rPr>
                <w:kern w:val="20"/>
                <w:sz w:val="18"/>
              </w:rPr>
              <w:t xml:space="preserve">   34.19</w:t>
            </w:r>
          </w:p>
        </w:tc>
        <w:tc>
          <w:tcPr>
            <w:tcW w:w="851" w:type="dxa"/>
            <w:tcBorders>
              <w:top w:val="nil"/>
            </w:tcBorders>
          </w:tcPr>
          <w:p w:rsidR="00000000" w:rsidRDefault="00000000">
            <w:pPr>
              <w:rPr>
                <w:kern w:val="20"/>
                <w:sz w:val="18"/>
              </w:rPr>
            </w:pPr>
            <w:r>
              <w:rPr>
                <w:kern w:val="20"/>
                <w:sz w:val="18"/>
              </w:rPr>
              <w:t xml:space="preserve">   34.06</w:t>
            </w:r>
          </w:p>
        </w:tc>
      </w:tr>
    </w:tbl>
    <w:p w:rsidR="00000000" w:rsidRDefault="00000000">
      <w:pPr>
        <w:pStyle w:val="BodyText3"/>
        <w:spacing w:after="120"/>
        <w:jc w:val="left"/>
        <w:rPr>
          <w:bCs/>
          <w:spacing w:val="20"/>
          <w:kern w:val="20"/>
          <w:sz w:val="24"/>
          <w:lang w:val="en-GB"/>
        </w:rPr>
      </w:pPr>
    </w:p>
    <w:p w:rsidR="00000000" w:rsidRDefault="00000000">
      <w:pPr>
        <w:rPr>
          <w:kern w:val="20"/>
        </w:rPr>
      </w:pPr>
      <w:r>
        <w:rPr>
          <w:kern w:val="20"/>
        </w:rPr>
        <w:tab/>
      </w:r>
      <w:r>
        <w:rPr>
          <w:kern w:val="20"/>
          <w:u w:val="single"/>
        </w:rPr>
        <w:t>Source</w:t>
      </w:r>
      <w:r>
        <w:rPr>
          <w:kern w:val="20"/>
        </w:rPr>
        <w:t>:  Based on the 1997 Household Sampling Survey (PNAD).</w:t>
      </w:r>
    </w:p>
    <w:p w:rsidR="00000000" w:rsidRDefault="00000000">
      <w:pPr>
        <w:jc w:val="center"/>
        <w:rPr>
          <w:b/>
          <w:bCs/>
          <w:kern w:val="20"/>
        </w:rPr>
      </w:pPr>
      <w:r>
        <w:rPr>
          <w:b/>
          <w:bCs/>
          <w:kern w:val="20"/>
        </w:rPr>
        <w:br w:type="page"/>
        <w:t>Table 46</w:t>
      </w:r>
    </w:p>
    <w:p w:rsidR="00000000" w:rsidRDefault="00000000">
      <w:pPr>
        <w:jc w:val="center"/>
        <w:rPr>
          <w:b/>
          <w:bCs/>
          <w:kern w:val="20"/>
        </w:rPr>
      </w:pPr>
    </w:p>
    <w:p w:rsidR="00000000" w:rsidRDefault="00000000">
      <w:pPr>
        <w:jc w:val="center"/>
        <w:rPr>
          <w:b/>
          <w:bCs/>
          <w:kern w:val="20"/>
        </w:rPr>
      </w:pPr>
      <w:r>
        <w:rPr>
          <w:b/>
          <w:bCs/>
          <w:kern w:val="20"/>
        </w:rPr>
        <w:t>Poverty structure in Brazil by geographic location</w:t>
      </w:r>
    </w:p>
    <w:p w:rsidR="00000000" w:rsidRDefault="00000000">
      <w:pPr>
        <w:jc w:val="center"/>
        <w:rPr>
          <w:b/>
          <w:bCs/>
          <w:kern w:val="20"/>
        </w:rPr>
      </w:pPr>
    </w:p>
    <w:tbl>
      <w:tblPr>
        <w:tblW w:w="1272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28" w:type="dxa"/>
        </w:tblCellMar>
        <w:tblLook w:val="0000" w:firstRow="0" w:lastRow="0" w:firstColumn="0" w:lastColumn="0" w:noHBand="0" w:noVBand="0"/>
      </w:tblPr>
      <w:tblGrid>
        <w:gridCol w:w="1701"/>
        <w:gridCol w:w="993"/>
        <w:gridCol w:w="6"/>
        <w:gridCol w:w="886"/>
        <w:gridCol w:w="709"/>
        <w:gridCol w:w="850"/>
        <w:gridCol w:w="993"/>
        <w:gridCol w:w="708"/>
        <w:gridCol w:w="851"/>
        <w:gridCol w:w="927"/>
        <w:gridCol w:w="774"/>
        <w:gridCol w:w="808"/>
        <w:gridCol w:w="892"/>
        <w:gridCol w:w="777"/>
        <w:gridCol w:w="851"/>
      </w:tblGrid>
      <w:tr w:rsidR="00000000">
        <w:tblPrEx>
          <w:tblCellMar>
            <w:top w:w="0" w:type="dxa"/>
            <w:bottom w:w="0" w:type="dxa"/>
          </w:tblCellMar>
        </w:tblPrEx>
        <w:trPr>
          <w:cantSplit/>
        </w:trPr>
        <w:tc>
          <w:tcPr>
            <w:tcW w:w="1701" w:type="dxa"/>
            <w:tcBorders>
              <w:bottom w:val="nil"/>
            </w:tcBorders>
          </w:tcPr>
          <w:p w:rsidR="00000000" w:rsidRDefault="00000000">
            <w:pPr>
              <w:rPr>
                <w:kern w:val="20"/>
                <w:sz w:val="18"/>
              </w:rPr>
            </w:pPr>
          </w:p>
        </w:tc>
        <w:tc>
          <w:tcPr>
            <w:tcW w:w="999" w:type="dxa"/>
            <w:gridSpan w:val="2"/>
            <w:tcBorders>
              <w:bottom w:val="nil"/>
            </w:tcBorders>
          </w:tcPr>
          <w:p w:rsidR="00000000" w:rsidRDefault="00000000">
            <w:pPr>
              <w:jc w:val="center"/>
              <w:rPr>
                <w:kern w:val="20"/>
                <w:sz w:val="18"/>
              </w:rPr>
            </w:pPr>
          </w:p>
        </w:tc>
        <w:tc>
          <w:tcPr>
            <w:tcW w:w="4997" w:type="dxa"/>
            <w:gridSpan w:val="6"/>
          </w:tcPr>
          <w:p w:rsidR="00000000" w:rsidRDefault="00000000">
            <w:pPr>
              <w:jc w:val="center"/>
              <w:rPr>
                <w:kern w:val="20"/>
                <w:sz w:val="18"/>
              </w:rPr>
            </w:pPr>
            <w:r>
              <w:rPr>
                <w:kern w:val="20"/>
                <w:sz w:val="18"/>
              </w:rPr>
              <w:t>Poverty line</w:t>
            </w:r>
          </w:p>
        </w:tc>
        <w:tc>
          <w:tcPr>
            <w:tcW w:w="5029" w:type="dxa"/>
            <w:gridSpan w:val="6"/>
          </w:tcPr>
          <w:p w:rsidR="00000000" w:rsidRDefault="00000000">
            <w:pPr>
              <w:jc w:val="center"/>
              <w:rPr>
                <w:kern w:val="20"/>
                <w:sz w:val="18"/>
              </w:rPr>
            </w:pPr>
            <w:r>
              <w:rPr>
                <w:kern w:val="20"/>
                <w:sz w:val="18"/>
              </w:rPr>
              <w:t>Indigence line</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p>
        </w:tc>
        <w:tc>
          <w:tcPr>
            <w:tcW w:w="993" w:type="dxa"/>
            <w:tcBorders>
              <w:top w:val="nil"/>
            </w:tcBorders>
          </w:tcPr>
          <w:p w:rsidR="00000000" w:rsidRDefault="00000000">
            <w:pPr>
              <w:rPr>
                <w:kern w:val="20"/>
                <w:sz w:val="18"/>
              </w:rPr>
            </w:pPr>
          </w:p>
        </w:tc>
        <w:tc>
          <w:tcPr>
            <w:tcW w:w="2451" w:type="dxa"/>
            <w:gridSpan w:val="4"/>
          </w:tcPr>
          <w:p w:rsidR="00000000" w:rsidRDefault="00000000">
            <w:pPr>
              <w:jc w:val="center"/>
              <w:rPr>
                <w:kern w:val="20"/>
                <w:sz w:val="18"/>
              </w:rPr>
            </w:pPr>
            <w:r>
              <w:rPr>
                <w:kern w:val="20"/>
                <w:sz w:val="18"/>
              </w:rPr>
              <w:t>Incidence of poverty within category</w:t>
            </w:r>
          </w:p>
        </w:tc>
        <w:tc>
          <w:tcPr>
            <w:tcW w:w="2552" w:type="dxa"/>
            <w:gridSpan w:val="3"/>
          </w:tcPr>
          <w:p w:rsidR="00000000" w:rsidRDefault="00000000">
            <w:pPr>
              <w:jc w:val="center"/>
              <w:rPr>
                <w:kern w:val="20"/>
                <w:sz w:val="18"/>
              </w:rPr>
            </w:pPr>
            <w:r>
              <w:rPr>
                <w:kern w:val="20"/>
                <w:sz w:val="18"/>
              </w:rPr>
              <w:t>Distribution of poverty across category</w:t>
            </w:r>
          </w:p>
        </w:tc>
        <w:tc>
          <w:tcPr>
            <w:tcW w:w="2509" w:type="dxa"/>
            <w:gridSpan w:val="3"/>
          </w:tcPr>
          <w:p w:rsidR="00000000" w:rsidRDefault="00000000">
            <w:pPr>
              <w:jc w:val="center"/>
              <w:rPr>
                <w:kern w:val="20"/>
                <w:sz w:val="18"/>
              </w:rPr>
            </w:pPr>
            <w:r>
              <w:rPr>
                <w:kern w:val="20"/>
                <w:sz w:val="18"/>
              </w:rPr>
              <w:t>Incidence of poverty within category</w:t>
            </w:r>
          </w:p>
        </w:tc>
        <w:tc>
          <w:tcPr>
            <w:tcW w:w="2520" w:type="dxa"/>
            <w:gridSpan w:val="3"/>
          </w:tcPr>
          <w:p w:rsidR="00000000" w:rsidRDefault="00000000">
            <w:pPr>
              <w:jc w:val="center"/>
              <w:rPr>
                <w:kern w:val="20"/>
                <w:sz w:val="18"/>
              </w:rPr>
            </w:pPr>
            <w:r>
              <w:rPr>
                <w:kern w:val="20"/>
                <w:sz w:val="18"/>
              </w:rPr>
              <w:t>Distribution of poverty across category</w:t>
            </w:r>
          </w:p>
        </w:tc>
      </w:tr>
      <w:tr w:rsidR="00000000">
        <w:tblPrEx>
          <w:tblCellMar>
            <w:top w:w="0" w:type="dxa"/>
            <w:bottom w:w="0" w:type="dxa"/>
          </w:tblCellMar>
        </w:tblPrEx>
        <w:tc>
          <w:tcPr>
            <w:tcW w:w="1701" w:type="dxa"/>
            <w:tcBorders>
              <w:top w:val="nil"/>
            </w:tcBorders>
          </w:tcPr>
          <w:p w:rsidR="00000000" w:rsidRDefault="00000000">
            <w:pPr>
              <w:rPr>
                <w:kern w:val="20"/>
                <w:sz w:val="18"/>
              </w:rPr>
            </w:pPr>
          </w:p>
        </w:tc>
        <w:tc>
          <w:tcPr>
            <w:tcW w:w="993" w:type="dxa"/>
          </w:tcPr>
          <w:p w:rsidR="00000000" w:rsidRDefault="00000000">
            <w:pPr>
              <w:jc w:val="center"/>
              <w:rPr>
                <w:kern w:val="20"/>
                <w:sz w:val="18"/>
              </w:rPr>
            </w:pPr>
            <w:r>
              <w:rPr>
                <w:kern w:val="20"/>
                <w:sz w:val="18"/>
              </w:rPr>
              <w:t>Frequency</w:t>
            </w:r>
          </w:p>
          <w:p w:rsidR="00000000" w:rsidRDefault="00000000">
            <w:pPr>
              <w:jc w:val="center"/>
              <w:rPr>
                <w:kern w:val="20"/>
                <w:sz w:val="18"/>
              </w:rPr>
            </w:pPr>
            <w:r>
              <w:rPr>
                <w:kern w:val="20"/>
                <w:sz w:val="18"/>
              </w:rPr>
              <w:t>in the population</w:t>
            </w:r>
          </w:p>
        </w:tc>
        <w:tc>
          <w:tcPr>
            <w:tcW w:w="892" w:type="dxa"/>
            <w:gridSpan w:val="2"/>
          </w:tcPr>
          <w:p w:rsidR="00000000" w:rsidRDefault="00000000">
            <w:pPr>
              <w:jc w:val="center"/>
              <w:rPr>
                <w:kern w:val="20"/>
                <w:sz w:val="18"/>
              </w:rPr>
            </w:pPr>
            <w:r>
              <w:rPr>
                <w:kern w:val="20"/>
                <w:sz w:val="18"/>
              </w:rPr>
              <w:t>Percentage</w:t>
            </w:r>
          </w:p>
          <w:p w:rsidR="00000000" w:rsidRDefault="00000000">
            <w:pPr>
              <w:jc w:val="center"/>
              <w:rPr>
                <w:kern w:val="20"/>
                <w:sz w:val="18"/>
              </w:rPr>
            </w:pPr>
            <w:r>
              <w:rPr>
                <w:kern w:val="20"/>
                <w:sz w:val="18"/>
              </w:rPr>
              <w:t>of poor</w:t>
            </w:r>
          </w:p>
        </w:tc>
        <w:tc>
          <w:tcPr>
            <w:tcW w:w="709" w:type="dxa"/>
          </w:tcPr>
          <w:p w:rsidR="00000000" w:rsidRDefault="00000000">
            <w:pPr>
              <w:jc w:val="center"/>
              <w:rPr>
                <w:kern w:val="20"/>
                <w:sz w:val="18"/>
              </w:rPr>
            </w:pPr>
            <w:r>
              <w:rPr>
                <w:kern w:val="20"/>
                <w:sz w:val="18"/>
              </w:rPr>
              <w:t>Average income gap</w:t>
            </w:r>
          </w:p>
        </w:tc>
        <w:tc>
          <w:tcPr>
            <w:tcW w:w="850" w:type="dxa"/>
          </w:tcPr>
          <w:p w:rsidR="00000000" w:rsidRDefault="00000000">
            <w:pPr>
              <w:jc w:val="center"/>
              <w:rPr>
                <w:kern w:val="20"/>
                <w:sz w:val="18"/>
              </w:rPr>
            </w:pPr>
            <w:r>
              <w:rPr>
                <w:kern w:val="20"/>
                <w:sz w:val="18"/>
              </w:rPr>
              <w:t>Quadratic average income</w:t>
            </w:r>
          </w:p>
        </w:tc>
        <w:tc>
          <w:tcPr>
            <w:tcW w:w="993" w:type="dxa"/>
          </w:tcPr>
          <w:p w:rsidR="00000000" w:rsidRDefault="00000000">
            <w:pPr>
              <w:jc w:val="center"/>
              <w:rPr>
                <w:kern w:val="20"/>
                <w:sz w:val="18"/>
              </w:rPr>
            </w:pPr>
            <w:r>
              <w:rPr>
                <w:kern w:val="20"/>
                <w:sz w:val="18"/>
              </w:rPr>
              <w:t>Percentage of poor</w:t>
            </w:r>
          </w:p>
        </w:tc>
        <w:tc>
          <w:tcPr>
            <w:tcW w:w="708" w:type="dxa"/>
          </w:tcPr>
          <w:p w:rsidR="00000000" w:rsidRDefault="00000000">
            <w:pPr>
              <w:jc w:val="center"/>
              <w:rPr>
                <w:kern w:val="20"/>
                <w:sz w:val="18"/>
              </w:rPr>
            </w:pPr>
            <w:r>
              <w:rPr>
                <w:kern w:val="20"/>
                <w:sz w:val="18"/>
              </w:rPr>
              <w:t>Average income gap</w:t>
            </w:r>
          </w:p>
        </w:tc>
        <w:tc>
          <w:tcPr>
            <w:tcW w:w="851" w:type="dxa"/>
          </w:tcPr>
          <w:p w:rsidR="00000000" w:rsidRDefault="00000000">
            <w:pPr>
              <w:jc w:val="center"/>
              <w:rPr>
                <w:kern w:val="20"/>
                <w:sz w:val="18"/>
              </w:rPr>
            </w:pPr>
            <w:r>
              <w:rPr>
                <w:kern w:val="20"/>
                <w:sz w:val="18"/>
              </w:rPr>
              <w:t>Quadratic average income</w:t>
            </w:r>
          </w:p>
        </w:tc>
        <w:tc>
          <w:tcPr>
            <w:tcW w:w="927" w:type="dxa"/>
          </w:tcPr>
          <w:p w:rsidR="00000000" w:rsidRDefault="00000000">
            <w:pPr>
              <w:jc w:val="center"/>
              <w:rPr>
                <w:kern w:val="20"/>
                <w:sz w:val="18"/>
              </w:rPr>
            </w:pPr>
            <w:r>
              <w:rPr>
                <w:kern w:val="20"/>
                <w:sz w:val="18"/>
              </w:rPr>
              <w:t>Percentage of poor</w:t>
            </w:r>
          </w:p>
        </w:tc>
        <w:tc>
          <w:tcPr>
            <w:tcW w:w="774" w:type="dxa"/>
          </w:tcPr>
          <w:p w:rsidR="00000000" w:rsidRDefault="00000000">
            <w:pPr>
              <w:jc w:val="center"/>
              <w:rPr>
                <w:kern w:val="20"/>
                <w:sz w:val="18"/>
              </w:rPr>
            </w:pPr>
            <w:r>
              <w:rPr>
                <w:kern w:val="20"/>
                <w:sz w:val="18"/>
              </w:rPr>
              <w:t>Average income gap</w:t>
            </w:r>
          </w:p>
        </w:tc>
        <w:tc>
          <w:tcPr>
            <w:tcW w:w="808" w:type="dxa"/>
          </w:tcPr>
          <w:p w:rsidR="00000000" w:rsidRDefault="00000000">
            <w:pPr>
              <w:jc w:val="center"/>
              <w:rPr>
                <w:kern w:val="20"/>
                <w:sz w:val="18"/>
              </w:rPr>
            </w:pPr>
            <w:r>
              <w:rPr>
                <w:kern w:val="20"/>
                <w:sz w:val="18"/>
              </w:rPr>
              <w:t>Quadratic average income</w:t>
            </w:r>
          </w:p>
        </w:tc>
        <w:tc>
          <w:tcPr>
            <w:tcW w:w="892" w:type="dxa"/>
          </w:tcPr>
          <w:p w:rsidR="00000000" w:rsidRDefault="00000000">
            <w:pPr>
              <w:jc w:val="center"/>
              <w:rPr>
                <w:kern w:val="20"/>
                <w:sz w:val="18"/>
              </w:rPr>
            </w:pPr>
            <w:r>
              <w:rPr>
                <w:kern w:val="20"/>
                <w:sz w:val="18"/>
              </w:rPr>
              <w:t>Percentage of poor</w:t>
            </w:r>
          </w:p>
        </w:tc>
        <w:tc>
          <w:tcPr>
            <w:tcW w:w="777" w:type="dxa"/>
          </w:tcPr>
          <w:p w:rsidR="00000000" w:rsidRDefault="00000000">
            <w:pPr>
              <w:jc w:val="center"/>
              <w:rPr>
                <w:kern w:val="20"/>
                <w:sz w:val="18"/>
              </w:rPr>
            </w:pPr>
            <w:r>
              <w:rPr>
                <w:kern w:val="20"/>
                <w:sz w:val="18"/>
              </w:rPr>
              <w:t>Average income</w:t>
            </w:r>
          </w:p>
          <w:p w:rsidR="00000000" w:rsidRDefault="00000000">
            <w:pPr>
              <w:ind w:right="34"/>
              <w:jc w:val="center"/>
              <w:rPr>
                <w:kern w:val="20"/>
                <w:sz w:val="18"/>
              </w:rPr>
            </w:pPr>
            <w:r>
              <w:rPr>
                <w:kern w:val="20"/>
                <w:sz w:val="18"/>
              </w:rPr>
              <w:t>gap</w:t>
            </w:r>
          </w:p>
        </w:tc>
        <w:tc>
          <w:tcPr>
            <w:tcW w:w="851" w:type="dxa"/>
          </w:tcPr>
          <w:p w:rsidR="00000000" w:rsidRDefault="00000000">
            <w:pPr>
              <w:jc w:val="center"/>
              <w:rPr>
                <w:kern w:val="20"/>
                <w:sz w:val="18"/>
              </w:rPr>
            </w:pPr>
            <w:r>
              <w:rPr>
                <w:kern w:val="20"/>
                <w:sz w:val="18"/>
              </w:rPr>
              <w:t>Quadratic average income</w:t>
            </w:r>
          </w:p>
        </w:tc>
      </w:tr>
      <w:tr w:rsidR="00000000">
        <w:tblPrEx>
          <w:tblCellMar>
            <w:top w:w="0" w:type="dxa"/>
            <w:bottom w:w="0" w:type="dxa"/>
          </w:tblCellMar>
        </w:tblPrEx>
        <w:tc>
          <w:tcPr>
            <w:tcW w:w="1701" w:type="dxa"/>
          </w:tcPr>
          <w:p w:rsidR="00000000" w:rsidRDefault="00000000">
            <w:pPr>
              <w:rPr>
                <w:kern w:val="20"/>
                <w:sz w:val="18"/>
              </w:rPr>
            </w:pPr>
            <w:r>
              <w:rPr>
                <w:kern w:val="20"/>
                <w:sz w:val="18"/>
              </w:rPr>
              <w:t>Brazil</w:t>
            </w:r>
          </w:p>
        </w:tc>
        <w:tc>
          <w:tcPr>
            <w:tcW w:w="993" w:type="dxa"/>
          </w:tcPr>
          <w:p w:rsidR="00000000" w:rsidRDefault="00000000">
            <w:pPr>
              <w:rPr>
                <w:kern w:val="20"/>
                <w:sz w:val="18"/>
              </w:rPr>
            </w:pPr>
            <w:r>
              <w:rPr>
                <w:kern w:val="20"/>
                <w:sz w:val="18"/>
              </w:rPr>
              <w:t xml:space="preserve">    100.00</w:t>
            </w:r>
          </w:p>
        </w:tc>
        <w:tc>
          <w:tcPr>
            <w:tcW w:w="892" w:type="dxa"/>
            <w:gridSpan w:val="2"/>
          </w:tcPr>
          <w:p w:rsidR="00000000" w:rsidRDefault="00000000">
            <w:pPr>
              <w:jc w:val="center"/>
              <w:rPr>
                <w:kern w:val="20"/>
                <w:sz w:val="18"/>
              </w:rPr>
            </w:pPr>
            <w:r>
              <w:rPr>
                <w:kern w:val="20"/>
                <w:sz w:val="18"/>
              </w:rPr>
              <w:t>34</w:t>
            </w:r>
          </w:p>
        </w:tc>
        <w:tc>
          <w:tcPr>
            <w:tcW w:w="709" w:type="dxa"/>
          </w:tcPr>
          <w:p w:rsidR="00000000" w:rsidRDefault="00000000">
            <w:pPr>
              <w:rPr>
                <w:kern w:val="20"/>
                <w:sz w:val="18"/>
              </w:rPr>
            </w:pPr>
            <w:r>
              <w:rPr>
                <w:kern w:val="20"/>
                <w:sz w:val="18"/>
              </w:rPr>
              <w:t xml:space="preserve">    0.15</w:t>
            </w:r>
          </w:p>
        </w:tc>
        <w:tc>
          <w:tcPr>
            <w:tcW w:w="850" w:type="dxa"/>
          </w:tcPr>
          <w:p w:rsidR="00000000" w:rsidRDefault="00000000">
            <w:pPr>
              <w:rPr>
                <w:kern w:val="20"/>
                <w:sz w:val="18"/>
              </w:rPr>
            </w:pPr>
            <w:r>
              <w:rPr>
                <w:kern w:val="20"/>
                <w:sz w:val="18"/>
              </w:rPr>
              <w:t xml:space="preserve">     0.09</w:t>
            </w:r>
          </w:p>
        </w:tc>
        <w:tc>
          <w:tcPr>
            <w:tcW w:w="993" w:type="dxa"/>
          </w:tcPr>
          <w:p w:rsidR="00000000" w:rsidRDefault="00000000">
            <w:pPr>
              <w:rPr>
                <w:kern w:val="20"/>
                <w:sz w:val="18"/>
              </w:rPr>
            </w:pPr>
            <w:r>
              <w:rPr>
                <w:kern w:val="20"/>
                <w:sz w:val="18"/>
              </w:rPr>
              <w:t xml:space="preserve">    100.00</w:t>
            </w:r>
          </w:p>
        </w:tc>
        <w:tc>
          <w:tcPr>
            <w:tcW w:w="708" w:type="dxa"/>
          </w:tcPr>
          <w:p w:rsidR="00000000" w:rsidRDefault="00000000">
            <w:pPr>
              <w:rPr>
                <w:kern w:val="20"/>
                <w:sz w:val="18"/>
              </w:rPr>
            </w:pPr>
            <w:r>
              <w:rPr>
                <w:kern w:val="20"/>
                <w:sz w:val="18"/>
              </w:rPr>
              <w:t xml:space="preserve"> 100.00</w:t>
            </w:r>
          </w:p>
        </w:tc>
        <w:tc>
          <w:tcPr>
            <w:tcW w:w="851" w:type="dxa"/>
          </w:tcPr>
          <w:p w:rsidR="00000000" w:rsidRDefault="00000000">
            <w:pPr>
              <w:rPr>
                <w:kern w:val="20"/>
                <w:sz w:val="18"/>
              </w:rPr>
            </w:pPr>
            <w:r>
              <w:rPr>
                <w:kern w:val="20"/>
                <w:sz w:val="18"/>
              </w:rPr>
              <w:t xml:space="preserve">   100.00</w:t>
            </w:r>
          </w:p>
        </w:tc>
        <w:tc>
          <w:tcPr>
            <w:tcW w:w="927" w:type="dxa"/>
          </w:tcPr>
          <w:p w:rsidR="00000000" w:rsidRDefault="00000000">
            <w:pPr>
              <w:rPr>
                <w:kern w:val="20"/>
                <w:sz w:val="18"/>
              </w:rPr>
            </w:pPr>
            <w:r>
              <w:rPr>
                <w:kern w:val="20"/>
                <w:sz w:val="18"/>
              </w:rPr>
              <w:t xml:space="preserve">        15</w:t>
            </w:r>
          </w:p>
        </w:tc>
        <w:tc>
          <w:tcPr>
            <w:tcW w:w="774" w:type="dxa"/>
          </w:tcPr>
          <w:p w:rsidR="00000000" w:rsidRDefault="00000000">
            <w:pPr>
              <w:rPr>
                <w:kern w:val="20"/>
                <w:sz w:val="18"/>
              </w:rPr>
            </w:pPr>
            <w:r>
              <w:rPr>
                <w:kern w:val="20"/>
                <w:sz w:val="18"/>
              </w:rPr>
              <w:t xml:space="preserve">    0.06</w:t>
            </w:r>
          </w:p>
        </w:tc>
        <w:tc>
          <w:tcPr>
            <w:tcW w:w="808" w:type="dxa"/>
          </w:tcPr>
          <w:p w:rsidR="00000000" w:rsidRDefault="00000000">
            <w:pPr>
              <w:rPr>
                <w:kern w:val="20"/>
                <w:sz w:val="18"/>
              </w:rPr>
            </w:pPr>
            <w:r>
              <w:rPr>
                <w:kern w:val="20"/>
                <w:sz w:val="18"/>
              </w:rPr>
              <w:t xml:space="preserve">    0.04</w:t>
            </w:r>
          </w:p>
        </w:tc>
        <w:tc>
          <w:tcPr>
            <w:tcW w:w="892" w:type="dxa"/>
          </w:tcPr>
          <w:p w:rsidR="00000000" w:rsidRDefault="00000000">
            <w:pPr>
              <w:rPr>
                <w:kern w:val="20"/>
                <w:sz w:val="18"/>
              </w:rPr>
            </w:pPr>
            <w:r>
              <w:rPr>
                <w:kern w:val="20"/>
                <w:sz w:val="18"/>
              </w:rPr>
              <w:t xml:space="preserve">   100.00</w:t>
            </w:r>
          </w:p>
        </w:tc>
        <w:tc>
          <w:tcPr>
            <w:tcW w:w="777" w:type="dxa"/>
          </w:tcPr>
          <w:p w:rsidR="00000000" w:rsidRDefault="00000000">
            <w:pPr>
              <w:rPr>
                <w:kern w:val="20"/>
                <w:sz w:val="18"/>
              </w:rPr>
            </w:pPr>
            <w:r>
              <w:rPr>
                <w:kern w:val="20"/>
                <w:sz w:val="18"/>
              </w:rPr>
              <w:t xml:space="preserve">  100.00</w:t>
            </w:r>
          </w:p>
        </w:tc>
        <w:tc>
          <w:tcPr>
            <w:tcW w:w="851" w:type="dxa"/>
          </w:tcPr>
          <w:p w:rsidR="00000000" w:rsidRDefault="00000000">
            <w:pPr>
              <w:rPr>
                <w:kern w:val="20"/>
                <w:sz w:val="18"/>
              </w:rPr>
            </w:pPr>
            <w:r>
              <w:rPr>
                <w:kern w:val="20"/>
                <w:sz w:val="18"/>
              </w:rPr>
              <w:t xml:space="preserve">   100.00</w:t>
            </w:r>
          </w:p>
        </w:tc>
      </w:tr>
      <w:tr w:rsidR="00000000">
        <w:tblPrEx>
          <w:tblCellMar>
            <w:top w:w="0" w:type="dxa"/>
            <w:bottom w:w="0" w:type="dxa"/>
          </w:tblCellMar>
        </w:tblPrEx>
        <w:trPr>
          <w:cantSplit/>
        </w:trPr>
        <w:tc>
          <w:tcPr>
            <w:tcW w:w="1701" w:type="dxa"/>
          </w:tcPr>
          <w:p w:rsidR="00000000" w:rsidRDefault="00000000">
            <w:pPr>
              <w:rPr>
                <w:b/>
                <w:bCs/>
                <w:kern w:val="20"/>
                <w:sz w:val="18"/>
              </w:rPr>
            </w:pPr>
            <w:r>
              <w:rPr>
                <w:b/>
                <w:bCs/>
                <w:kern w:val="20"/>
                <w:sz w:val="18"/>
              </w:rPr>
              <w:t>Geographical location</w:t>
            </w:r>
          </w:p>
        </w:tc>
        <w:tc>
          <w:tcPr>
            <w:tcW w:w="11025" w:type="dxa"/>
            <w:gridSpan w:val="14"/>
          </w:tcPr>
          <w:p w:rsidR="00000000" w:rsidRDefault="00000000">
            <w:pPr>
              <w:jc w:val="center"/>
              <w:rPr>
                <w:kern w:val="20"/>
                <w:sz w:val="18"/>
              </w:rPr>
            </w:pPr>
          </w:p>
        </w:tc>
      </w:tr>
      <w:tr w:rsidR="00000000">
        <w:tblPrEx>
          <w:tblCellMar>
            <w:top w:w="0" w:type="dxa"/>
            <w:bottom w:w="0" w:type="dxa"/>
          </w:tblCellMar>
        </w:tblPrEx>
        <w:tc>
          <w:tcPr>
            <w:tcW w:w="1701" w:type="dxa"/>
            <w:tcBorders>
              <w:bottom w:val="nil"/>
            </w:tcBorders>
          </w:tcPr>
          <w:p w:rsidR="00000000" w:rsidRDefault="00000000">
            <w:pPr>
              <w:rPr>
                <w:kern w:val="20"/>
                <w:sz w:val="18"/>
              </w:rPr>
            </w:pPr>
            <w:r>
              <w:rPr>
                <w:kern w:val="20"/>
                <w:sz w:val="18"/>
              </w:rPr>
              <w:t>Urban</w:t>
            </w:r>
          </w:p>
        </w:tc>
        <w:tc>
          <w:tcPr>
            <w:tcW w:w="993" w:type="dxa"/>
            <w:tcBorders>
              <w:bottom w:val="nil"/>
            </w:tcBorders>
          </w:tcPr>
          <w:p w:rsidR="00000000" w:rsidRDefault="00000000">
            <w:pPr>
              <w:rPr>
                <w:kern w:val="20"/>
                <w:sz w:val="18"/>
              </w:rPr>
            </w:pPr>
            <w:r>
              <w:rPr>
                <w:kern w:val="20"/>
                <w:sz w:val="18"/>
              </w:rPr>
              <w:t xml:space="preserve">      79.60</w:t>
            </w:r>
          </w:p>
        </w:tc>
        <w:tc>
          <w:tcPr>
            <w:tcW w:w="892" w:type="dxa"/>
            <w:gridSpan w:val="2"/>
            <w:tcBorders>
              <w:bottom w:val="nil"/>
            </w:tcBorders>
          </w:tcPr>
          <w:p w:rsidR="00000000" w:rsidRDefault="00000000">
            <w:pPr>
              <w:jc w:val="center"/>
              <w:rPr>
                <w:kern w:val="20"/>
                <w:sz w:val="18"/>
              </w:rPr>
            </w:pPr>
            <w:r>
              <w:rPr>
                <w:kern w:val="20"/>
                <w:sz w:val="18"/>
              </w:rPr>
              <w:t>28</w:t>
            </w:r>
          </w:p>
        </w:tc>
        <w:tc>
          <w:tcPr>
            <w:tcW w:w="709" w:type="dxa"/>
            <w:tcBorders>
              <w:bottom w:val="nil"/>
            </w:tcBorders>
          </w:tcPr>
          <w:p w:rsidR="00000000" w:rsidRDefault="00000000">
            <w:pPr>
              <w:rPr>
                <w:kern w:val="20"/>
                <w:sz w:val="18"/>
              </w:rPr>
            </w:pPr>
            <w:r>
              <w:rPr>
                <w:kern w:val="20"/>
                <w:sz w:val="18"/>
              </w:rPr>
              <w:t xml:space="preserve">    0.12</w:t>
            </w:r>
          </w:p>
        </w:tc>
        <w:tc>
          <w:tcPr>
            <w:tcW w:w="850" w:type="dxa"/>
            <w:tcBorders>
              <w:bottom w:val="nil"/>
            </w:tcBorders>
          </w:tcPr>
          <w:p w:rsidR="00000000" w:rsidRDefault="00000000">
            <w:pPr>
              <w:rPr>
                <w:kern w:val="20"/>
                <w:sz w:val="18"/>
              </w:rPr>
            </w:pPr>
            <w:r>
              <w:rPr>
                <w:kern w:val="20"/>
                <w:sz w:val="18"/>
              </w:rPr>
              <w:t xml:space="preserve">     0.07</w:t>
            </w:r>
          </w:p>
        </w:tc>
        <w:tc>
          <w:tcPr>
            <w:tcW w:w="993" w:type="dxa"/>
            <w:tcBorders>
              <w:bottom w:val="nil"/>
            </w:tcBorders>
          </w:tcPr>
          <w:p w:rsidR="00000000" w:rsidRDefault="00000000">
            <w:pPr>
              <w:rPr>
                <w:kern w:val="20"/>
                <w:sz w:val="18"/>
              </w:rPr>
            </w:pPr>
            <w:r>
              <w:rPr>
                <w:kern w:val="20"/>
                <w:sz w:val="18"/>
              </w:rPr>
              <w:t xml:space="preserve">      64.81</w:t>
            </w:r>
          </w:p>
        </w:tc>
        <w:tc>
          <w:tcPr>
            <w:tcW w:w="708" w:type="dxa"/>
            <w:tcBorders>
              <w:bottom w:val="nil"/>
            </w:tcBorders>
          </w:tcPr>
          <w:p w:rsidR="00000000" w:rsidRDefault="00000000">
            <w:pPr>
              <w:rPr>
                <w:kern w:val="20"/>
                <w:sz w:val="18"/>
              </w:rPr>
            </w:pPr>
            <w:r>
              <w:rPr>
                <w:kern w:val="20"/>
                <w:sz w:val="18"/>
              </w:rPr>
              <w:t xml:space="preserve">   60.03</w:t>
            </w:r>
          </w:p>
        </w:tc>
        <w:tc>
          <w:tcPr>
            <w:tcW w:w="851" w:type="dxa"/>
            <w:tcBorders>
              <w:bottom w:val="nil"/>
            </w:tcBorders>
          </w:tcPr>
          <w:p w:rsidR="00000000" w:rsidRDefault="00000000">
            <w:pPr>
              <w:rPr>
                <w:kern w:val="20"/>
                <w:sz w:val="18"/>
              </w:rPr>
            </w:pPr>
            <w:r>
              <w:rPr>
                <w:kern w:val="20"/>
                <w:sz w:val="18"/>
              </w:rPr>
              <w:t xml:space="preserve">     57.94</w:t>
            </w:r>
          </w:p>
        </w:tc>
        <w:tc>
          <w:tcPr>
            <w:tcW w:w="927" w:type="dxa"/>
            <w:tcBorders>
              <w:bottom w:val="nil"/>
            </w:tcBorders>
          </w:tcPr>
          <w:p w:rsidR="00000000" w:rsidRDefault="00000000">
            <w:pPr>
              <w:rPr>
                <w:kern w:val="20"/>
                <w:sz w:val="18"/>
              </w:rPr>
            </w:pPr>
            <w:r>
              <w:rPr>
                <w:kern w:val="20"/>
                <w:sz w:val="18"/>
              </w:rPr>
              <w:t xml:space="preserve">        10</w:t>
            </w:r>
          </w:p>
        </w:tc>
        <w:tc>
          <w:tcPr>
            <w:tcW w:w="774" w:type="dxa"/>
            <w:tcBorders>
              <w:bottom w:val="nil"/>
            </w:tcBorders>
          </w:tcPr>
          <w:p w:rsidR="00000000" w:rsidRDefault="00000000">
            <w:pPr>
              <w:rPr>
                <w:kern w:val="20"/>
                <w:sz w:val="18"/>
              </w:rPr>
            </w:pPr>
            <w:r>
              <w:rPr>
                <w:kern w:val="20"/>
                <w:sz w:val="18"/>
              </w:rPr>
              <w:t xml:space="preserve">    0.04</w:t>
            </w:r>
          </w:p>
        </w:tc>
        <w:tc>
          <w:tcPr>
            <w:tcW w:w="808" w:type="dxa"/>
            <w:tcBorders>
              <w:bottom w:val="nil"/>
            </w:tcBorders>
          </w:tcPr>
          <w:p w:rsidR="00000000" w:rsidRDefault="00000000">
            <w:pPr>
              <w:rPr>
                <w:kern w:val="20"/>
                <w:sz w:val="18"/>
              </w:rPr>
            </w:pPr>
            <w:r>
              <w:rPr>
                <w:kern w:val="20"/>
                <w:sz w:val="18"/>
              </w:rPr>
              <w:t xml:space="preserve">    0.03</w:t>
            </w:r>
          </w:p>
        </w:tc>
        <w:tc>
          <w:tcPr>
            <w:tcW w:w="892" w:type="dxa"/>
            <w:tcBorders>
              <w:bottom w:val="nil"/>
            </w:tcBorders>
          </w:tcPr>
          <w:p w:rsidR="00000000" w:rsidRDefault="00000000">
            <w:pPr>
              <w:rPr>
                <w:kern w:val="20"/>
                <w:sz w:val="18"/>
              </w:rPr>
            </w:pPr>
            <w:r>
              <w:rPr>
                <w:kern w:val="20"/>
                <w:sz w:val="18"/>
              </w:rPr>
              <w:t xml:space="preserve">     55.93</w:t>
            </w:r>
          </w:p>
        </w:tc>
        <w:tc>
          <w:tcPr>
            <w:tcW w:w="777" w:type="dxa"/>
            <w:tcBorders>
              <w:bottom w:val="nil"/>
            </w:tcBorders>
          </w:tcPr>
          <w:p w:rsidR="00000000" w:rsidRDefault="00000000">
            <w:pPr>
              <w:rPr>
                <w:kern w:val="20"/>
                <w:sz w:val="18"/>
              </w:rPr>
            </w:pPr>
            <w:r>
              <w:rPr>
                <w:kern w:val="20"/>
                <w:sz w:val="18"/>
              </w:rPr>
              <w:t xml:space="preserve">    55.28</w:t>
            </w:r>
          </w:p>
        </w:tc>
        <w:tc>
          <w:tcPr>
            <w:tcW w:w="851" w:type="dxa"/>
            <w:tcBorders>
              <w:bottom w:val="nil"/>
            </w:tcBorders>
          </w:tcPr>
          <w:p w:rsidR="00000000" w:rsidRDefault="00000000">
            <w:pPr>
              <w:rPr>
                <w:kern w:val="20"/>
                <w:sz w:val="18"/>
              </w:rPr>
            </w:pPr>
            <w:r>
              <w:rPr>
                <w:kern w:val="20"/>
                <w:sz w:val="18"/>
              </w:rPr>
              <w:t xml:space="preserve">     57.31</w:t>
            </w:r>
          </w:p>
        </w:tc>
      </w:tr>
      <w:tr w:rsidR="00000000">
        <w:tblPrEx>
          <w:tblCellMar>
            <w:top w:w="0" w:type="dxa"/>
            <w:bottom w:w="0" w:type="dxa"/>
          </w:tblCellMar>
        </w:tblPrEx>
        <w:tc>
          <w:tcPr>
            <w:tcW w:w="1701" w:type="dxa"/>
            <w:tcBorders>
              <w:top w:val="nil"/>
            </w:tcBorders>
          </w:tcPr>
          <w:p w:rsidR="00000000" w:rsidRDefault="00000000">
            <w:pPr>
              <w:rPr>
                <w:kern w:val="20"/>
                <w:sz w:val="18"/>
              </w:rPr>
            </w:pPr>
            <w:r>
              <w:rPr>
                <w:kern w:val="20"/>
                <w:sz w:val="18"/>
              </w:rPr>
              <w:t>Rural</w:t>
            </w:r>
          </w:p>
        </w:tc>
        <w:tc>
          <w:tcPr>
            <w:tcW w:w="993" w:type="dxa"/>
            <w:tcBorders>
              <w:top w:val="nil"/>
            </w:tcBorders>
          </w:tcPr>
          <w:p w:rsidR="00000000" w:rsidRDefault="00000000">
            <w:pPr>
              <w:rPr>
                <w:kern w:val="20"/>
                <w:sz w:val="18"/>
              </w:rPr>
            </w:pPr>
            <w:r>
              <w:rPr>
                <w:kern w:val="20"/>
                <w:sz w:val="18"/>
              </w:rPr>
              <w:t xml:space="preserve">      20.40</w:t>
            </w:r>
          </w:p>
        </w:tc>
        <w:tc>
          <w:tcPr>
            <w:tcW w:w="892" w:type="dxa"/>
            <w:gridSpan w:val="2"/>
            <w:tcBorders>
              <w:top w:val="nil"/>
            </w:tcBorders>
          </w:tcPr>
          <w:p w:rsidR="00000000" w:rsidRDefault="00000000">
            <w:pPr>
              <w:jc w:val="center"/>
              <w:rPr>
                <w:kern w:val="20"/>
                <w:sz w:val="18"/>
              </w:rPr>
            </w:pPr>
            <w:r>
              <w:rPr>
                <w:kern w:val="20"/>
                <w:sz w:val="18"/>
              </w:rPr>
              <w:t>58</w:t>
            </w:r>
          </w:p>
        </w:tc>
        <w:tc>
          <w:tcPr>
            <w:tcW w:w="709" w:type="dxa"/>
            <w:tcBorders>
              <w:top w:val="nil"/>
            </w:tcBorders>
          </w:tcPr>
          <w:p w:rsidR="00000000" w:rsidRDefault="00000000">
            <w:pPr>
              <w:rPr>
                <w:kern w:val="20"/>
                <w:sz w:val="18"/>
              </w:rPr>
            </w:pPr>
            <w:r>
              <w:rPr>
                <w:kern w:val="20"/>
                <w:sz w:val="18"/>
              </w:rPr>
              <w:t xml:space="preserve">    0.30</w:t>
            </w:r>
          </w:p>
        </w:tc>
        <w:tc>
          <w:tcPr>
            <w:tcW w:w="850" w:type="dxa"/>
            <w:tcBorders>
              <w:top w:val="nil"/>
            </w:tcBorders>
          </w:tcPr>
          <w:p w:rsidR="00000000" w:rsidRDefault="00000000">
            <w:pPr>
              <w:rPr>
                <w:kern w:val="20"/>
                <w:sz w:val="18"/>
              </w:rPr>
            </w:pPr>
            <w:r>
              <w:rPr>
                <w:kern w:val="20"/>
                <w:sz w:val="18"/>
              </w:rPr>
              <w:t xml:space="preserve">     0.20</w:t>
            </w:r>
          </w:p>
        </w:tc>
        <w:tc>
          <w:tcPr>
            <w:tcW w:w="993" w:type="dxa"/>
            <w:tcBorders>
              <w:top w:val="nil"/>
            </w:tcBorders>
          </w:tcPr>
          <w:p w:rsidR="00000000" w:rsidRDefault="00000000">
            <w:pPr>
              <w:rPr>
                <w:kern w:val="20"/>
                <w:sz w:val="18"/>
              </w:rPr>
            </w:pPr>
            <w:r>
              <w:rPr>
                <w:kern w:val="20"/>
                <w:sz w:val="18"/>
              </w:rPr>
              <w:t xml:space="preserve">      35.22</w:t>
            </w:r>
          </w:p>
        </w:tc>
        <w:tc>
          <w:tcPr>
            <w:tcW w:w="708" w:type="dxa"/>
            <w:tcBorders>
              <w:top w:val="nil"/>
            </w:tcBorders>
          </w:tcPr>
          <w:p w:rsidR="00000000" w:rsidRDefault="00000000">
            <w:pPr>
              <w:rPr>
                <w:kern w:val="20"/>
                <w:sz w:val="18"/>
              </w:rPr>
            </w:pPr>
            <w:r>
              <w:rPr>
                <w:kern w:val="20"/>
                <w:sz w:val="18"/>
              </w:rPr>
              <w:t xml:space="preserve">   40.01</w:t>
            </w:r>
          </w:p>
        </w:tc>
        <w:tc>
          <w:tcPr>
            <w:tcW w:w="851" w:type="dxa"/>
            <w:tcBorders>
              <w:top w:val="nil"/>
            </w:tcBorders>
          </w:tcPr>
          <w:p w:rsidR="00000000" w:rsidRDefault="00000000">
            <w:pPr>
              <w:rPr>
                <w:kern w:val="20"/>
                <w:sz w:val="18"/>
              </w:rPr>
            </w:pPr>
            <w:r>
              <w:rPr>
                <w:kern w:val="20"/>
                <w:sz w:val="18"/>
              </w:rPr>
              <w:t xml:space="preserve">     42.11</w:t>
            </w:r>
          </w:p>
        </w:tc>
        <w:tc>
          <w:tcPr>
            <w:tcW w:w="927" w:type="dxa"/>
            <w:tcBorders>
              <w:top w:val="nil"/>
            </w:tcBorders>
          </w:tcPr>
          <w:p w:rsidR="00000000" w:rsidRDefault="00000000">
            <w:pPr>
              <w:rPr>
                <w:kern w:val="20"/>
                <w:sz w:val="18"/>
              </w:rPr>
            </w:pPr>
            <w:r>
              <w:rPr>
                <w:kern w:val="20"/>
                <w:sz w:val="18"/>
              </w:rPr>
              <w:t xml:space="preserve">        32</w:t>
            </w:r>
          </w:p>
        </w:tc>
        <w:tc>
          <w:tcPr>
            <w:tcW w:w="774" w:type="dxa"/>
            <w:tcBorders>
              <w:top w:val="nil"/>
            </w:tcBorders>
          </w:tcPr>
          <w:p w:rsidR="00000000" w:rsidRDefault="00000000">
            <w:pPr>
              <w:rPr>
                <w:kern w:val="20"/>
                <w:sz w:val="18"/>
              </w:rPr>
            </w:pPr>
            <w:r>
              <w:rPr>
                <w:kern w:val="20"/>
                <w:sz w:val="18"/>
              </w:rPr>
              <w:t xml:space="preserve">    0.14</w:t>
            </w:r>
          </w:p>
        </w:tc>
        <w:tc>
          <w:tcPr>
            <w:tcW w:w="808" w:type="dxa"/>
            <w:tcBorders>
              <w:top w:val="nil"/>
            </w:tcBorders>
          </w:tcPr>
          <w:p w:rsidR="00000000" w:rsidRDefault="00000000">
            <w:pPr>
              <w:rPr>
                <w:kern w:val="20"/>
                <w:sz w:val="18"/>
              </w:rPr>
            </w:pPr>
            <w:r>
              <w:rPr>
                <w:kern w:val="20"/>
                <w:sz w:val="18"/>
              </w:rPr>
              <w:t xml:space="preserve">    0.08</w:t>
            </w:r>
          </w:p>
        </w:tc>
        <w:tc>
          <w:tcPr>
            <w:tcW w:w="892" w:type="dxa"/>
            <w:tcBorders>
              <w:top w:val="nil"/>
            </w:tcBorders>
          </w:tcPr>
          <w:p w:rsidR="00000000" w:rsidRDefault="00000000">
            <w:pPr>
              <w:rPr>
                <w:kern w:val="20"/>
                <w:sz w:val="18"/>
              </w:rPr>
            </w:pPr>
            <w:r>
              <w:rPr>
                <w:kern w:val="20"/>
                <w:sz w:val="18"/>
              </w:rPr>
              <w:t xml:space="preserve">     44.12</w:t>
            </w:r>
          </w:p>
        </w:tc>
        <w:tc>
          <w:tcPr>
            <w:tcW w:w="777" w:type="dxa"/>
            <w:tcBorders>
              <w:top w:val="nil"/>
            </w:tcBorders>
          </w:tcPr>
          <w:p w:rsidR="00000000" w:rsidRDefault="00000000">
            <w:pPr>
              <w:rPr>
                <w:kern w:val="20"/>
                <w:sz w:val="18"/>
              </w:rPr>
            </w:pPr>
            <w:r>
              <w:rPr>
                <w:kern w:val="20"/>
                <w:sz w:val="18"/>
              </w:rPr>
              <w:t xml:space="preserve">    44.77</w:t>
            </w:r>
          </w:p>
        </w:tc>
        <w:tc>
          <w:tcPr>
            <w:tcW w:w="851" w:type="dxa"/>
            <w:tcBorders>
              <w:top w:val="nil"/>
            </w:tcBorders>
          </w:tcPr>
          <w:p w:rsidR="00000000" w:rsidRDefault="00000000">
            <w:pPr>
              <w:rPr>
                <w:kern w:val="20"/>
                <w:sz w:val="18"/>
              </w:rPr>
            </w:pPr>
            <w:r>
              <w:rPr>
                <w:kern w:val="20"/>
                <w:sz w:val="18"/>
              </w:rPr>
              <w:t xml:space="preserve">     42.73</w:t>
            </w:r>
          </w:p>
        </w:tc>
      </w:tr>
      <w:tr w:rsidR="00000000">
        <w:tblPrEx>
          <w:tblCellMar>
            <w:top w:w="0" w:type="dxa"/>
            <w:bottom w:w="0" w:type="dxa"/>
          </w:tblCellMar>
        </w:tblPrEx>
        <w:trPr>
          <w:cantSplit/>
        </w:trPr>
        <w:tc>
          <w:tcPr>
            <w:tcW w:w="1701" w:type="dxa"/>
          </w:tcPr>
          <w:p w:rsidR="00000000" w:rsidRDefault="00000000">
            <w:pPr>
              <w:rPr>
                <w:b/>
                <w:bCs/>
                <w:kern w:val="20"/>
                <w:sz w:val="18"/>
              </w:rPr>
            </w:pPr>
            <w:r>
              <w:rPr>
                <w:b/>
                <w:bCs/>
                <w:kern w:val="20"/>
                <w:sz w:val="18"/>
              </w:rPr>
              <w:t>Major regions</w:t>
            </w:r>
          </w:p>
        </w:tc>
        <w:tc>
          <w:tcPr>
            <w:tcW w:w="11025" w:type="dxa"/>
            <w:gridSpan w:val="14"/>
          </w:tcPr>
          <w:p w:rsidR="00000000" w:rsidRDefault="00000000">
            <w:pPr>
              <w:rPr>
                <w:kern w:val="20"/>
                <w:sz w:val="18"/>
              </w:rPr>
            </w:pPr>
          </w:p>
        </w:tc>
      </w:tr>
      <w:tr w:rsidR="00000000">
        <w:tblPrEx>
          <w:tblCellMar>
            <w:top w:w="0" w:type="dxa"/>
            <w:bottom w:w="0" w:type="dxa"/>
          </w:tblCellMar>
        </w:tblPrEx>
        <w:tc>
          <w:tcPr>
            <w:tcW w:w="1701" w:type="dxa"/>
            <w:tcBorders>
              <w:bottom w:val="nil"/>
            </w:tcBorders>
          </w:tcPr>
          <w:p w:rsidR="00000000" w:rsidRDefault="00000000">
            <w:pPr>
              <w:rPr>
                <w:kern w:val="20"/>
                <w:sz w:val="18"/>
              </w:rPr>
            </w:pPr>
            <w:r>
              <w:rPr>
                <w:kern w:val="20"/>
                <w:sz w:val="18"/>
              </w:rPr>
              <w:t>Centre-west</w:t>
            </w:r>
          </w:p>
        </w:tc>
        <w:tc>
          <w:tcPr>
            <w:tcW w:w="993" w:type="dxa"/>
            <w:tcBorders>
              <w:bottom w:val="nil"/>
            </w:tcBorders>
          </w:tcPr>
          <w:p w:rsidR="00000000" w:rsidRDefault="00000000">
            <w:pPr>
              <w:rPr>
                <w:kern w:val="20"/>
                <w:sz w:val="18"/>
              </w:rPr>
            </w:pPr>
            <w:r>
              <w:rPr>
                <w:kern w:val="20"/>
                <w:sz w:val="18"/>
              </w:rPr>
              <w:t xml:space="preserve">        7.00</w:t>
            </w:r>
          </w:p>
        </w:tc>
        <w:tc>
          <w:tcPr>
            <w:tcW w:w="892" w:type="dxa"/>
            <w:gridSpan w:val="2"/>
            <w:tcBorders>
              <w:bottom w:val="nil"/>
            </w:tcBorders>
          </w:tcPr>
          <w:p w:rsidR="00000000" w:rsidRDefault="00000000">
            <w:pPr>
              <w:jc w:val="center"/>
              <w:rPr>
                <w:kern w:val="20"/>
                <w:sz w:val="18"/>
              </w:rPr>
            </w:pPr>
            <w:r>
              <w:rPr>
                <w:kern w:val="20"/>
                <w:sz w:val="18"/>
              </w:rPr>
              <w:t>24</w:t>
            </w:r>
          </w:p>
        </w:tc>
        <w:tc>
          <w:tcPr>
            <w:tcW w:w="709" w:type="dxa"/>
            <w:tcBorders>
              <w:bottom w:val="nil"/>
            </w:tcBorders>
          </w:tcPr>
          <w:p w:rsidR="00000000" w:rsidRDefault="00000000">
            <w:pPr>
              <w:rPr>
                <w:kern w:val="20"/>
                <w:sz w:val="18"/>
              </w:rPr>
            </w:pPr>
            <w:r>
              <w:rPr>
                <w:kern w:val="20"/>
                <w:sz w:val="18"/>
              </w:rPr>
              <w:t xml:space="preserve">    0.09</w:t>
            </w:r>
          </w:p>
        </w:tc>
        <w:tc>
          <w:tcPr>
            <w:tcW w:w="850" w:type="dxa"/>
            <w:tcBorders>
              <w:bottom w:val="nil"/>
            </w:tcBorders>
          </w:tcPr>
          <w:p w:rsidR="00000000" w:rsidRDefault="00000000">
            <w:pPr>
              <w:rPr>
                <w:kern w:val="20"/>
                <w:sz w:val="18"/>
              </w:rPr>
            </w:pPr>
            <w:r>
              <w:rPr>
                <w:kern w:val="20"/>
                <w:sz w:val="18"/>
              </w:rPr>
              <w:t xml:space="preserve">     0.06</w:t>
            </w:r>
          </w:p>
        </w:tc>
        <w:tc>
          <w:tcPr>
            <w:tcW w:w="993" w:type="dxa"/>
            <w:tcBorders>
              <w:bottom w:val="nil"/>
            </w:tcBorders>
          </w:tcPr>
          <w:p w:rsidR="00000000" w:rsidRDefault="00000000">
            <w:pPr>
              <w:rPr>
                <w:kern w:val="20"/>
                <w:sz w:val="18"/>
              </w:rPr>
            </w:pPr>
            <w:r>
              <w:rPr>
                <w:kern w:val="20"/>
                <w:sz w:val="18"/>
              </w:rPr>
              <w:t xml:space="preserve">        4.93</w:t>
            </w:r>
          </w:p>
        </w:tc>
        <w:tc>
          <w:tcPr>
            <w:tcW w:w="708" w:type="dxa"/>
            <w:tcBorders>
              <w:bottom w:val="nil"/>
            </w:tcBorders>
          </w:tcPr>
          <w:p w:rsidR="00000000" w:rsidRDefault="00000000">
            <w:pPr>
              <w:rPr>
                <w:kern w:val="20"/>
                <w:sz w:val="18"/>
              </w:rPr>
            </w:pPr>
            <w:r>
              <w:rPr>
                <w:kern w:val="20"/>
                <w:sz w:val="18"/>
              </w:rPr>
              <w:t xml:space="preserve">     4.29</w:t>
            </w:r>
          </w:p>
        </w:tc>
        <w:tc>
          <w:tcPr>
            <w:tcW w:w="851" w:type="dxa"/>
            <w:tcBorders>
              <w:bottom w:val="nil"/>
            </w:tcBorders>
          </w:tcPr>
          <w:p w:rsidR="00000000" w:rsidRDefault="00000000">
            <w:pPr>
              <w:rPr>
                <w:kern w:val="20"/>
                <w:sz w:val="18"/>
              </w:rPr>
            </w:pPr>
            <w:r>
              <w:rPr>
                <w:kern w:val="20"/>
                <w:sz w:val="18"/>
              </w:rPr>
              <w:t xml:space="preserve">       4.08</w:t>
            </w:r>
          </w:p>
        </w:tc>
        <w:tc>
          <w:tcPr>
            <w:tcW w:w="927" w:type="dxa"/>
            <w:tcBorders>
              <w:bottom w:val="nil"/>
            </w:tcBorders>
          </w:tcPr>
          <w:p w:rsidR="00000000" w:rsidRDefault="00000000">
            <w:pPr>
              <w:rPr>
                <w:kern w:val="20"/>
                <w:sz w:val="18"/>
              </w:rPr>
            </w:pPr>
            <w:r>
              <w:rPr>
                <w:kern w:val="20"/>
                <w:sz w:val="18"/>
              </w:rPr>
              <w:t xml:space="preserve">          8</w:t>
            </w:r>
          </w:p>
        </w:tc>
        <w:tc>
          <w:tcPr>
            <w:tcW w:w="774" w:type="dxa"/>
            <w:tcBorders>
              <w:bottom w:val="nil"/>
            </w:tcBorders>
          </w:tcPr>
          <w:p w:rsidR="00000000" w:rsidRDefault="00000000">
            <w:pPr>
              <w:rPr>
                <w:kern w:val="20"/>
                <w:sz w:val="18"/>
              </w:rPr>
            </w:pPr>
            <w:r>
              <w:rPr>
                <w:kern w:val="20"/>
                <w:sz w:val="18"/>
              </w:rPr>
              <w:t xml:space="preserve">    0.03</w:t>
            </w:r>
          </w:p>
        </w:tc>
        <w:tc>
          <w:tcPr>
            <w:tcW w:w="808" w:type="dxa"/>
            <w:tcBorders>
              <w:bottom w:val="nil"/>
            </w:tcBorders>
          </w:tcPr>
          <w:p w:rsidR="00000000" w:rsidRDefault="00000000">
            <w:pPr>
              <w:rPr>
                <w:kern w:val="20"/>
                <w:sz w:val="18"/>
              </w:rPr>
            </w:pPr>
            <w:r>
              <w:rPr>
                <w:kern w:val="20"/>
                <w:sz w:val="18"/>
              </w:rPr>
              <w:t xml:space="preserve">    0.02</w:t>
            </w:r>
          </w:p>
        </w:tc>
        <w:tc>
          <w:tcPr>
            <w:tcW w:w="892" w:type="dxa"/>
            <w:tcBorders>
              <w:bottom w:val="nil"/>
            </w:tcBorders>
          </w:tcPr>
          <w:p w:rsidR="00000000" w:rsidRDefault="00000000">
            <w:pPr>
              <w:rPr>
                <w:kern w:val="20"/>
                <w:sz w:val="18"/>
              </w:rPr>
            </w:pPr>
            <w:r>
              <w:rPr>
                <w:kern w:val="20"/>
                <w:sz w:val="18"/>
              </w:rPr>
              <w:t xml:space="preserve">       3.61</w:t>
            </w:r>
          </w:p>
        </w:tc>
        <w:tc>
          <w:tcPr>
            <w:tcW w:w="777" w:type="dxa"/>
            <w:tcBorders>
              <w:bottom w:val="nil"/>
            </w:tcBorders>
          </w:tcPr>
          <w:p w:rsidR="00000000" w:rsidRDefault="00000000">
            <w:pPr>
              <w:rPr>
                <w:kern w:val="20"/>
                <w:sz w:val="18"/>
              </w:rPr>
            </w:pPr>
            <w:r>
              <w:rPr>
                <w:kern w:val="20"/>
                <w:sz w:val="18"/>
              </w:rPr>
              <w:t xml:space="preserve">      3.86</w:t>
            </w:r>
          </w:p>
        </w:tc>
        <w:tc>
          <w:tcPr>
            <w:tcW w:w="851" w:type="dxa"/>
            <w:tcBorders>
              <w:bottom w:val="nil"/>
            </w:tcBorders>
          </w:tcPr>
          <w:p w:rsidR="00000000" w:rsidRDefault="00000000">
            <w:pPr>
              <w:rPr>
                <w:kern w:val="20"/>
                <w:sz w:val="18"/>
              </w:rPr>
            </w:pPr>
            <w:r>
              <w:rPr>
                <w:kern w:val="20"/>
                <w:sz w:val="18"/>
              </w:rPr>
              <w:t xml:space="preserve">      4.34</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North</w:t>
            </w:r>
            <w:r>
              <w:rPr>
                <w:kern w:val="20"/>
                <w:sz w:val="18"/>
              </w:rPr>
              <w:noBreakHyphen/>
              <w:t>east</w:t>
            </w:r>
          </w:p>
        </w:tc>
        <w:tc>
          <w:tcPr>
            <w:tcW w:w="993" w:type="dxa"/>
            <w:tcBorders>
              <w:top w:val="nil"/>
              <w:bottom w:val="nil"/>
            </w:tcBorders>
          </w:tcPr>
          <w:p w:rsidR="00000000" w:rsidRDefault="00000000">
            <w:pPr>
              <w:rPr>
                <w:kern w:val="20"/>
                <w:sz w:val="18"/>
              </w:rPr>
            </w:pPr>
            <w:r>
              <w:rPr>
                <w:kern w:val="20"/>
                <w:sz w:val="18"/>
              </w:rPr>
              <w:t xml:space="preserve">      28.90</w:t>
            </w:r>
          </w:p>
        </w:tc>
        <w:tc>
          <w:tcPr>
            <w:tcW w:w="892" w:type="dxa"/>
            <w:gridSpan w:val="2"/>
            <w:tcBorders>
              <w:top w:val="nil"/>
              <w:bottom w:val="nil"/>
            </w:tcBorders>
          </w:tcPr>
          <w:p w:rsidR="00000000" w:rsidRDefault="00000000">
            <w:pPr>
              <w:jc w:val="center"/>
              <w:rPr>
                <w:kern w:val="20"/>
                <w:sz w:val="18"/>
              </w:rPr>
            </w:pPr>
            <w:r>
              <w:rPr>
                <w:kern w:val="20"/>
                <w:sz w:val="18"/>
              </w:rPr>
              <w:t>60</w:t>
            </w:r>
          </w:p>
        </w:tc>
        <w:tc>
          <w:tcPr>
            <w:tcW w:w="709" w:type="dxa"/>
            <w:tcBorders>
              <w:top w:val="nil"/>
              <w:bottom w:val="nil"/>
            </w:tcBorders>
          </w:tcPr>
          <w:p w:rsidR="00000000" w:rsidRDefault="00000000">
            <w:pPr>
              <w:rPr>
                <w:kern w:val="20"/>
                <w:sz w:val="18"/>
              </w:rPr>
            </w:pPr>
            <w:r>
              <w:rPr>
                <w:kern w:val="20"/>
                <w:sz w:val="18"/>
              </w:rPr>
              <w:t xml:space="preserve">    0.30</w:t>
            </w:r>
          </w:p>
        </w:tc>
        <w:tc>
          <w:tcPr>
            <w:tcW w:w="850" w:type="dxa"/>
            <w:tcBorders>
              <w:top w:val="nil"/>
              <w:bottom w:val="nil"/>
            </w:tcBorders>
          </w:tcPr>
          <w:p w:rsidR="00000000" w:rsidRDefault="00000000">
            <w:pPr>
              <w:rPr>
                <w:kern w:val="20"/>
                <w:sz w:val="18"/>
              </w:rPr>
            </w:pPr>
            <w:r>
              <w:rPr>
                <w:kern w:val="20"/>
                <w:sz w:val="18"/>
              </w:rPr>
              <w:t xml:space="preserve">     0.19</w:t>
            </w:r>
          </w:p>
        </w:tc>
        <w:tc>
          <w:tcPr>
            <w:tcW w:w="993" w:type="dxa"/>
            <w:tcBorders>
              <w:top w:val="nil"/>
              <w:bottom w:val="nil"/>
            </w:tcBorders>
          </w:tcPr>
          <w:p w:rsidR="00000000" w:rsidRDefault="00000000">
            <w:pPr>
              <w:rPr>
                <w:kern w:val="20"/>
                <w:sz w:val="18"/>
              </w:rPr>
            </w:pPr>
            <w:r>
              <w:rPr>
                <w:kern w:val="20"/>
                <w:sz w:val="18"/>
              </w:rPr>
              <w:t xml:space="preserve">      51.16</w:t>
            </w:r>
          </w:p>
        </w:tc>
        <w:tc>
          <w:tcPr>
            <w:tcW w:w="708" w:type="dxa"/>
            <w:tcBorders>
              <w:top w:val="nil"/>
              <w:bottom w:val="nil"/>
            </w:tcBorders>
          </w:tcPr>
          <w:p w:rsidR="00000000" w:rsidRDefault="00000000">
            <w:pPr>
              <w:rPr>
                <w:kern w:val="20"/>
                <w:sz w:val="18"/>
              </w:rPr>
            </w:pPr>
            <w:r>
              <w:rPr>
                <w:kern w:val="20"/>
                <w:sz w:val="18"/>
              </w:rPr>
              <w:t xml:space="preserve">   57.14</w:t>
            </w:r>
          </w:p>
        </w:tc>
        <w:tc>
          <w:tcPr>
            <w:tcW w:w="851" w:type="dxa"/>
            <w:tcBorders>
              <w:top w:val="nil"/>
              <w:bottom w:val="nil"/>
            </w:tcBorders>
          </w:tcPr>
          <w:p w:rsidR="00000000" w:rsidRDefault="00000000">
            <w:pPr>
              <w:rPr>
                <w:kern w:val="20"/>
                <w:sz w:val="18"/>
              </w:rPr>
            </w:pPr>
            <w:r>
              <w:rPr>
                <w:kern w:val="20"/>
                <w:sz w:val="18"/>
              </w:rPr>
              <w:t xml:space="preserve">     59.34</w:t>
            </w:r>
          </w:p>
        </w:tc>
        <w:tc>
          <w:tcPr>
            <w:tcW w:w="927" w:type="dxa"/>
            <w:tcBorders>
              <w:top w:val="nil"/>
              <w:bottom w:val="nil"/>
            </w:tcBorders>
          </w:tcPr>
          <w:p w:rsidR="00000000" w:rsidRDefault="00000000">
            <w:pPr>
              <w:rPr>
                <w:kern w:val="20"/>
                <w:sz w:val="18"/>
              </w:rPr>
            </w:pPr>
            <w:r>
              <w:rPr>
                <w:kern w:val="20"/>
                <w:sz w:val="18"/>
              </w:rPr>
              <w:t xml:space="preserve">        32</w:t>
            </w:r>
          </w:p>
        </w:tc>
        <w:tc>
          <w:tcPr>
            <w:tcW w:w="774" w:type="dxa"/>
            <w:tcBorders>
              <w:top w:val="nil"/>
              <w:bottom w:val="nil"/>
            </w:tcBorders>
          </w:tcPr>
          <w:p w:rsidR="00000000" w:rsidRDefault="00000000">
            <w:pPr>
              <w:rPr>
                <w:kern w:val="20"/>
                <w:sz w:val="18"/>
              </w:rPr>
            </w:pPr>
            <w:r>
              <w:rPr>
                <w:kern w:val="20"/>
                <w:sz w:val="18"/>
              </w:rPr>
              <w:t xml:space="preserve">    0.14</w:t>
            </w:r>
          </w:p>
        </w:tc>
        <w:tc>
          <w:tcPr>
            <w:tcW w:w="808" w:type="dxa"/>
            <w:tcBorders>
              <w:top w:val="nil"/>
              <w:bottom w:val="nil"/>
            </w:tcBorders>
          </w:tcPr>
          <w:p w:rsidR="00000000" w:rsidRDefault="00000000">
            <w:pPr>
              <w:rPr>
                <w:kern w:val="20"/>
                <w:sz w:val="18"/>
              </w:rPr>
            </w:pPr>
            <w:r>
              <w:rPr>
                <w:kern w:val="20"/>
                <w:sz w:val="18"/>
              </w:rPr>
              <w:t xml:space="preserve">    0.08</w:t>
            </w:r>
          </w:p>
        </w:tc>
        <w:tc>
          <w:tcPr>
            <w:tcW w:w="892" w:type="dxa"/>
            <w:tcBorders>
              <w:top w:val="nil"/>
              <w:bottom w:val="nil"/>
            </w:tcBorders>
          </w:tcPr>
          <w:p w:rsidR="00000000" w:rsidRDefault="00000000">
            <w:pPr>
              <w:rPr>
                <w:kern w:val="20"/>
                <w:sz w:val="18"/>
              </w:rPr>
            </w:pPr>
            <w:r>
              <w:rPr>
                <w:kern w:val="20"/>
                <w:sz w:val="18"/>
              </w:rPr>
              <w:t xml:space="preserve">     62.51</w:t>
            </w:r>
          </w:p>
        </w:tc>
        <w:tc>
          <w:tcPr>
            <w:tcW w:w="777" w:type="dxa"/>
            <w:tcBorders>
              <w:top w:val="nil"/>
              <w:bottom w:val="nil"/>
            </w:tcBorders>
          </w:tcPr>
          <w:p w:rsidR="00000000" w:rsidRDefault="00000000">
            <w:pPr>
              <w:rPr>
                <w:kern w:val="20"/>
                <w:sz w:val="18"/>
              </w:rPr>
            </w:pPr>
            <w:r>
              <w:rPr>
                <w:kern w:val="20"/>
                <w:sz w:val="18"/>
              </w:rPr>
              <w:t xml:space="preserve">    61.79</w:t>
            </w:r>
          </w:p>
        </w:tc>
        <w:tc>
          <w:tcPr>
            <w:tcW w:w="851" w:type="dxa"/>
            <w:tcBorders>
              <w:top w:val="nil"/>
              <w:bottom w:val="nil"/>
            </w:tcBorders>
          </w:tcPr>
          <w:p w:rsidR="00000000" w:rsidRDefault="00000000">
            <w:pPr>
              <w:rPr>
                <w:kern w:val="20"/>
                <w:sz w:val="18"/>
              </w:rPr>
            </w:pPr>
            <w:r>
              <w:rPr>
                <w:kern w:val="20"/>
                <w:sz w:val="18"/>
              </w:rPr>
              <w:t xml:space="preserve">    58.64</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North</w:t>
            </w:r>
          </w:p>
        </w:tc>
        <w:tc>
          <w:tcPr>
            <w:tcW w:w="993" w:type="dxa"/>
            <w:tcBorders>
              <w:top w:val="nil"/>
              <w:bottom w:val="nil"/>
            </w:tcBorders>
          </w:tcPr>
          <w:p w:rsidR="00000000" w:rsidRDefault="00000000">
            <w:pPr>
              <w:rPr>
                <w:kern w:val="20"/>
                <w:sz w:val="18"/>
              </w:rPr>
            </w:pPr>
            <w:r>
              <w:rPr>
                <w:kern w:val="20"/>
                <w:sz w:val="18"/>
              </w:rPr>
              <w:t xml:space="preserve">        4.90</w:t>
            </w:r>
          </w:p>
        </w:tc>
        <w:tc>
          <w:tcPr>
            <w:tcW w:w="892" w:type="dxa"/>
            <w:gridSpan w:val="2"/>
            <w:tcBorders>
              <w:top w:val="nil"/>
              <w:bottom w:val="nil"/>
            </w:tcBorders>
          </w:tcPr>
          <w:p w:rsidR="00000000" w:rsidRDefault="00000000">
            <w:pPr>
              <w:jc w:val="center"/>
              <w:rPr>
                <w:kern w:val="20"/>
                <w:sz w:val="18"/>
              </w:rPr>
            </w:pPr>
            <w:r>
              <w:rPr>
                <w:kern w:val="20"/>
                <w:sz w:val="18"/>
              </w:rPr>
              <w:t>46</w:t>
            </w:r>
          </w:p>
        </w:tc>
        <w:tc>
          <w:tcPr>
            <w:tcW w:w="709" w:type="dxa"/>
            <w:tcBorders>
              <w:top w:val="nil"/>
              <w:bottom w:val="nil"/>
            </w:tcBorders>
          </w:tcPr>
          <w:p w:rsidR="00000000" w:rsidRDefault="00000000">
            <w:pPr>
              <w:rPr>
                <w:kern w:val="20"/>
                <w:sz w:val="18"/>
              </w:rPr>
            </w:pPr>
            <w:r>
              <w:rPr>
                <w:kern w:val="20"/>
                <w:sz w:val="18"/>
              </w:rPr>
              <w:t xml:space="preserve">    0.21</w:t>
            </w:r>
          </w:p>
        </w:tc>
        <w:tc>
          <w:tcPr>
            <w:tcW w:w="850" w:type="dxa"/>
            <w:tcBorders>
              <w:top w:val="nil"/>
              <w:bottom w:val="nil"/>
            </w:tcBorders>
          </w:tcPr>
          <w:p w:rsidR="00000000" w:rsidRDefault="00000000">
            <w:pPr>
              <w:rPr>
                <w:kern w:val="20"/>
                <w:sz w:val="18"/>
              </w:rPr>
            </w:pPr>
            <w:r>
              <w:rPr>
                <w:kern w:val="20"/>
                <w:sz w:val="18"/>
              </w:rPr>
              <w:t xml:space="preserve">     0.12</w:t>
            </w:r>
          </w:p>
        </w:tc>
        <w:tc>
          <w:tcPr>
            <w:tcW w:w="993" w:type="dxa"/>
            <w:tcBorders>
              <w:top w:val="nil"/>
              <w:bottom w:val="nil"/>
            </w:tcBorders>
          </w:tcPr>
          <w:p w:rsidR="00000000" w:rsidRDefault="00000000">
            <w:pPr>
              <w:rPr>
                <w:kern w:val="20"/>
                <w:sz w:val="18"/>
              </w:rPr>
            </w:pPr>
            <w:r>
              <w:rPr>
                <w:kern w:val="20"/>
                <w:sz w:val="18"/>
              </w:rPr>
              <w:t xml:space="preserve">        6.59</w:t>
            </w:r>
          </w:p>
        </w:tc>
        <w:tc>
          <w:tcPr>
            <w:tcW w:w="708" w:type="dxa"/>
            <w:tcBorders>
              <w:top w:val="nil"/>
              <w:bottom w:val="nil"/>
            </w:tcBorders>
          </w:tcPr>
          <w:p w:rsidR="00000000" w:rsidRDefault="00000000">
            <w:pPr>
              <w:rPr>
                <w:kern w:val="20"/>
                <w:sz w:val="18"/>
              </w:rPr>
            </w:pPr>
            <w:r>
              <w:rPr>
                <w:kern w:val="20"/>
                <w:sz w:val="18"/>
              </w:rPr>
              <w:t xml:space="preserve">     6.56</w:t>
            </w:r>
          </w:p>
        </w:tc>
        <w:tc>
          <w:tcPr>
            <w:tcW w:w="851" w:type="dxa"/>
            <w:tcBorders>
              <w:top w:val="nil"/>
              <w:bottom w:val="nil"/>
            </w:tcBorders>
          </w:tcPr>
          <w:p w:rsidR="00000000" w:rsidRDefault="00000000">
            <w:pPr>
              <w:rPr>
                <w:kern w:val="20"/>
                <w:sz w:val="18"/>
              </w:rPr>
            </w:pPr>
            <w:r>
              <w:rPr>
                <w:kern w:val="20"/>
                <w:sz w:val="18"/>
              </w:rPr>
              <w:t xml:space="preserve">       6.31</w:t>
            </w:r>
          </w:p>
        </w:tc>
        <w:tc>
          <w:tcPr>
            <w:tcW w:w="927" w:type="dxa"/>
            <w:tcBorders>
              <w:top w:val="nil"/>
              <w:bottom w:val="nil"/>
            </w:tcBorders>
          </w:tcPr>
          <w:p w:rsidR="00000000" w:rsidRDefault="00000000">
            <w:pPr>
              <w:rPr>
                <w:kern w:val="20"/>
                <w:sz w:val="18"/>
              </w:rPr>
            </w:pPr>
            <w:r>
              <w:rPr>
                <w:kern w:val="20"/>
                <w:sz w:val="18"/>
              </w:rPr>
              <w:t xml:space="preserve">        20</w:t>
            </w:r>
          </w:p>
        </w:tc>
        <w:tc>
          <w:tcPr>
            <w:tcW w:w="774" w:type="dxa"/>
            <w:tcBorders>
              <w:top w:val="nil"/>
              <w:bottom w:val="nil"/>
            </w:tcBorders>
          </w:tcPr>
          <w:p w:rsidR="00000000" w:rsidRDefault="00000000">
            <w:pPr>
              <w:rPr>
                <w:kern w:val="20"/>
                <w:sz w:val="18"/>
              </w:rPr>
            </w:pPr>
            <w:r>
              <w:rPr>
                <w:kern w:val="20"/>
                <w:sz w:val="18"/>
              </w:rPr>
              <w:t xml:space="preserve">    0.08</w:t>
            </w:r>
          </w:p>
        </w:tc>
        <w:tc>
          <w:tcPr>
            <w:tcW w:w="808" w:type="dxa"/>
            <w:tcBorders>
              <w:top w:val="nil"/>
              <w:bottom w:val="nil"/>
            </w:tcBorders>
          </w:tcPr>
          <w:p w:rsidR="00000000" w:rsidRDefault="00000000">
            <w:pPr>
              <w:rPr>
                <w:kern w:val="20"/>
                <w:sz w:val="18"/>
              </w:rPr>
            </w:pPr>
            <w:r>
              <w:rPr>
                <w:kern w:val="20"/>
                <w:sz w:val="18"/>
              </w:rPr>
              <w:t xml:space="preserve">    0.04</w:t>
            </w:r>
          </w:p>
        </w:tc>
        <w:tc>
          <w:tcPr>
            <w:tcW w:w="892" w:type="dxa"/>
            <w:tcBorders>
              <w:top w:val="nil"/>
              <w:bottom w:val="nil"/>
            </w:tcBorders>
          </w:tcPr>
          <w:p w:rsidR="00000000" w:rsidRDefault="00000000">
            <w:pPr>
              <w:rPr>
                <w:kern w:val="20"/>
                <w:sz w:val="18"/>
              </w:rPr>
            </w:pPr>
            <w:r>
              <w:rPr>
                <w:kern w:val="20"/>
                <w:sz w:val="18"/>
              </w:rPr>
              <w:t xml:space="preserve">       6.45</w:t>
            </w:r>
          </w:p>
        </w:tc>
        <w:tc>
          <w:tcPr>
            <w:tcW w:w="777" w:type="dxa"/>
            <w:tcBorders>
              <w:top w:val="nil"/>
              <w:bottom w:val="nil"/>
            </w:tcBorders>
          </w:tcPr>
          <w:p w:rsidR="00000000" w:rsidRDefault="00000000">
            <w:pPr>
              <w:rPr>
                <w:kern w:val="20"/>
                <w:sz w:val="18"/>
              </w:rPr>
            </w:pPr>
            <w:r>
              <w:rPr>
                <w:kern w:val="20"/>
                <w:sz w:val="18"/>
              </w:rPr>
              <w:t xml:space="preserve">      5.87</w:t>
            </w:r>
          </w:p>
        </w:tc>
        <w:tc>
          <w:tcPr>
            <w:tcW w:w="851" w:type="dxa"/>
            <w:tcBorders>
              <w:top w:val="nil"/>
              <w:bottom w:val="nil"/>
            </w:tcBorders>
          </w:tcPr>
          <w:p w:rsidR="00000000" w:rsidRDefault="00000000">
            <w:pPr>
              <w:rPr>
                <w:kern w:val="20"/>
                <w:sz w:val="18"/>
              </w:rPr>
            </w:pPr>
            <w:r>
              <w:rPr>
                <w:kern w:val="20"/>
                <w:sz w:val="18"/>
              </w:rPr>
              <w:t xml:space="preserve">      5.45</w:t>
            </w:r>
          </w:p>
        </w:tc>
      </w:tr>
      <w:tr w:rsidR="00000000">
        <w:tblPrEx>
          <w:tblCellMar>
            <w:top w:w="0" w:type="dxa"/>
            <w:bottom w:w="0" w:type="dxa"/>
          </w:tblCellMar>
        </w:tblPrEx>
        <w:tc>
          <w:tcPr>
            <w:tcW w:w="1701" w:type="dxa"/>
            <w:tcBorders>
              <w:top w:val="nil"/>
              <w:bottom w:val="nil"/>
            </w:tcBorders>
          </w:tcPr>
          <w:p w:rsidR="00000000" w:rsidRDefault="00000000">
            <w:pPr>
              <w:rPr>
                <w:kern w:val="20"/>
                <w:sz w:val="18"/>
              </w:rPr>
            </w:pPr>
            <w:r>
              <w:rPr>
                <w:kern w:val="20"/>
                <w:sz w:val="18"/>
              </w:rPr>
              <w:t>South</w:t>
            </w:r>
            <w:r>
              <w:rPr>
                <w:kern w:val="20"/>
                <w:sz w:val="18"/>
              </w:rPr>
              <w:noBreakHyphen/>
              <w:t>east</w:t>
            </w:r>
          </w:p>
        </w:tc>
        <w:tc>
          <w:tcPr>
            <w:tcW w:w="993" w:type="dxa"/>
            <w:tcBorders>
              <w:top w:val="nil"/>
              <w:bottom w:val="nil"/>
            </w:tcBorders>
          </w:tcPr>
          <w:p w:rsidR="00000000" w:rsidRDefault="00000000">
            <w:pPr>
              <w:rPr>
                <w:kern w:val="20"/>
                <w:sz w:val="18"/>
              </w:rPr>
            </w:pPr>
            <w:r>
              <w:rPr>
                <w:kern w:val="20"/>
                <w:sz w:val="18"/>
              </w:rPr>
              <w:t xml:space="preserve">      43.80</w:t>
            </w:r>
          </w:p>
        </w:tc>
        <w:tc>
          <w:tcPr>
            <w:tcW w:w="892" w:type="dxa"/>
            <w:gridSpan w:val="2"/>
            <w:tcBorders>
              <w:top w:val="nil"/>
              <w:bottom w:val="nil"/>
            </w:tcBorders>
          </w:tcPr>
          <w:p w:rsidR="00000000" w:rsidRDefault="00000000">
            <w:pPr>
              <w:jc w:val="center"/>
              <w:rPr>
                <w:kern w:val="20"/>
                <w:sz w:val="18"/>
              </w:rPr>
            </w:pPr>
            <w:r>
              <w:rPr>
                <w:kern w:val="20"/>
                <w:sz w:val="18"/>
              </w:rPr>
              <w:t>20</w:t>
            </w:r>
          </w:p>
        </w:tc>
        <w:tc>
          <w:tcPr>
            <w:tcW w:w="709" w:type="dxa"/>
            <w:tcBorders>
              <w:top w:val="nil"/>
              <w:bottom w:val="nil"/>
            </w:tcBorders>
          </w:tcPr>
          <w:p w:rsidR="00000000" w:rsidRDefault="00000000">
            <w:pPr>
              <w:rPr>
                <w:kern w:val="20"/>
                <w:sz w:val="18"/>
              </w:rPr>
            </w:pPr>
            <w:r>
              <w:rPr>
                <w:kern w:val="20"/>
                <w:sz w:val="18"/>
              </w:rPr>
              <w:t xml:space="preserve">    0.08</w:t>
            </w:r>
          </w:p>
        </w:tc>
        <w:tc>
          <w:tcPr>
            <w:tcW w:w="850" w:type="dxa"/>
            <w:tcBorders>
              <w:top w:val="nil"/>
              <w:bottom w:val="nil"/>
            </w:tcBorders>
          </w:tcPr>
          <w:p w:rsidR="00000000" w:rsidRDefault="00000000">
            <w:pPr>
              <w:rPr>
                <w:kern w:val="20"/>
                <w:sz w:val="18"/>
              </w:rPr>
            </w:pPr>
            <w:r>
              <w:rPr>
                <w:kern w:val="20"/>
                <w:sz w:val="18"/>
              </w:rPr>
              <w:t xml:space="preserve">     0.04</w:t>
            </w:r>
          </w:p>
        </w:tc>
        <w:tc>
          <w:tcPr>
            <w:tcW w:w="993" w:type="dxa"/>
            <w:tcBorders>
              <w:top w:val="nil"/>
              <w:bottom w:val="nil"/>
            </w:tcBorders>
          </w:tcPr>
          <w:p w:rsidR="00000000" w:rsidRDefault="00000000">
            <w:pPr>
              <w:rPr>
                <w:kern w:val="20"/>
                <w:sz w:val="18"/>
              </w:rPr>
            </w:pPr>
            <w:r>
              <w:rPr>
                <w:kern w:val="20"/>
                <w:sz w:val="18"/>
              </w:rPr>
              <w:t xml:space="preserve">      25.53</w:t>
            </w:r>
          </w:p>
        </w:tc>
        <w:tc>
          <w:tcPr>
            <w:tcW w:w="708" w:type="dxa"/>
            <w:tcBorders>
              <w:top w:val="nil"/>
              <w:bottom w:val="nil"/>
            </w:tcBorders>
          </w:tcPr>
          <w:p w:rsidR="00000000" w:rsidRDefault="00000000">
            <w:pPr>
              <w:rPr>
                <w:kern w:val="20"/>
                <w:sz w:val="18"/>
              </w:rPr>
            </w:pPr>
            <w:r>
              <w:rPr>
                <w:kern w:val="20"/>
                <w:sz w:val="18"/>
              </w:rPr>
              <w:t xml:space="preserve">   21.73</w:t>
            </w:r>
          </w:p>
        </w:tc>
        <w:tc>
          <w:tcPr>
            <w:tcW w:w="851" w:type="dxa"/>
            <w:tcBorders>
              <w:top w:val="nil"/>
              <w:bottom w:val="nil"/>
            </w:tcBorders>
          </w:tcPr>
          <w:p w:rsidR="00000000" w:rsidRDefault="00000000">
            <w:pPr>
              <w:rPr>
                <w:kern w:val="20"/>
                <w:sz w:val="18"/>
              </w:rPr>
            </w:pPr>
            <w:r>
              <w:rPr>
                <w:kern w:val="20"/>
                <w:sz w:val="18"/>
              </w:rPr>
              <w:t xml:space="preserve">     20.78</w:t>
            </w:r>
          </w:p>
        </w:tc>
        <w:tc>
          <w:tcPr>
            <w:tcW w:w="927" w:type="dxa"/>
            <w:tcBorders>
              <w:top w:val="nil"/>
              <w:bottom w:val="nil"/>
            </w:tcBorders>
          </w:tcPr>
          <w:p w:rsidR="00000000" w:rsidRDefault="00000000">
            <w:pPr>
              <w:rPr>
                <w:kern w:val="20"/>
                <w:sz w:val="18"/>
              </w:rPr>
            </w:pPr>
            <w:r>
              <w:rPr>
                <w:kern w:val="20"/>
                <w:sz w:val="18"/>
              </w:rPr>
              <w:t xml:space="preserve">          6</w:t>
            </w:r>
          </w:p>
        </w:tc>
        <w:tc>
          <w:tcPr>
            <w:tcW w:w="774" w:type="dxa"/>
            <w:tcBorders>
              <w:top w:val="nil"/>
              <w:bottom w:val="nil"/>
            </w:tcBorders>
          </w:tcPr>
          <w:p w:rsidR="00000000" w:rsidRDefault="00000000">
            <w:pPr>
              <w:rPr>
                <w:kern w:val="20"/>
                <w:sz w:val="18"/>
              </w:rPr>
            </w:pPr>
            <w:r>
              <w:rPr>
                <w:kern w:val="20"/>
                <w:sz w:val="18"/>
              </w:rPr>
              <w:t xml:space="preserve">    0.03</w:t>
            </w:r>
          </w:p>
        </w:tc>
        <w:tc>
          <w:tcPr>
            <w:tcW w:w="808" w:type="dxa"/>
            <w:tcBorders>
              <w:top w:val="nil"/>
              <w:bottom w:val="nil"/>
            </w:tcBorders>
          </w:tcPr>
          <w:p w:rsidR="00000000" w:rsidRDefault="00000000">
            <w:pPr>
              <w:rPr>
                <w:kern w:val="20"/>
                <w:sz w:val="18"/>
              </w:rPr>
            </w:pPr>
            <w:r>
              <w:rPr>
                <w:kern w:val="20"/>
                <w:sz w:val="18"/>
              </w:rPr>
              <w:t xml:space="preserve">    0.02</w:t>
            </w:r>
          </w:p>
        </w:tc>
        <w:tc>
          <w:tcPr>
            <w:tcW w:w="892" w:type="dxa"/>
            <w:tcBorders>
              <w:top w:val="nil"/>
              <w:bottom w:val="nil"/>
            </w:tcBorders>
          </w:tcPr>
          <w:p w:rsidR="00000000" w:rsidRDefault="00000000">
            <w:pPr>
              <w:rPr>
                <w:kern w:val="20"/>
                <w:sz w:val="18"/>
              </w:rPr>
            </w:pPr>
            <w:r>
              <w:rPr>
                <w:kern w:val="20"/>
                <w:sz w:val="18"/>
              </w:rPr>
              <w:t xml:space="preserve">     18.78</w:t>
            </w:r>
          </w:p>
        </w:tc>
        <w:tc>
          <w:tcPr>
            <w:tcW w:w="777" w:type="dxa"/>
            <w:tcBorders>
              <w:top w:val="nil"/>
              <w:bottom w:val="nil"/>
            </w:tcBorders>
          </w:tcPr>
          <w:p w:rsidR="00000000" w:rsidRDefault="00000000">
            <w:pPr>
              <w:rPr>
                <w:kern w:val="20"/>
                <w:sz w:val="18"/>
              </w:rPr>
            </w:pPr>
            <w:r>
              <w:rPr>
                <w:kern w:val="20"/>
                <w:sz w:val="18"/>
              </w:rPr>
              <w:t xml:space="preserve">    19.97</w:t>
            </w:r>
          </w:p>
        </w:tc>
        <w:tc>
          <w:tcPr>
            <w:tcW w:w="851" w:type="dxa"/>
            <w:tcBorders>
              <w:top w:val="nil"/>
              <w:bottom w:val="nil"/>
            </w:tcBorders>
          </w:tcPr>
          <w:p w:rsidR="00000000" w:rsidRDefault="00000000">
            <w:pPr>
              <w:rPr>
                <w:kern w:val="20"/>
                <w:sz w:val="18"/>
              </w:rPr>
            </w:pPr>
            <w:r>
              <w:rPr>
                <w:kern w:val="20"/>
                <w:sz w:val="18"/>
              </w:rPr>
              <w:t xml:space="preserve">    22.79</w:t>
            </w:r>
          </w:p>
        </w:tc>
      </w:tr>
      <w:tr w:rsidR="00000000">
        <w:tblPrEx>
          <w:tblCellMar>
            <w:top w:w="0" w:type="dxa"/>
            <w:bottom w:w="0" w:type="dxa"/>
          </w:tblCellMar>
        </w:tblPrEx>
        <w:tc>
          <w:tcPr>
            <w:tcW w:w="1701" w:type="dxa"/>
            <w:tcBorders>
              <w:top w:val="nil"/>
            </w:tcBorders>
          </w:tcPr>
          <w:p w:rsidR="00000000" w:rsidRDefault="00000000">
            <w:pPr>
              <w:rPr>
                <w:kern w:val="20"/>
                <w:sz w:val="18"/>
              </w:rPr>
            </w:pPr>
            <w:r>
              <w:rPr>
                <w:kern w:val="20"/>
                <w:sz w:val="18"/>
              </w:rPr>
              <w:t>South</w:t>
            </w:r>
          </w:p>
        </w:tc>
        <w:tc>
          <w:tcPr>
            <w:tcW w:w="993" w:type="dxa"/>
            <w:tcBorders>
              <w:top w:val="nil"/>
            </w:tcBorders>
          </w:tcPr>
          <w:p w:rsidR="00000000" w:rsidRDefault="00000000">
            <w:pPr>
              <w:rPr>
                <w:kern w:val="20"/>
                <w:sz w:val="18"/>
              </w:rPr>
            </w:pPr>
            <w:r>
              <w:rPr>
                <w:kern w:val="20"/>
                <w:sz w:val="18"/>
              </w:rPr>
              <w:t xml:space="preserve">      15.40</w:t>
            </w:r>
          </w:p>
        </w:tc>
        <w:tc>
          <w:tcPr>
            <w:tcW w:w="892" w:type="dxa"/>
            <w:gridSpan w:val="2"/>
            <w:tcBorders>
              <w:top w:val="nil"/>
            </w:tcBorders>
          </w:tcPr>
          <w:p w:rsidR="00000000" w:rsidRDefault="00000000">
            <w:pPr>
              <w:jc w:val="center"/>
              <w:rPr>
                <w:kern w:val="20"/>
                <w:sz w:val="18"/>
              </w:rPr>
            </w:pPr>
            <w:r>
              <w:rPr>
                <w:kern w:val="20"/>
                <w:sz w:val="18"/>
              </w:rPr>
              <w:t>26</w:t>
            </w:r>
          </w:p>
        </w:tc>
        <w:tc>
          <w:tcPr>
            <w:tcW w:w="709" w:type="dxa"/>
            <w:tcBorders>
              <w:top w:val="nil"/>
            </w:tcBorders>
          </w:tcPr>
          <w:p w:rsidR="00000000" w:rsidRDefault="00000000">
            <w:pPr>
              <w:rPr>
                <w:kern w:val="20"/>
                <w:sz w:val="18"/>
              </w:rPr>
            </w:pPr>
            <w:r>
              <w:rPr>
                <w:kern w:val="20"/>
                <w:sz w:val="18"/>
              </w:rPr>
              <w:t xml:space="preserve">    0.10</w:t>
            </w:r>
          </w:p>
        </w:tc>
        <w:tc>
          <w:tcPr>
            <w:tcW w:w="850" w:type="dxa"/>
            <w:tcBorders>
              <w:top w:val="nil"/>
            </w:tcBorders>
          </w:tcPr>
          <w:p w:rsidR="00000000" w:rsidRDefault="00000000">
            <w:pPr>
              <w:rPr>
                <w:kern w:val="20"/>
                <w:sz w:val="18"/>
              </w:rPr>
            </w:pPr>
            <w:r>
              <w:rPr>
                <w:kern w:val="20"/>
                <w:sz w:val="18"/>
              </w:rPr>
              <w:t xml:space="preserve">     0.06</w:t>
            </w:r>
          </w:p>
        </w:tc>
        <w:tc>
          <w:tcPr>
            <w:tcW w:w="993" w:type="dxa"/>
            <w:tcBorders>
              <w:top w:val="nil"/>
            </w:tcBorders>
          </w:tcPr>
          <w:p w:rsidR="00000000" w:rsidRDefault="00000000">
            <w:pPr>
              <w:rPr>
                <w:kern w:val="20"/>
                <w:sz w:val="18"/>
              </w:rPr>
            </w:pPr>
            <w:r>
              <w:rPr>
                <w:kern w:val="20"/>
                <w:sz w:val="18"/>
              </w:rPr>
              <w:t xml:space="preserve">      11.74</w:t>
            </w:r>
          </w:p>
        </w:tc>
        <w:tc>
          <w:tcPr>
            <w:tcW w:w="708" w:type="dxa"/>
            <w:tcBorders>
              <w:top w:val="nil"/>
            </w:tcBorders>
          </w:tcPr>
          <w:p w:rsidR="00000000" w:rsidRDefault="00000000">
            <w:pPr>
              <w:rPr>
                <w:kern w:val="20"/>
                <w:sz w:val="18"/>
              </w:rPr>
            </w:pPr>
            <w:r>
              <w:rPr>
                <w:kern w:val="20"/>
                <w:sz w:val="18"/>
              </w:rPr>
              <w:t xml:space="preserve">   10.20</w:t>
            </w:r>
          </w:p>
        </w:tc>
        <w:tc>
          <w:tcPr>
            <w:tcW w:w="851" w:type="dxa"/>
            <w:tcBorders>
              <w:top w:val="nil"/>
            </w:tcBorders>
          </w:tcPr>
          <w:p w:rsidR="00000000" w:rsidRDefault="00000000">
            <w:pPr>
              <w:rPr>
                <w:kern w:val="20"/>
                <w:sz w:val="18"/>
              </w:rPr>
            </w:pPr>
            <w:r>
              <w:rPr>
                <w:kern w:val="20"/>
                <w:sz w:val="18"/>
              </w:rPr>
              <w:t xml:space="preserve">       9.42</w:t>
            </w:r>
          </w:p>
        </w:tc>
        <w:tc>
          <w:tcPr>
            <w:tcW w:w="927" w:type="dxa"/>
            <w:tcBorders>
              <w:top w:val="nil"/>
            </w:tcBorders>
          </w:tcPr>
          <w:p w:rsidR="00000000" w:rsidRDefault="00000000">
            <w:pPr>
              <w:rPr>
                <w:kern w:val="20"/>
                <w:sz w:val="18"/>
              </w:rPr>
            </w:pPr>
            <w:r>
              <w:rPr>
                <w:kern w:val="20"/>
                <w:sz w:val="18"/>
              </w:rPr>
              <w:t xml:space="preserve">          8</w:t>
            </w:r>
          </w:p>
        </w:tc>
        <w:tc>
          <w:tcPr>
            <w:tcW w:w="774" w:type="dxa"/>
            <w:tcBorders>
              <w:top w:val="nil"/>
            </w:tcBorders>
          </w:tcPr>
          <w:p w:rsidR="00000000" w:rsidRDefault="00000000">
            <w:pPr>
              <w:rPr>
                <w:kern w:val="20"/>
                <w:sz w:val="18"/>
              </w:rPr>
            </w:pPr>
            <w:r>
              <w:rPr>
                <w:kern w:val="20"/>
                <w:sz w:val="18"/>
              </w:rPr>
              <w:t xml:space="preserve">    0.03</w:t>
            </w:r>
          </w:p>
        </w:tc>
        <w:tc>
          <w:tcPr>
            <w:tcW w:w="808" w:type="dxa"/>
            <w:tcBorders>
              <w:top w:val="nil"/>
            </w:tcBorders>
          </w:tcPr>
          <w:p w:rsidR="00000000" w:rsidRDefault="00000000">
            <w:pPr>
              <w:rPr>
                <w:kern w:val="20"/>
                <w:sz w:val="18"/>
              </w:rPr>
            </w:pPr>
            <w:r>
              <w:rPr>
                <w:kern w:val="20"/>
                <w:sz w:val="18"/>
              </w:rPr>
              <w:t xml:space="preserve">    0.02</w:t>
            </w:r>
          </w:p>
        </w:tc>
        <w:tc>
          <w:tcPr>
            <w:tcW w:w="892" w:type="dxa"/>
            <w:tcBorders>
              <w:top w:val="nil"/>
            </w:tcBorders>
          </w:tcPr>
          <w:p w:rsidR="00000000" w:rsidRDefault="00000000">
            <w:pPr>
              <w:rPr>
                <w:kern w:val="20"/>
                <w:sz w:val="18"/>
              </w:rPr>
            </w:pPr>
            <w:r>
              <w:rPr>
                <w:kern w:val="20"/>
                <w:sz w:val="18"/>
              </w:rPr>
              <w:t xml:space="preserve">       8.57</w:t>
            </w:r>
          </w:p>
        </w:tc>
        <w:tc>
          <w:tcPr>
            <w:tcW w:w="777" w:type="dxa"/>
            <w:tcBorders>
              <w:top w:val="nil"/>
            </w:tcBorders>
          </w:tcPr>
          <w:p w:rsidR="00000000" w:rsidRDefault="00000000">
            <w:pPr>
              <w:rPr>
                <w:kern w:val="20"/>
                <w:sz w:val="18"/>
              </w:rPr>
            </w:pPr>
            <w:r>
              <w:rPr>
                <w:kern w:val="20"/>
                <w:sz w:val="18"/>
              </w:rPr>
              <w:t xml:space="preserve">      8.43</w:t>
            </w:r>
          </w:p>
        </w:tc>
        <w:tc>
          <w:tcPr>
            <w:tcW w:w="851" w:type="dxa"/>
            <w:tcBorders>
              <w:top w:val="nil"/>
            </w:tcBorders>
          </w:tcPr>
          <w:p w:rsidR="00000000" w:rsidRDefault="00000000">
            <w:pPr>
              <w:rPr>
                <w:kern w:val="20"/>
                <w:sz w:val="18"/>
              </w:rPr>
            </w:pPr>
            <w:r>
              <w:rPr>
                <w:kern w:val="20"/>
                <w:sz w:val="18"/>
              </w:rPr>
              <w:t xml:space="preserve">      8.72</w:t>
            </w:r>
          </w:p>
        </w:tc>
      </w:tr>
    </w:tbl>
    <w:p w:rsidR="00000000" w:rsidRDefault="00000000">
      <w:pPr>
        <w:pStyle w:val="BodyText3"/>
        <w:spacing w:after="120"/>
        <w:jc w:val="center"/>
        <w:rPr>
          <w:b/>
          <w:spacing w:val="20"/>
          <w:kern w:val="20"/>
          <w:sz w:val="24"/>
          <w:lang w:val="en-GB"/>
        </w:rPr>
      </w:pPr>
    </w:p>
    <w:p w:rsidR="00000000" w:rsidRDefault="00000000">
      <w:pPr>
        <w:rPr>
          <w:kern w:val="20"/>
        </w:rPr>
      </w:pPr>
      <w:r>
        <w:rPr>
          <w:kern w:val="20"/>
        </w:rPr>
        <w:tab/>
      </w:r>
      <w:r>
        <w:rPr>
          <w:kern w:val="20"/>
          <w:u w:val="single"/>
        </w:rPr>
        <w:t>Source</w:t>
      </w:r>
      <w:r>
        <w:rPr>
          <w:kern w:val="20"/>
        </w:rPr>
        <w:t>:  Based on the 1997 Household Sampling Survey (PNAD).</w:t>
      </w:r>
    </w:p>
    <w:p w:rsidR="00000000" w:rsidRDefault="00000000">
      <w:pPr>
        <w:pStyle w:val="BodyText3"/>
        <w:spacing w:after="120"/>
        <w:jc w:val="center"/>
        <w:rPr>
          <w:b/>
          <w:spacing w:val="20"/>
          <w:kern w:val="20"/>
          <w:sz w:val="24"/>
          <w:lang w:val="en-GB"/>
        </w:rPr>
      </w:pPr>
    </w:p>
    <w:p w:rsidR="00000000" w:rsidRDefault="00000000">
      <w:pPr>
        <w:pStyle w:val="BodyText3"/>
        <w:spacing w:after="120"/>
        <w:jc w:val="center"/>
        <w:rPr>
          <w:lang w:val="en-GB"/>
        </w:rPr>
      </w:pPr>
    </w:p>
    <w:p w:rsidR="00000000" w:rsidRDefault="00000000">
      <w:pPr>
        <w:rPr>
          <w:u w:val="single"/>
        </w:rPr>
      </w:pPr>
    </w:p>
    <w:p w:rsidR="00000000" w:rsidRDefault="00000000">
      <w:pPr>
        <w:rPr>
          <w:u w:val="single"/>
        </w:rPr>
      </w:pPr>
    </w:p>
    <w:p w:rsidR="00000000" w:rsidRDefault="00000000">
      <w:pPr>
        <w:jc w:val="center"/>
        <w:rPr>
          <w:u w:val="single"/>
        </w:rPr>
        <w:sectPr w:rsidR="00000000">
          <w:headerReference w:type="even" r:id="rId32"/>
          <w:headerReference w:type="default" r:id="rId33"/>
          <w:endnotePr>
            <w:numFmt w:val="decimal"/>
          </w:endnotePr>
          <w:pgSz w:w="16840" w:h="11907" w:orient="landscape" w:code="9"/>
          <w:pgMar w:top="1701" w:right="567" w:bottom="851" w:left="1985" w:header="851" w:footer="1985" w:gutter="0"/>
          <w:cols w:space="720"/>
        </w:sectPr>
      </w:pPr>
    </w:p>
    <w:p w:rsidR="00000000" w:rsidRDefault="00000000">
      <w:pPr>
        <w:pStyle w:val="ParaNo"/>
        <w:tabs>
          <w:tab w:val="clear" w:pos="360"/>
          <w:tab w:val="clear" w:pos="737"/>
        </w:tabs>
        <w:rPr>
          <w:lang w:val="en-GB"/>
        </w:rPr>
      </w:pPr>
      <w:r>
        <w:rPr>
          <w:lang w:val="en-GB"/>
        </w:rPr>
        <w:t>In 1997, about 15 per cent of Brazilians lived in households with income below the extreme poverty line, i.e., with an income insufficient to purchase an ideal food basket; 34 per cent lived in households with income below the poverty line.  Thus, at that time, about 24 million people could be classified as indigent and 54 million as poor.</w:t>
      </w:r>
    </w:p>
    <w:p w:rsidR="00000000" w:rsidRDefault="00000000"/>
    <w:p w:rsidR="00000000" w:rsidRDefault="00000000">
      <w:pPr>
        <w:pStyle w:val="ParaNo"/>
        <w:tabs>
          <w:tab w:val="clear" w:pos="360"/>
          <w:tab w:val="clear" w:pos="737"/>
        </w:tabs>
        <w:ind w:left="0" w:firstLine="0"/>
        <w:rPr>
          <w:lang w:val="en-GB"/>
        </w:rPr>
      </w:pPr>
      <w:r>
        <w:rPr>
          <w:lang w:val="en-GB"/>
        </w:rPr>
        <w:t>A closer analysis shows a significant drop in the number of people living below the extreme poverty line from 1990 to 1996, as follows:  in 1990, 33,002,648; in 1993, 29,737,091; in 1995, 23,515,136; and in 1996, 21,352,479.  This decline was more pronounced in urban areas than in rural areas.  Thus, in 1996, 45.8 per cent of the extremely poor lived in rural areas while 20.48 per cent lived in metropolitan areas.  From 1990 to 1996 there was also a gradual reduction in the population living below the poverty line:  in 1990, 67,533,576; in 1996, 55,032,912.</w:t>
      </w:r>
    </w:p>
    <w:p w:rsidR="00000000" w:rsidRDefault="00000000"/>
    <w:p w:rsidR="00000000" w:rsidRDefault="00000000">
      <w:pPr>
        <w:pStyle w:val="ParaNo"/>
        <w:tabs>
          <w:tab w:val="clear" w:pos="360"/>
          <w:tab w:val="clear" w:pos="737"/>
        </w:tabs>
        <w:ind w:left="0" w:firstLine="0"/>
        <w:rPr>
          <w:lang w:val="en-GB"/>
        </w:rPr>
      </w:pPr>
      <w:r>
        <w:rPr>
          <w:lang w:val="en-GB"/>
        </w:rPr>
        <w:t>Available data on poverty show that some groups are more vulnerable.  About 66 per cent of the rural population are poor, whereas in the urban centres this figure drops to 28 per cent, according to 1997 figures.  Children under 15 are the hardest hit age group, as 49 per cent of this category are poor.  Among non</w:t>
      </w:r>
      <w:r>
        <w:rPr>
          <w:lang w:val="en-GB"/>
        </w:rPr>
        <w:noBreakHyphen/>
        <w:t>whites,</w:t>
      </w:r>
      <w:r>
        <w:rPr>
          <w:rStyle w:val="EndnoteReference"/>
          <w:bCs/>
          <w:lang w:val="en-GB"/>
        </w:rPr>
        <w:endnoteReference w:id="18"/>
      </w:r>
      <w:r>
        <w:rPr>
          <w:lang w:val="en-GB"/>
        </w:rPr>
        <w:t xml:space="preserve"> the proportion of poor is greater (50 per cent of them live below the poverty line) than among Whites (24 per cent).  The north</w:t>
      </w:r>
      <w:r>
        <w:rPr>
          <w:lang w:val="en-GB"/>
        </w:rPr>
        <w:noBreakHyphen/>
        <w:t>east has the largest number of poor, as 65 per cent of the population live below the poverty line.  The available data do not point to a substantial difference from a gender standpoint.</w:t>
      </w:r>
    </w:p>
    <w:p w:rsidR="00000000" w:rsidRDefault="00000000"/>
    <w:p w:rsidR="00000000" w:rsidRDefault="00000000">
      <w:pPr>
        <w:pStyle w:val="ParaNo"/>
        <w:tabs>
          <w:tab w:val="clear" w:pos="360"/>
          <w:tab w:val="clear" w:pos="737"/>
        </w:tabs>
        <w:ind w:left="0" w:firstLine="0"/>
        <w:rPr>
          <w:lang w:val="en-GB"/>
        </w:rPr>
      </w:pPr>
      <w:r>
        <w:rPr>
          <w:lang w:val="en-GB"/>
        </w:rPr>
        <w:t>The last two decades have seen a small decline in poverty, which dropped from about 40 per cent in 1993 to 34 per cent in 1997.  The main declining trend occurred between 1993 and 1995; thereafter, poverty has remained stable at about 34 per cent.  However, this declining trend was not continuous, as the degree of poverty fluctuated according to macroeconomic conditions.  In the early 1980s, macroeconomic fluctuations had a strong impact on poverty, which reached its highest levels during the 1983</w:t>
      </w:r>
      <w:r>
        <w:rPr>
          <w:lang w:val="en-GB"/>
        </w:rPr>
        <w:noBreakHyphen/>
        <w:t>1984 recession when the number of poor people exceeded 50 per cent.  The lowest levels occurred after the stabilization plans adopted against inflation (the Cruzado and Real Plans), when poverty dropped to below 35 per cent.  The lowest level was reached after the Real Plan, when there were less than 42 million poor.  Between 1993 and 1997, over 10 million Brazilians ceased to be poor.</w:t>
      </w:r>
    </w:p>
    <w:p w:rsidR="00000000" w:rsidRDefault="00000000"/>
    <w:p w:rsidR="00000000" w:rsidRDefault="00000000">
      <w:pPr>
        <w:pStyle w:val="ParaNo"/>
        <w:tabs>
          <w:tab w:val="clear" w:pos="360"/>
          <w:tab w:val="clear" w:pos="737"/>
        </w:tabs>
        <w:ind w:left="0" w:firstLine="0"/>
        <w:rPr>
          <w:lang w:val="en-GB"/>
        </w:rPr>
      </w:pPr>
      <w:r>
        <w:rPr>
          <w:lang w:val="en-GB"/>
        </w:rPr>
        <w:t>Population growth is another major factor in the increase in the number of poor.  Owing to population growth and a stable degree of poverty, the number of poor rose by 1.5 million between 1995 and 1997.  The average per capita family income of the 40 per cent poorest in Brazil is Cr$ 45.74 (September 1998 estimates).  This figure includes earnings from work and any other type of income.  Chart 11 shows the profile of poverty in Brazil during a significant period.  The top line represents the poverty line while the bottom one is the indigence line.</w:t>
      </w:r>
    </w:p>
    <w:p w:rsidR="00000000" w:rsidRDefault="00000000"/>
    <w:bookmarkStart w:id="1" w:name="_MON_1035793180"/>
    <w:bookmarkStart w:id="2" w:name="_MON_1048322445"/>
    <w:bookmarkStart w:id="3" w:name="_MON_1048322532"/>
    <w:bookmarkStart w:id="4" w:name="_MON_1048322657"/>
    <w:bookmarkStart w:id="5" w:name="_MON_1048323352"/>
    <w:bookmarkStart w:id="6" w:name="_MON_1048325545"/>
    <w:bookmarkStart w:id="7" w:name="_MON_1049373417"/>
    <w:bookmarkStart w:id="8" w:name="_MON_1049373609"/>
    <w:bookmarkStart w:id="9" w:name="_MON_1049374586"/>
    <w:bookmarkStart w:id="10" w:name="_MON_1049374594"/>
    <w:bookmarkStart w:id="11" w:name="_MON_1049374865"/>
    <w:bookmarkStart w:id="12" w:name="_MON_1049374915"/>
    <w:bookmarkStart w:id="13" w:name="_MON_1049374973"/>
    <w:bookmarkStart w:id="14" w:name="_MON_1049375661"/>
    <w:bookmarkStart w:id="15" w:name="_MON_1068295913"/>
    <w:bookmarkStart w:id="16" w:name="_MON_1068295980"/>
    <w:bookmarkStart w:id="17" w:name="_MON_1068296044"/>
    <w:bookmarkStart w:id="18" w:name="_MON_1068296114"/>
    <w:bookmarkStart w:id="19" w:name="_MON_1068296149"/>
    <w:bookmarkStart w:id="20" w:name="_MON_1068296284"/>
    <w:bookmarkStart w:id="21" w:name="_MON_1068296351"/>
    <w:bookmarkStart w:id="22" w:name="_MON_1075707350"/>
    <w:bookmarkStart w:id="23" w:name="_MON_1075707390"/>
    <w:bookmarkStart w:id="24" w:name="_MON_1075791548"/>
    <w:bookmarkStart w:id="25" w:name="_MON_1075792459"/>
    <w:bookmarkStart w:id="26" w:name="_MON_1075796988"/>
    <w:bookmarkStart w:id="27" w:name="_MON_1075797084"/>
    <w:bookmarkStart w:id="28" w:name="_MON_1075797194"/>
    <w:bookmarkStart w:id="29" w:name="_MON_1075797237"/>
    <w:bookmarkStart w:id="30" w:name="_MON_1076333526"/>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rsidR="00000000" w:rsidRDefault="00000000">
      <w:pPr>
        <w:jc w:val="center"/>
      </w:pPr>
      <w:r>
        <w:object w:dxaOrig="13296" w:dyaOrig="9648">
          <v:shape id="_x0000_i1033" type="#_x0000_t75" style="width:332.25pt;height:241.5pt" o:ole="" fillcolor="window">
            <v:imagedata r:id="rId34" o:title=""/>
          </v:shape>
          <o:OLEObject Type="Embed" ProgID="Excel.Sheet.8" ShapeID="_x0000_i1033" DrawAspect="Content" ObjectID="_1394878299" r:id="rId35"/>
        </w:object>
      </w:r>
    </w:p>
    <w:p w:rsidR="00000000" w:rsidRDefault="00000000">
      <w:pPr>
        <w:jc w:val="center"/>
      </w:pPr>
    </w:p>
    <w:p w:rsidR="00000000" w:rsidRDefault="00000000">
      <w:pPr>
        <w:pStyle w:val="ParaNo"/>
        <w:tabs>
          <w:tab w:val="clear" w:pos="360"/>
          <w:tab w:val="clear" w:pos="737"/>
        </w:tabs>
        <w:ind w:left="0" w:firstLine="0"/>
        <w:rPr>
          <w:lang w:val="en-GB"/>
        </w:rPr>
      </w:pPr>
      <w:r>
        <w:rPr>
          <w:lang w:val="en-GB"/>
        </w:rPr>
        <w:t>Brazil does not keep an official physical quality of life index.  Various quality of life indicators are used, such as the Quality of Life index, applied in internal comparisons; this is currently 0.72 for the country as a whole.  Methodological differences make comparison with indexes used in other countries difficult.  However, the Brazilian Government points out that the Human Development Index</w:t>
      </w:r>
      <w:r>
        <w:rPr>
          <w:lang w:val="en-GB"/>
        </w:rPr>
        <w:noBreakHyphen/>
        <w:t xml:space="preserve">HDI is widely known and makes international comparisons possible.  According to this index, as applied in the </w:t>
      </w:r>
      <w:r>
        <w:rPr>
          <w:u w:val="single"/>
          <w:lang w:val="en-GB"/>
        </w:rPr>
        <w:t>Human Development Report 2000</w:t>
      </w:r>
      <w:r>
        <w:rPr>
          <w:lang w:val="en-GB"/>
        </w:rPr>
        <w:t>, Brazil ranks 74th.  The HDI is now applied to each Brazilian municipality and to specific population groups.  It is worth pointing out that a great many Brazilian municipalities are at levels similar to those of countries in the Low Human Development category.  When applied to specific groups, this index shows that the Brazilian black population is characterized by a low level of income and education.</w:t>
      </w:r>
    </w:p>
    <w:p w:rsidR="00000000" w:rsidRDefault="00000000"/>
    <w:p w:rsidR="00000000" w:rsidRDefault="00000000">
      <w:pPr>
        <w:pStyle w:val="ParaNo"/>
        <w:tabs>
          <w:tab w:val="clear" w:pos="360"/>
          <w:tab w:val="clear" w:pos="737"/>
        </w:tabs>
        <w:ind w:left="0" w:firstLine="0"/>
        <w:rPr>
          <w:lang w:val="en-GB"/>
        </w:rPr>
      </w:pPr>
      <w:r>
        <w:rPr>
          <w:lang w:val="en-GB"/>
        </w:rPr>
        <w:t xml:space="preserve">With respect to food and the right thereto embodied in the International Covenant on Economic, Social, and Cultural Rights, the Brazilian Government points out that a positive development can be seen over the last 10 years in terms of improvement of the food and nutrition situation in general.  As of 1993, with the launching of the Citizen’s Action against Hunger and Poverty and for Life and with the establishment of the National Food Security Council </w:t>
      </w:r>
      <w:r>
        <w:rPr>
          <w:lang w:val="en-GB"/>
        </w:rPr>
        <w:noBreakHyphen/>
        <w:t xml:space="preserve"> CONSEA, civil society and Government have ascribed priority to combating hunger, and this is reflected in the nation’s political agenda.</w:t>
      </w:r>
    </w:p>
    <w:p w:rsidR="00000000" w:rsidRDefault="00000000"/>
    <w:p w:rsidR="00000000" w:rsidRDefault="00000000">
      <w:pPr>
        <w:pStyle w:val="ParaNo"/>
        <w:tabs>
          <w:tab w:val="clear" w:pos="360"/>
          <w:tab w:val="clear" w:pos="737"/>
        </w:tabs>
        <w:ind w:left="0" w:firstLine="0"/>
        <w:rPr>
          <w:lang w:val="en-GB"/>
        </w:rPr>
      </w:pPr>
      <w:r>
        <w:rPr>
          <w:lang w:val="en-GB"/>
        </w:rPr>
        <w:t>The national process of preparation for the 1996 World Food Summit spurred a more cogent discussion by Brazilian civil society and Government about the impact of public policies on the implementation of the human right to food and led to the drafting of the National Report to the Summit.  In following up the Summit, when the Work Group on Food and Nutritional Security, acting in close cooperation with federal agencies, including the Solidarity Community’s Executive Secretariat and the Ministry of Health, was strengthened, progress towards the incorporation of human rights concerns into public policies was consolidated.</w:t>
      </w:r>
    </w:p>
    <w:p w:rsidR="00000000" w:rsidRDefault="00000000"/>
    <w:p w:rsidR="00000000" w:rsidRDefault="00000000">
      <w:pPr>
        <w:pStyle w:val="ParaNo"/>
        <w:tabs>
          <w:tab w:val="clear" w:pos="360"/>
          <w:tab w:val="clear" w:pos="737"/>
        </w:tabs>
        <w:ind w:left="0" w:firstLine="0"/>
        <w:rPr>
          <w:lang w:val="en-GB"/>
        </w:rPr>
      </w:pPr>
      <w:r>
        <w:rPr>
          <w:lang w:val="en-GB"/>
        </w:rPr>
        <w:br w:type="page"/>
        <w:t>One result of this effort is the Ministry of Health’s Food and Nutrition National Policy, approved by the National Health Council in 1999.  A detailed report on this process can be found in the case study presented by the Brazilian Government in Geneva in 1999 at a symposium held by the Nutrition Subcommittee of the United Nations Administrative Committee on Coordination and sponsored by the United Nations High Commissioner for Human Rights.</w:t>
      </w:r>
    </w:p>
    <w:p w:rsidR="00000000" w:rsidRDefault="00000000"/>
    <w:p w:rsidR="00000000" w:rsidRDefault="00000000">
      <w:pPr>
        <w:pStyle w:val="ParaNo"/>
        <w:tabs>
          <w:tab w:val="clear" w:pos="360"/>
          <w:tab w:val="clear" w:pos="737"/>
        </w:tabs>
        <w:ind w:left="0" w:firstLine="0"/>
        <w:rPr>
          <w:lang w:val="en-GB"/>
        </w:rPr>
      </w:pPr>
      <w:r>
        <w:rPr>
          <w:lang w:val="en-GB"/>
        </w:rPr>
        <w:t>Since November 1998, the Brazilian Sustainable Food and Nutritional Security Forum, in close contact with civil society and at least 10 state governments, has coordinated the establishment of state forums and Food and Nutritional Security Councils, with the participation of both government and civil society.  The Councils’ main purpose is to ensure that one of the pivotal strategies of economic and social public policies at the state level is combating hunger and social exclusion through the promotion of the human right to food for all.</w:t>
      </w:r>
    </w:p>
    <w:p w:rsidR="00000000" w:rsidRDefault="00000000"/>
    <w:p w:rsidR="00000000" w:rsidRDefault="00000000">
      <w:pPr>
        <w:pStyle w:val="ParaNo"/>
        <w:tabs>
          <w:tab w:val="clear" w:pos="360"/>
          <w:tab w:val="clear" w:pos="737"/>
        </w:tabs>
        <w:ind w:left="0" w:firstLine="0"/>
        <w:rPr>
          <w:lang w:val="en-GB"/>
        </w:rPr>
      </w:pPr>
      <w:r>
        <w:rPr>
          <w:lang w:val="en-GB"/>
        </w:rPr>
        <w:t>The Brazilian Government is concerned about malnutrition.  As mentioned earlier, since 1990 the number of people living below the indigence and the poverty levels has declined.</w:t>
      </w:r>
    </w:p>
    <w:p w:rsidR="00000000" w:rsidRDefault="00000000"/>
    <w:p w:rsidR="00000000" w:rsidRDefault="00000000">
      <w:pPr>
        <w:pStyle w:val="ParaNo"/>
        <w:tabs>
          <w:tab w:val="clear" w:pos="360"/>
          <w:tab w:val="clear" w:pos="737"/>
        </w:tabs>
        <w:ind w:left="0" w:firstLine="0"/>
        <w:rPr>
          <w:lang w:val="en-GB"/>
        </w:rPr>
      </w:pPr>
      <w:r>
        <w:rPr>
          <w:lang w:val="en-GB"/>
        </w:rPr>
        <w:t>Other studies carried out in several Brazilian cities, based on the consumption profile, show that these two segments are at risk of food insecurity in terms of both energy and of insufficient intake of a series of macro</w:t>
      </w:r>
      <w:r>
        <w:rPr>
          <w:lang w:val="en-GB"/>
        </w:rPr>
        <w:noBreakHyphen/>
        <w:t xml:space="preserve"> and micronutrients, including iron, vitamins B</w:t>
      </w:r>
      <w:r>
        <w:rPr>
          <w:vertAlign w:val="subscript"/>
          <w:lang w:val="en-GB"/>
        </w:rPr>
        <w:t>12</w:t>
      </w:r>
      <w:r>
        <w:rPr>
          <w:lang w:val="en-GB"/>
        </w:rPr>
        <w:t xml:space="preserve"> and A and calcium, all of which affect both child and adult morbidity and mortality.</w:t>
      </w:r>
    </w:p>
    <w:p w:rsidR="00000000" w:rsidRDefault="00000000"/>
    <w:p w:rsidR="00000000" w:rsidRDefault="00000000">
      <w:pPr>
        <w:pStyle w:val="ParaNo"/>
        <w:tabs>
          <w:tab w:val="clear" w:pos="360"/>
          <w:tab w:val="clear" w:pos="737"/>
        </w:tabs>
        <w:ind w:left="0" w:firstLine="0"/>
        <w:rPr>
          <w:lang w:val="en-GB"/>
        </w:rPr>
      </w:pPr>
      <w:r>
        <w:rPr>
          <w:lang w:val="en-GB"/>
        </w:rPr>
        <w:t>According to 1999 Ministry of Health figures, infant mortality in Brazil is estimated at 37 per 1,000 live births, malnutrition being the main or contributing cause of 55 per cent of these deaths (57,000 deaths of children aged less than one year).  This figure does not take into account all births in the year as, because of difficulties of various kinds, about 1 million births go unrecorded.  If this distortion is corrected, the extent of undernourishment may prove even larger.</w:t>
      </w:r>
    </w:p>
    <w:p w:rsidR="00000000" w:rsidRDefault="00000000"/>
    <w:p w:rsidR="00000000" w:rsidRDefault="00000000">
      <w:pPr>
        <w:pStyle w:val="ParaNo"/>
        <w:tabs>
          <w:tab w:val="clear" w:pos="360"/>
          <w:tab w:val="clear" w:pos="737"/>
        </w:tabs>
        <w:ind w:left="0" w:firstLine="0"/>
        <w:rPr>
          <w:lang w:val="en-GB"/>
        </w:rPr>
      </w:pPr>
      <w:r>
        <w:rPr>
          <w:lang w:val="en-GB"/>
        </w:rPr>
        <w:t>Over the last 10 years, the Food and Nutritional Vigilance System</w:t>
      </w:r>
      <w:r>
        <w:rPr>
          <w:lang w:val="en-GB"/>
        </w:rPr>
        <w:noBreakHyphen/>
        <w:t>SISVAN, coordinated by the Ministry of Health, has been under implementation throughout the country.  Its purpose is to compare the growth and development curve of children under 59 months covered by the Public Health Network.  The system may have epidemiological use in the identification of areas with greater incidence of malnutrition as well as in the treatment of children identified as malnourished by the public health service.  SISVAN has not been implemented nationwide yet but is already generating important data in some states.  Even allowing for possible distortions owing to the repeated evaluation of the same child, figures for the state of Minas Gerais indicate that malnutrition occurs in from 13 to 48 per cent of children (according to the weight/age criterion) in different regions, and it is estimated that 20 per cent of children (100,000) were malnourished in 1999.</w:t>
      </w:r>
    </w:p>
    <w:p w:rsidR="00000000" w:rsidRDefault="00000000"/>
    <w:p w:rsidR="00000000" w:rsidRDefault="00000000">
      <w:pPr>
        <w:pStyle w:val="ParaNo"/>
        <w:tabs>
          <w:tab w:val="clear" w:pos="360"/>
          <w:tab w:val="clear" w:pos="737"/>
        </w:tabs>
        <w:ind w:left="0" w:firstLine="0"/>
        <w:rPr>
          <w:lang w:val="en-GB"/>
        </w:rPr>
      </w:pPr>
      <w:r>
        <w:rPr>
          <w:lang w:val="en-GB"/>
        </w:rPr>
        <w:t>Recent studies show that there is a great concentration of poor food conditions among Indian populations and homeless rural workers (both those in camps and those already resettled) and in the outskirts of large and medium</w:t>
      </w:r>
      <w:r>
        <w:rPr>
          <w:lang w:val="en-GB"/>
        </w:rPr>
        <w:noBreakHyphen/>
        <w:t xml:space="preserve">sized cities.  Figures from the 1996 National Population and Health Survey indicate that 10.5 per cent of Brazilian children show a height deficit and that this condition varied widely from region to region, from 5.1 per cent in the south to 17.9 per cent </w:t>
      </w:r>
    </w:p>
    <w:p w:rsidR="00000000" w:rsidRDefault="00000000">
      <w:r>
        <w:br w:type="page"/>
        <w:t>in the north</w:t>
      </w:r>
      <w:r>
        <w:noBreakHyphen/>
        <w:t>east.  The weight/age deficit also affects 5.7 per cent of children under 5, with the highest rates occurring in the north (7.7 per cent) and the north</w:t>
      </w:r>
      <w:r>
        <w:noBreakHyphen/>
        <w:t>east (8.3 per cent).  Despite advances in the last decade, a considerable contingent of the population still showed to be undersized as measured by the weight/age ratio during the critical period between 6 and 23 months of age.</w:t>
      </w:r>
    </w:p>
    <w:p w:rsidR="00000000" w:rsidRDefault="00000000"/>
    <w:p w:rsidR="00000000" w:rsidRDefault="00000000">
      <w:pPr>
        <w:pStyle w:val="ParaNo"/>
        <w:tabs>
          <w:tab w:val="clear" w:pos="360"/>
          <w:tab w:val="clear" w:pos="737"/>
        </w:tabs>
        <w:ind w:left="0" w:firstLine="0"/>
        <w:rPr>
          <w:lang w:val="en-GB"/>
        </w:rPr>
      </w:pPr>
      <w:r>
        <w:rPr>
          <w:lang w:val="en-GB"/>
        </w:rPr>
        <w:t>Another priority aspect of the food and nutrition issue is related to micronutrient deficiency, particularly vitamin A, iron and iodine deficiency, as recent studies reveal a worrisome picture.  According to a Hope Project publication, vitamin A deficiency is an endemic problem in large areas of the north, north</w:t>
      </w:r>
      <w:r>
        <w:rPr>
          <w:lang w:val="en-GB"/>
        </w:rPr>
        <w:noBreakHyphen/>
        <w:t>east, and south</w:t>
      </w:r>
      <w:r>
        <w:rPr>
          <w:lang w:val="en-GB"/>
        </w:rPr>
        <w:noBreakHyphen/>
        <w:t>east.  Despite the difficulties that still exist in obtaining the accurate information needed for reliable diagnosis and evaluation, it is possible to affirm that the north</w:t>
      </w:r>
      <w:r>
        <w:rPr>
          <w:lang w:val="en-GB"/>
        </w:rPr>
        <w:noBreakHyphen/>
        <w:t>eastern child population is the most vulnerable to this condition.  In the north</w:t>
      </w:r>
      <w:r>
        <w:rPr>
          <w:lang w:val="en-GB"/>
        </w:rPr>
        <w:noBreakHyphen/>
        <w:t xml:space="preserve">east, between 16 and 55 per cent of children have been found to show serious vitamin A deficiency.  </w:t>
      </w:r>
    </w:p>
    <w:p w:rsidR="00000000" w:rsidRDefault="00000000"/>
    <w:p w:rsidR="00000000" w:rsidRDefault="00000000">
      <w:pPr>
        <w:pStyle w:val="ParaNo"/>
        <w:tabs>
          <w:tab w:val="clear" w:pos="360"/>
          <w:tab w:val="clear" w:pos="737"/>
        </w:tabs>
        <w:ind w:left="0" w:firstLine="0"/>
        <w:rPr>
          <w:lang w:val="en-GB"/>
        </w:rPr>
      </w:pPr>
      <w:r>
        <w:rPr>
          <w:lang w:val="en-GB"/>
        </w:rPr>
        <w:t>There are also indications of the occurrence of vitamin A deficiency in poverty pockets in the States of Minas Gerais and São Paulo and in the north.  In these areas, more than 15 per cent of the blood samples tested showed that vitamin A was below 20 mcg/dl, indicating endemic deficiency.  As regards iron deficiency, it should be noted that anaemia is the biggest nutrition problem in Brazil, affecting particularly women in their fertile period and children under 2.  It is estimated that 3 in 10 pregnant women who undergo prenatal examination are anaemic.  In children the incidence is much higher:  50 per cent or more children are anaemic.</w:t>
      </w:r>
    </w:p>
    <w:p w:rsidR="00000000" w:rsidRDefault="00000000"/>
    <w:p w:rsidR="00000000" w:rsidRDefault="00000000">
      <w:pPr>
        <w:pStyle w:val="ParaNo"/>
        <w:tabs>
          <w:tab w:val="clear" w:pos="360"/>
          <w:tab w:val="clear" w:pos="737"/>
        </w:tabs>
        <w:ind w:left="0" w:firstLine="0"/>
        <w:rPr>
          <w:lang w:val="en-GB"/>
        </w:rPr>
      </w:pPr>
      <w:r>
        <w:rPr>
          <w:lang w:val="en-GB"/>
        </w:rPr>
        <w:t>An illustrative case is the State of São Paulo where, despite remarkable progress made in the last 22 years in reducing infant and pre</w:t>
      </w:r>
      <w:r>
        <w:rPr>
          <w:lang w:val="en-GB"/>
        </w:rPr>
        <w:noBreakHyphen/>
        <w:t xml:space="preserve">school mortality and in controlling child malnutrition, child anaemia rose over 100 per cent </w:t>
      </w:r>
      <w:r>
        <w:rPr>
          <w:lang w:val="en-GB"/>
        </w:rPr>
        <w:noBreakHyphen/>
        <w:t xml:space="preserve"> 22 per cent in 1974, 35 per cent in 1985, and 46 per cent in 1996.  A national survey carried out in 1994</w:t>
      </w:r>
      <w:r>
        <w:rPr>
          <w:lang w:val="en-GB"/>
        </w:rPr>
        <w:noBreakHyphen/>
        <w:t>1995 by the former National Food and Nutrition Institute looked at the prevalence of goitre in schoolchildren aged 6</w:t>
      </w:r>
      <w:r>
        <w:rPr>
          <w:lang w:val="en-GB"/>
        </w:rPr>
        <w:noBreakHyphen/>
        <w:t>14.  Two Brazilian states showed a 20 per cent prevalence median, indicating a moderate endemic situation.  In other six states (Acre, Amazonas, Pará, Mato Grosso, Paraná and Espirito Santo), the prevalence median in the municipalities studied varied from 5.0 per cent to 19.9 per cent, indicating a slight endemic situation.</w:t>
      </w:r>
    </w:p>
    <w:p w:rsidR="00000000" w:rsidRDefault="00000000"/>
    <w:p w:rsidR="00000000" w:rsidRDefault="00000000">
      <w:pPr>
        <w:pStyle w:val="ParaNo"/>
        <w:tabs>
          <w:tab w:val="clear" w:pos="360"/>
          <w:tab w:val="clear" w:pos="737"/>
        </w:tabs>
        <w:ind w:left="0" w:firstLine="0"/>
        <w:rPr>
          <w:lang w:val="en-GB"/>
        </w:rPr>
      </w:pPr>
      <w:r>
        <w:rPr>
          <w:lang w:val="en-GB"/>
        </w:rPr>
        <w:t>Another extremely important element with respect to food and nutrition in Brazil is the persistence of unsatisfactory indicators of exclusive breastfeeding, despite significant progress achieved in the last decades.  An Oswaldo Cruz Foundation study that associates breastfeeding with the family economy shows that if all children born in 1995 had been exclusively breastfed up to six months of age, 423.8 litres of milk costing over 200 million dollars might have been saved.  If breastfeeding recommendations were followed, there is no doubt that, in addition to incalculable gains in the health, nutrition and well</w:t>
      </w:r>
      <w:r>
        <w:rPr>
          <w:lang w:val="en-GB"/>
        </w:rPr>
        <w:noBreakHyphen/>
        <w:t>being of children, family expenditures would be significantly lower.</w:t>
      </w:r>
    </w:p>
    <w:p w:rsidR="00000000" w:rsidRDefault="00000000"/>
    <w:p w:rsidR="00000000" w:rsidRDefault="00000000">
      <w:pPr>
        <w:pStyle w:val="ParaNo"/>
        <w:tabs>
          <w:tab w:val="clear" w:pos="360"/>
          <w:tab w:val="clear" w:pos="737"/>
        </w:tabs>
        <w:ind w:left="0" w:firstLine="0"/>
        <w:rPr>
          <w:lang w:val="en-GB"/>
        </w:rPr>
      </w:pPr>
      <w:r>
        <w:rPr>
          <w:lang w:val="en-GB"/>
        </w:rPr>
        <w:t>Side by side with this deficiency picture in Brazil, an epidemic of obesity or other types of lipaemia and related cardiovascular diseases has been detected.  This is an unprecedented epidemiological situation.  According to a 1996 report issued jointly by the Inter</w:t>
      </w:r>
      <w:r>
        <w:rPr>
          <w:lang w:val="en-GB"/>
        </w:rPr>
        <w:noBreakHyphen/>
        <w:t xml:space="preserve">American Development Bank and the World Health Organization, there has been an increase in obesity and </w:t>
      </w:r>
    </w:p>
    <w:p w:rsidR="00000000" w:rsidRDefault="00000000">
      <w:r>
        <w:br w:type="page"/>
        <w:t>chronic diseases associated with food intake, particularly in lower socio</w:t>
      </w:r>
      <w:r>
        <w:noBreakHyphen/>
        <w:t>economic groups, which account for 50 per cent of this increase among adults.  Obesity in the Brazilian population is becoming considerably more common than child malnutrition, pointing to an epidemiological transition process which is being accorded due attention by public health authorities.  Cardiovascular diseases are the major cause of death and incapacity among adults and the elderly and account for 34 per cent of deaths in Brazil.  To a large extent, these diseases are associated with obesity and with improper eating habits and lifestyles.  An anthropometric study of Brazilian adults carried out by the National Health and Nutrition Survey</w:t>
      </w:r>
      <w:r>
        <w:noBreakHyphen/>
        <w:t>PNSN in 1989 and published in 1990 showed that about 24.6 per cent were overweight and 8.3 per cent were obese.  The problem has begun to be detected in children and adolescents also.  Moreover, the results of a 1990 Multicentre Study on the Prevalence of Diabetes Mellitus, sponsored by the Ministry of Health, showed that 7.6 per cent of cases occur in the 30</w:t>
      </w:r>
      <w:r>
        <w:noBreakHyphen/>
        <w:t>69 age group.  These results are consistent with those obtained in the State of Pernambuco in 1998.  It is estimated that there are 5 million diabetics in Brazil, 50 per cent of whom are unaware of their condition.</w:t>
      </w:r>
    </w:p>
    <w:p w:rsidR="00000000" w:rsidRDefault="00000000"/>
    <w:p w:rsidR="00000000" w:rsidRDefault="00000000">
      <w:pPr>
        <w:pStyle w:val="ParaNo"/>
        <w:tabs>
          <w:tab w:val="clear" w:pos="360"/>
          <w:tab w:val="clear" w:pos="737"/>
        </w:tabs>
        <w:ind w:left="0" w:firstLine="0"/>
        <w:rPr>
          <w:lang w:val="en-GB"/>
        </w:rPr>
      </w:pPr>
      <w:r>
        <w:rPr>
          <w:lang w:val="en-GB"/>
        </w:rPr>
        <w:t>Adding to these problems, inadequate eating habits also pose a serious challenge.  In the different regions of the country, popular culture holds onto food and eating traditions whose nutrition, therapeutic properties, and requirements and taboos of foods or food combinations can be of dubious value.</w:t>
      </w:r>
    </w:p>
    <w:p w:rsidR="00000000" w:rsidRDefault="00000000"/>
    <w:p w:rsidR="00000000" w:rsidRDefault="00000000">
      <w:pPr>
        <w:pStyle w:val="ParaNo"/>
        <w:tabs>
          <w:tab w:val="clear" w:pos="360"/>
          <w:tab w:val="clear" w:pos="737"/>
        </w:tabs>
        <w:ind w:left="0" w:firstLine="0"/>
        <w:rPr>
          <w:lang w:val="en-GB"/>
        </w:rPr>
      </w:pPr>
      <w:r>
        <w:rPr>
          <w:lang w:val="en-GB"/>
        </w:rPr>
        <w:t>It should be added that there is a proliferation of fast food establishments, which may be conducive to less than healthy habits, and an increasing use of pre</w:t>
      </w:r>
      <w:r>
        <w:rPr>
          <w:lang w:val="en-GB"/>
        </w:rPr>
        <w:noBreakHyphen/>
        <w:t>cooked or fast</w:t>
      </w:r>
      <w:r>
        <w:rPr>
          <w:lang w:val="en-GB"/>
        </w:rPr>
        <w:noBreakHyphen/>
        <w:t>cooking food whose nutritional quality may be compromised if modern production techniques are not used.  Another factor that influences eating habits is the significant volume of daily meals served to different segments of the population.  For example, 36 million meals are served daily in schools, 300,000 in the armed forces and 10 million to workers covered by the Workers Food Program</w:t>
      </w:r>
      <w:r>
        <w:rPr>
          <w:lang w:val="en-GB"/>
        </w:rPr>
        <w:noBreakHyphen/>
        <w:t>PAT.</w:t>
      </w:r>
    </w:p>
    <w:p w:rsidR="00000000" w:rsidRDefault="00000000"/>
    <w:p w:rsidR="00000000" w:rsidRDefault="00000000">
      <w:pPr>
        <w:pStyle w:val="ParaNo"/>
        <w:tabs>
          <w:tab w:val="clear" w:pos="360"/>
          <w:tab w:val="clear" w:pos="737"/>
        </w:tabs>
        <w:ind w:left="0" w:firstLine="0"/>
        <w:rPr>
          <w:lang w:val="en-GB"/>
        </w:rPr>
      </w:pPr>
      <w:r>
        <w:rPr>
          <w:lang w:val="en-GB"/>
        </w:rPr>
        <w:t>Through massive advertising, the food industry and trade induce consumers to adopt new habits, often based on false or deceitful claims.  A striking example of this is the premature stopping of breastfeeding over the last 40 years, owing to women’s new behaviour patterns and the advertising of industrialized infant food.  With respect to food processing, which is subject to sanitary inspection, it is important to take into account the quantity of food products and industries currently in existence.  In Brazil there are about 100,000 licensed products and 20,000 registered food companies.  Another consideration is the growing influx of imported foods, which requires greater attention from health inspectors.  In the Brazilian view, the role of food health inspection is to protect the health of the population from risks stemming from the consumption of irregular food products.  The National Sanitary Vigilance Agency is responsible for monitoring compliance with technical norms and legislation applicable to food.  It operates by in loco checking of hygienic and sanitary practices adopted by establishments that produce or sell foodstuffs.  It is also charged with adopting the pertinent measures in case of irregularities, to ensure that food products offered for consumption are in satisfactory condition.  Basically, these norms refer to “sound manufacturing practices” and to food product identification and quality standards, compliance with which is essential for guaranteeing quality.</w:t>
      </w:r>
    </w:p>
    <w:p w:rsidR="00000000" w:rsidRDefault="00000000"/>
    <w:p w:rsidR="00000000" w:rsidRDefault="00000000">
      <w:pPr>
        <w:pStyle w:val="ParaNo"/>
        <w:tabs>
          <w:tab w:val="clear" w:pos="360"/>
          <w:tab w:val="clear" w:pos="737"/>
        </w:tabs>
        <w:ind w:left="0" w:firstLine="0"/>
        <w:rPr>
          <w:lang w:val="en-GB"/>
        </w:rPr>
      </w:pPr>
      <w:r>
        <w:rPr>
          <w:lang w:val="en-GB"/>
        </w:rPr>
        <w:br w:type="page"/>
        <w:t xml:space="preserve">Nutrition in Brazil shows marked regional differences.  The </w:t>
      </w:r>
      <w:r>
        <w:rPr>
          <w:u w:val="single"/>
          <w:lang w:val="en-GB"/>
        </w:rPr>
        <w:t>Human Development Report 1997</w:t>
      </w:r>
      <w:r>
        <w:rPr>
          <w:lang w:val="en-GB"/>
        </w:rPr>
        <w:t xml:space="preserve"> highlights the reduction of poverty in the country.  The extent and pattern of poverty vary internally, as the Human Poverty Index</w:t>
      </w:r>
      <w:r>
        <w:rPr>
          <w:lang w:val="en-GB"/>
        </w:rPr>
        <w:noBreakHyphen/>
        <w:t>HPI varies significantly from region to region.  In northern urban areas, as demonstrated by past and recent trends, the decline in poverty is less than in the rest of the country.  In 1996, the highest rates of negative growth in the urban population were to be found in the north and no longer in the north</w:t>
      </w:r>
      <w:r>
        <w:rPr>
          <w:lang w:val="en-GB"/>
        </w:rPr>
        <w:noBreakHyphen/>
        <w:t>east.  This shows that the food and nutrition picture is quite complex in Brazil, a country with quite heterogeneous epidemiological and regional characteristics, where problems typical of underdeveloped societies occur simultaneously with problems typical of developed countries.</w:t>
      </w:r>
    </w:p>
    <w:p w:rsidR="00000000" w:rsidRDefault="00000000"/>
    <w:p w:rsidR="00000000" w:rsidRDefault="00000000">
      <w:pPr>
        <w:pStyle w:val="ParaNo"/>
        <w:tabs>
          <w:tab w:val="clear" w:pos="360"/>
          <w:tab w:val="clear" w:pos="737"/>
        </w:tabs>
        <w:ind w:left="0" w:firstLine="0"/>
        <w:rPr>
          <w:lang w:val="en-GB"/>
        </w:rPr>
      </w:pPr>
      <w:r>
        <w:rPr>
          <w:lang w:val="en-GB"/>
        </w:rPr>
        <w:t xml:space="preserve">With respect to possibly significant differences between the situation of men and that of women, as indicated by the Committee, the Brazilian Government points out that differences based on gender do indeed occur but everything seems to indicate that they have little significance and are insufficient to establish a clear pattern.  The incidence of adult malnutrition in Brazil is low, occurring basically in areas of extreme poverty.  The highest incidence of malnutrition in its acute form (i.e. not chronic malnutrition) is among children; in this case, there is no breakdown of the statistics by gender. </w:t>
      </w:r>
    </w:p>
    <w:p w:rsidR="00000000" w:rsidRDefault="00000000"/>
    <w:p w:rsidR="00000000" w:rsidRDefault="00000000">
      <w:pPr>
        <w:pStyle w:val="ParaNo"/>
        <w:tabs>
          <w:tab w:val="clear" w:pos="360"/>
          <w:tab w:val="clear" w:pos="737"/>
        </w:tabs>
        <w:ind w:left="0" w:firstLine="0"/>
        <w:rPr>
          <w:lang w:val="en-GB"/>
        </w:rPr>
      </w:pPr>
      <w:r>
        <w:rPr>
          <w:lang w:val="en-GB"/>
        </w:rPr>
        <w:t>The Brazilian Government has sought to adopt policies for gradually ensuring food sufficiency.  It has a National Food and Nutrition Policy, whose major lineaments are:  guarantee of food safety and quality; monitoring of the food and nutrition situation; promotion of healthy eating habits and lifestyles; prevention and control of nutritional disorders; promotion of lines of investigation; and development and training of human resources.</w:t>
      </w:r>
    </w:p>
    <w:p w:rsidR="00000000" w:rsidRDefault="00000000"/>
    <w:p w:rsidR="00000000" w:rsidRDefault="00000000">
      <w:pPr>
        <w:pStyle w:val="ParaNo"/>
        <w:tabs>
          <w:tab w:val="clear" w:pos="360"/>
          <w:tab w:val="clear" w:pos="737"/>
        </w:tabs>
        <w:ind w:left="0" w:firstLine="0"/>
        <w:rPr>
          <w:lang w:val="en-GB"/>
        </w:rPr>
      </w:pPr>
      <w:r>
        <w:rPr>
          <w:lang w:val="en-GB"/>
        </w:rPr>
        <w:t>To guarantee food safety and quality, health inspection actions are being reinforced and joint actions by consumer protection agencies and civil society organizations concerned with this issue are being encouraged.  The purpose is to disseminate relevant information on the quality and safety of food products, thereby facilitating access to the mechanisms charged with guaranteeing these rights.</w:t>
      </w:r>
    </w:p>
    <w:p w:rsidR="00000000" w:rsidRDefault="00000000"/>
    <w:p w:rsidR="00000000" w:rsidRDefault="00000000">
      <w:pPr>
        <w:pStyle w:val="ParaNo"/>
        <w:tabs>
          <w:tab w:val="clear" w:pos="360"/>
          <w:tab w:val="clear" w:pos="737"/>
        </w:tabs>
        <w:ind w:left="0" w:firstLine="0"/>
        <w:rPr>
          <w:lang w:val="en-GB"/>
        </w:rPr>
      </w:pPr>
      <w:r>
        <w:rPr>
          <w:lang w:val="en-GB"/>
        </w:rPr>
        <w:t xml:space="preserve">Moreover, the national food health legislation is being updated, taking into account the advances in biotechnology </w:t>
      </w:r>
      <w:r>
        <w:rPr>
          <w:lang w:val="en-GB"/>
        </w:rPr>
        <w:noBreakHyphen/>
        <w:t xml:space="preserve"> transgenic and other processes </w:t>
      </w:r>
      <w:r>
        <w:rPr>
          <w:lang w:val="en-GB"/>
        </w:rPr>
        <w:noBreakHyphen/>
        <w:t xml:space="preserve"> and health inspection criteria and procedures are being harmonized in accordance with legal instruments and international agreements.  In Mercosur, for instance, adjustments are to be made as required by the trade in processed or</w:t>
      </w:r>
      <w:r>
        <w:rPr>
          <w:iCs/>
          <w:lang w:val="en-GB"/>
        </w:rPr>
        <w:t xml:space="preserve"> </w:t>
      </w:r>
      <w:r>
        <w:rPr>
          <w:lang w:val="en-GB"/>
        </w:rPr>
        <w:t>natural</w:t>
      </w:r>
      <w:r>
        <w:rPr>
          <w:iCs/>
          <w:lang w:val="en-GB"/>
        </w:rPr>
        <w:t xml:space="preserve"> </w:t>
      </w:r>
      <w:r>
        <w:rPr>
          <w:lang w:val="en-GB"/>
        </w:rPr>
        <w:t>foodstuffs.</w:t>
      </w:r>
    </w:p>
    <w:p w:rsidR="00000000" w:rsidRDefault="00000000"/>
    <w:p w:rsidR="00000000" w:rsidRDefault="00000000">
      <w:pPr>
        <w:pStyle w:val="ParaNo"/>
        <w:tabs>
          <w:tab w:val="clear" w:pos="360"/>
          <w:tab w:val="clear" w:pos="737"/>
        </w:tabs>
        <w:ind w:left="0" w:firstLine="0"/>
        <w:rPr>
          <w:lang w:val="en-GB"/>
        </w:rPr>
      </w:pPr>
      <w:r>
        <w:rPr>
          <w:lang w:val="en-GB"/>
        </w:rPr>
        <w:t>In monitoring the food and nutritional situation, the Food and Nutritional Vigilance System</w:t>
      </w:r>
      <w:r>
        <w:rPr>
          <w:lang w:val="en-GB"/>
        </w:rPr>
        <w:noBreakHyphen/>
        <w:t>SISVAN plays an important role.  This system is to be expanded and improved by more expeditious procedures and countrywide coverage.  Its consolidation is to be accomplished especially through the support of the work nuclei that exist in nearly all states and in hundreds of municipalities.  One of the priority measures to this end will be the setting up of watch posts to monitor the epidemiological development of problems and their links to risk markers.  These posts are to be set up primarily in high</w:t>
      </w:r>
      <w:r>
        <w:rPr>
          <w:lang w:val="en-GB"/>
        </w:rPr>
        <w:noBreakHyphen/>
        <w:t>risk areas and next to high</w:t>
      </w:r>
      <w:r>
        <w:rPr>
          <w:lang w:val="en-GB"/>
        </w:rPr>
        <w:noBreakHyphen/>
        <w:t>risk populations.  Above all, they should be related to hard</w:t>
      </w:r>
      <w:r>
        <w:rPr>
          <w:lang w:val="en-GB"/>
        </w:rPr>
        <w:noBreakHyphen/>
        <w:t>to</w:t>
      </w:r>
      <w:r>
        <w:rPr>
          <w:lang w:val="en-GB"/>
        </w:rPr>
        <w:noBreakHyphen/>
        <w:t>measure occurrences, such as vitamin A and iodine deficiency.</w:t>
      </w:r>
    </w:p>
    <w:p w:rsidR="00000000" w:rsidRDefault="00000000"/>
    <w:p w:rsidR="00000000" w:rsidRDefault="00000000">
      <w:pPr>
        <w:pStyle w:val="ParaNo"/>
        <w:tabs>
          <w:tab w:val="clear" w:pos="360"/>
          <w:tab w:val="clear" w:pos="737"/>
        </w:tabs>
        <w:ind w:left="0" w:firstLine="0"/>
        <w:rPr>
          <w:lang w:val="en-GB"/>
        </w:rPr>
      </w:pPr>
      <w:r>
        <w:rPr>
          <w:lang w:val="en-GB"/>
        </w:rPr>
        <w:br w:type="page"/>
        <w:t>While monitoring the food and nutritional situation, SISVAN will focus attention on pregnant women and on children’s growth and development.  It will serve as a fulcrum for all the work performed in the services network, particularly in the area of basic health care, to whose universal coverage it is committed.  The routines of providing care to and monitoring the nutritional situation of each beneficiary should be incorporated into the services network for the purpose of detecting risk situations, prescribing preventive actions, and ensuring reversal to a normal situation.</w:t>
      </w:r>
    </w:p>
    <w:p w:rsidR="00000000" w:rsidRDefault="00000000"/>
    <w:p w:rsidR="00000000" w:rsidRDefault="00000000">
      <w:pPr>
        <w:pStyle w:val="ParaNo"/>
        <w:tabs>
          <w:tab w:val="clear" w:pos="360"/>
          <w:tab w:val="clear" w:pos="737"/>
        </w:tabs>
        <w:ind w:left="0" w:firstLine="0"/>
        <w:rPr>
          <w:lang w:val="en-GB"/>
        </w:rPr>
      </w:pPr>
      <w:r>
        <w:rPr>
          <w:lang w:val="en-GB"/>
        </w:rPr>
        <w:t>Another government priority now is the mapping of endemic insufficiencies to identify their geographical distribution and the extent of energetic and proteinacious malnutrition, anaemia, and vitamin A and iodine deficiency.  With respect to the monitoring of non</w:t>
      </w:r>
      <w:r>
        <w:rPr>
          <w:lang w:val="en-GB"/>
        </w:rPr>
        <w:noBreakHyphen/>
        <w:t>transmissible chronic diseases associated with food intake and lifestyles considered inadequate, the work will be consistent with the systems in operation as regards the gathering, generation, flow, processing and analysis of data.</w:t>
      </w:r>
    </w:p>
    <w:p w:rsidR="00000000" w:rsidRDefault="00000000"/>
    <w:p w:rsidR="00000000" w:rsidRDefault="00000000">
      <w:pPr>
        <w:pStyle w:val="ParaNo"/>
        <w:tabs>
          <w:tab w:val="clear" w:pos="360"/>
          <w:tab w:val="clear" w:pos="737"/>
        </w:tabs>
        <w:ind w:left="0" w:firstLine="0"/>
        <w:rPr>
          <w:lang w:val="en-GB"/>
        </w:rPr>
      </w:pPr>
      <w:r>
        <w:rPr>
          <w:lang w:val="en-GB"/>
        </w:rPr>
        <w:t>More specifically, the information systems will focus on aspects associated with breastfeeding and on negative and positive factors, as well as on the periodical evaluation of the nutritional condition of pupils attending public schools.  Other basic elements of this guideline will be the monitoring of food production and a critical assessment of the qualitative and quantitative development of supply and consumption.</w:t>
      </w:r>
    </w:p>
    <w:p w:rsidR="00000000" w:rsidRDefault="00000000"/>
    <w:p w:rsidR="00000000" w:rsidRDefault="00000000">
      <w:pPr>
        <w:pStyle w:val="ParaNo"/>
        <w:tabs>
          <w:tab w:val="clear" w:pos="360"/>
          <w:tab w:val="clear" w:pos="737"/>
        </w:tabs>
        <w:ind w:left="0" w:firstLine="0"/>
        <w:rPr>
          <w:lang w:val="en-GB"/>
        </w:rPr>
      </w:pPr>
      <w:r>
        <w:rPr>
          <w:lang w:val="en-GB"/>
        </w:rPr>
        <w:t xml:space="preserve">The promotion of healthy eating habits, starting with breastfeeding, will concur with the encouragement of healthy lifestyles, another major factor in promoting health.  In this connection, emphasis is being placed on wide dissemination of knowledge about food and eating as well as on the prevention of nutritional problems, from malnutrition </w:t>
      </w:r>
      <w:r>
        <w:rPr>
          <w:lang w:val="en-GB"/>
        </w:rPr>
        <w:noBreakHyphen/>
        <w:t xml:space="preserve"> including specific deficiencies </w:t>
      </w:r>
      <w:r>
        <w:rPr>
          <w:lang w:val="en-GB"/>
        </w:rPr>
        <w:noBreakHyphen/>
        <w:t xml:space="preserve"> to obesity.</w:t>
      </w:r>
    </w:p>
    <w:p w:rsidR="00000000" w:rsidRDefault="00000000"/>
    <w:p w:rsidR="00000000" w:rsidRDefault="00000000">
      <w:pPr>
        <w:pStyle w:val="ParaNo"/>
        <w:tabs>
          <w:tab w:val="clear" w:pos="360"/>
          <w:tab w:val="clear" w:pos="737"/>
        </w:tabs>
        <w:ind w:left="0" w:firstLine="0"/>
        <w:rPr>
          <w:lang w:val="en-GB"/>
        </w:rPr>
      </w:pPr>
      <w:r>
        <w:rPr>
          <w:lang w:val="en-GB"/>
        </w:rPr>
        <w:t>A review of methods and strategies, particularly in the health sector, is a basic, initial measure to ensure that encouragement of breastfeeding is indeed a priority.  To this end, coordination with the different segments of society will be pursued, particularly with those with greater capacity to have a bearing on the practice of breastfeeding.  These would include representative organizations of the various health professional categories, the food and nutrition industry, social communicators and educators, community leaders, consumer protection organizations and civil society organizations in general.</w:t>
      </w:r>
    </w:p>
    <w:p w:rsidR="00000000" w:rsidRDefault="00000000"/>
    <w:p w:rsidR="00000000" w:rsidRDefault="00000000">
      <w:pPr>
        <w:pStyle w:val="ParaNo"/>
        <w:tabs>
          <w:tab w:val="clear" w:pos="360"/>
          <w:tab w:val="clear" w:pos="737"/>
        </w:tabs>
        <w:ind w:left="0" w:firstLine="0"/>
        <w:rPr>
          <w:lang w:val="en-GB"/>
        </w:rPr>
      </w:pPr>
      <w:r>
        <w:rPr>
          <w:lang w:val="en-GB"/>
        </w:rPr>
        <w:t>Also important is the adoption of measures aimed at disciplining the advertising of food products for children, particularly in partnership with representative organizations of the advertising world and with communications enterprises.  Moreover, institutional programmes will be backed, in accordance with previously defined criteria, as, for example, the “child</w:t>
      </w:r>
      <w:r>
        <w:rPr>
          <w:lang w:val="en-GB"/>
        </w:rPr>
        <w:noBreakHyphen/>
        <w:t>Friendly hospital” and the human milk banks.  Movements sponsored by non</w:t>
      </w:r>
      <w:r>
        <w:rPr>
          <w:lang w:val="en-GB"/>
        </w:rPr>
        <w:noBreakHyphen/>
        <w:t>governmental organizations aimed at encouraging breastfeeding will also be backed.</w:t>
      </w:r>
    </w:p>
    <w:p w:rsidR="00000000" w:rsidRDefault="00000000"/>
    <w:p w:rsidR="00000000" w:rsidRDefault="00000000">
      <w:pPr>
        <w:pStyle w:val="ParaNo"/>
        <w:tabs>
          <w:tab w:val="clear" w:pos="360"/>
          <w:tab w:val="clear" w:pos="737"/>
        </w:tabs>
        <w:ind w:left="0" w:firstLine="0"/>
        <w:rPr>
          <w:lang w:val="en-GB"/>
        </w:rPr>
      </w:pPr>
      <w:r>
        <w:rPr>
          <w:lang w:val="en-GB"/>
        </w:rPr>
        <w:t xml:space="preserve">As regards legislation, there will be reinforcement, dissemination and expansion of those provisions that ensure that mothers will be accorded basic conditions for breastfeeding their children </w:t>
      </w:r>
      <w:r>
        <w:rPr>
          <w:lang w:val="en-GB"/>
        </w:rPr>
        <w:noBreakHyphen/>
        <w:t xml:space="preserve"> such as work schedule and location compatible with breastfeeding.  A crucial source </w:t>
      </w:r>
    </w:p>
    <w:p w:rsidR="00000000" w:rsidRDefault="00000000">
      <w:r>
        <w:br w:type="page"/>
        <w:t>of reference for the adoption of all these measures will be the various national and international codes, regulations and norms related to the industrial production, marketing and advertising of foods for child consumption.  In addition, initiatives will be implemented to allow the monitoring of marketing practices that are harmful, abusive, or questionable from the standpoint of the criteria and interests of a truly healthy life.  In this connection, attention will be focused on issues having to do with overweight and its implications.</w:t>
      </w:r>
    </w:p>
    <w:p w:rsidR="00000000" w:rsidRDefault="00000000"/>
    <w:p w:rsidR="00000000" w:rsidRDefault="00000000">
      <w:pPr>
        <w:pStyle w:val="ParaNo"/>
        <w:tabs>
          <w:tab w:val="clear" w:pos="360"/>
          <w:tab w:val="clear" w:pos="737"/>
        </w:tabs>
        <w:ind w:left="0" w:firstLine="0"/>
        <w:rPr>
          <w:lang w:val="en-GB"/>
        </w:rPr>
      </w:pPr>
      <w:r>
        <w:rPr>
          <w:lang w:val="en-GB"/>
        </w:rPr>
        <w:t xml:space="preserve">The development and training of human resources are factors that will influence the necessary definitions under the health policy expounded in the preceding paragraphs.  The objective is to ensure that the health sector will have the required personnel </w:t>
      </w:r>
      <w:r>
        <w:rPr>
          <w:lang w:val="en-GB"/>
        </w:rPr>
        <w:noBreakHyphen/>
        <w:t xml:space="preserve"> both quantitatively and qualitatively </w:t>
      </w:r>
      <w:r>
        <w:rPr>
          <w:lang w:val="en-GB"/>
        </w:rPr>
        <w:noBreakHyphen/>
        <w:t xml:space="preserve"> to be provided in a timely manner by the three levels of government.</w:t>
      </w:r>
    </w:p>
    <w:p w:rsidR="00000000" w:rsidRDefault="00000000"/>
    <w:p w:rsidR="00000000" w:rsidRDefault="00000000">
      <w:pPr>
        <w:pStyle w:val="ParaNo"/>
        <w:tabs>
          <w:tab w:val="clear" w:pos="360"/>
          <w:tab w:val="clear" w:pos="737"/>
        </w:tabs>
        <w:ind w:left="0" w:firstLine="0"/>
        <w:rPr>
          <w:lang w:val="en-GB"/>
        </w:rPr>
      </w:pPr>
      <w:r>
        <w:rPr>
          <w:lang w:val="en-GB"/>
        </w:rPr>
        <w:t>The Government has set six priority food and nutrition targets for 2000 and indicated their relevance as a field for action by governments and society.  These targets are:  reduction by at least 10 per cent of the incidence of low birth weight; a 50 per cent reduction in the occurrence of moderate and serious child malnutrition; a one</w:t>
      </w:r>
      <w:r>
        <w:rPr>
          <w:lang w:val="en-GB"/>
        </w:rPr>
        <w:noBreakHyphen/>
        <w:t>third reduction in the occurrence of anaemia in pregnant women; the control of disorders caused by iodine deficiency; the control of vitamin A deficiency as a public health problem; and the provision of conditions so that mothers may nourish their children until they are six months old exclusively by breastfeeding them and continue nurse them during a two</w:t>
      </w:r>
      <w:r>
        <w:rPr>
          <w:lang w:val="en-GB"/>
        </w:rPr>
        <w:noBreakHyphen/>
        <w:t>year transitional period.</w:t>
      </w:r>
    </w:p>
    <w:p w:rsidR="00000000" w:rsidRDefault="00000000"/>
    <w:p w:rsidR="00000000" w:rsidRDefault="00000000">
      <w:pPr>
        <w:pStyle w:val="ParaNo"/>
        <w:tabs>
          <w:tab w:val="clear" w:pos="360"/>
          <w:tab w:val="clear" w:pos="737"/>
        </w:tabs>
        <w:ind w:left="0" w:firstLine="0"/>
        <w:rPr>
          <w:lang w:val="en-GB"/>
        </w:rPr>
      </w:pPr>
      <w:r>
        <w:rPr>
          <w:lang w:val="en-GB"/>
        </w:rPr>
        <w:t>This is the context in which measures are being adopted in Brazil to disseminate basic knowledge about food.  Among these measures, it is worth underlining those related to education, campaigns in public health centres, and the use of radio and television.  Eating based on incorrect principles is associated with the population’s low educational level, but it is also affected by cultural factors and the pressure of the marketing campaigns of the big food industries.</w:t>
      </w:r>
    </w:p>
    <w:p w:rsidR="00000000" w:rsidRDefault="00000000"/>
    <w:p w:rsidR="00000000" w:rsidRDefault="00000000">
      <w:pPr>
        <w:pStyle w:val="ParaNo"/>
        <w:tabs>
          <w:tab w:val="clear" w:pos="360"/>
          <w:tab w:val="clear" w:pos="737"/>
        </w:tabs>
        <w:ind w:left="0" w:firstLine="0"/>
        <w:rPr>
          <w:lang w:val="en-GB"/>
        </w:rPr>
      </w:pPr>
      <w:r>
        <w:rPr>
          <w:lang w:val="en-GB"/>
        </w:rPr>
        <w:t>At this point of the report, the Committee asks States parties to address the agrarian reform issue, focusing on the following aspects:  promulgation of legislation, enforcement of current legislation, and monitoring of enforcement.  Before describing in as much detail as possible the agrarian reform process under way in Brazil, the Brazilian Government would like to point out to the Committee that agrarian reform in our country has historical and social aspects showing serious distortions that have become crystallized and which governmental action is seeking to redress.  Internal debate on this issue is intense, given the just expectations of broad sectors of society that aspire to better living standards.  In this debate, however, it is necessary to keep in perspective the evolution of the Brazilian land tenure structure so as to ensure greater equity and social justice.</w:t>
      </w:r>
    </w:p>
    <w:p w:rsidR="00000000" w:rsidRDefault="00000000"/>
    <w:p w:rsidR="00000000" w:rsidRDefault="00000000">
      <w:pPr>
        <w:pStyle w:val="ParaNo"/>
        <w:tabs>
          <w:tab w:val="clear" w:pos="360"/>
          <w:tab w:val="clear" w:pos="737"/>
        </w:tabs>
        <w:ind w:left="0" w:firstLine="0"/>
        <w:rPr>
          <w:lang w:val="en-GB"/>
        </w:rPr>
      </w:pPr>
      <w:r>
        <w:rPr>
          <w:lang w:val="en-GB"/>
        </w:rPr>
        <w:t>The Brazilian rural sector has entered a new era, thanks to the formulation of public policies specifically oriented towards family farming that reinforce the development profile of Brazilian agriculture, which is now more democratic in the provision of job and earning opportunities, as well as more efficient with respect to the use and conservation of natural resources.</w:t>
      </w:r>
    </w:p>
    <w:p w:rsidR="00000000" w:rsidRDefault="00000000"/>
    <w:p w:rsidR="00000000" w:rsidRDefault="00000000">
      <w:pPr>
        <w:pStyle w:val="ParaNo"/>
        <w:tabs>
          <w:tab w:val="clear" w:pos="360"/>
          <w:tab w:val="clear" w:pos="737"/>
        </w:tabs>
        <w:ind w:left="0" w:firstLine="0"/>
        <w:rPr>
          <w:lang w:val="en-GB"/>
        </w:rPr>
      </w:pPr>
      <w:r>
        <w:rPr>
          <w:lang w:val="en-GB"/>
        </w:rPr>
        <w:br w:type="page"/>
        <w:t>Greater coordination of agrarian reform and family farming actions is the core of the new agricultural policy oriented towards production, productivity and investment in technology, but above all centred on man and on his advancement as citizen.  The creation of the Agrarian Development Ministry was the Federal Government’s response to the need to improve the public sector’s performance in managing this new agricultural policy, which should contribute substantially to the emergence of a new rural world.</w:t>
      </w:r>
    </w:p>
    <w:p w:rsidR="00000000" w:rsidRDefault="00000000"/>
    <w:p w:rsidR="00000000" w:rsidRDefault="00000000">
      <w:pPr>
        <w:pStyle w:val="ParaNo"/>
        <w:tabs>
          <w:tab w:val="clear" w:pos="360"/>
          <w:tab w:val="clear" w:pos="737"/>
        </w:tabs>
        <w:ind w:left="0" w:firstLine="0"/>
        <w:rPr>
          <w:lang w:val="en-GB"/>
        </w:rPr>
      </w:pPr>
      <w:r>
        <w:rPr>
          <w:lang w:val="en-GB"/>
        </w:rPr>
        <w:t>All these initiatives are subject to the general orientation of rural development initiatives the planning and implementation of which should seek the participation and involvement of states, municipalities and civil society.  Moreover, these groups should act in a decentralized manner through councils representative of the players involved.  In this manner it will be possible to increase the quantity and improve the quality of agrarian reform and family farming policies.</w:t>
      </w:r>
    </w:p>
    <w:p w:rsidR="00000000" w:rsidRDefault="00000000"/>
    <w:p w:rsidR="00000000" w:rsidRDefault="00000000">
      <w:pPr>
        <w:pStyle w:val="ParaNo"/>
        <w:tabs>
          <w:tab w:val="clear" w:pos="360"/>
          <w:tab w:val="clear" w:pos="737"/>
        </w:tabs>
        <w:ind w:left="0" w:firstLine="0"/>
        <w:rPr>
          <w:lang w:val="en-GB"/>
        </w:rPr>
      </w:pPr>
      <w:r>
        <w:rPr>
          <w:lang w:val="en-GB"/>
        </w:rPr>
        <w:t>The figures hereunder clearly show the progress toward achieving settlement and family</w:t>
      </w:r>
      <w:r>
        <w:rPr>
          <w:lang w:val="en-GB"/>
        </w:rPr>
        <w:noBreakHyphen/>
        <w:t>farming financing targets.  For this reason, and so that future measures may be bolder, it is necessary that the effort to achieve national targets be shared by the states, municipalities and other interested entities, particularly those representing the programmes’ direct beneficiaries.</w:t>
      </w:r>
    </w:p>
    <w:p w:rsidR="00000000" w:rsidRDefault="00000000"/>
    <w:p w:rsidR="00000000" w:rsidRDefault="00000000">
      <w:pPr>
        <w:pStyle w:val="ParaNo"/>
        <w:tabs>
          <w:tab w:val="clear" w:pos="360"/>
          <w:tab w:val="clear" w:pos="737"/>
        </w:tabs>
        <w:ind w:left="0" w:firstLine="0"/>
        <w:rPr>
          <w:lang w:val="en-GB"/>
        </w:rPr>
      </w:pPr>
      <w:r>
        <w:rPr>
          <w:lang w:val="en-GB"/>
        </w:rPr>
        <w:t>From 1 January</w:t>
      </w:r>
      <w:r>
        <w:rPr>
          <w:lang w:val="en-GB"/>
        </w:rPr>
        <w:noBreakHyphen/>
        <w:t>20 December 1999, 85,327 rural</w:t>
      </w:r>
      <w:r>
        <w:rPr>
          <w:lang w:val="en-GB"/>
        </w:rPr>
        <w:noBreakHyphen/>
        <w:t>producer families were settled, bringing to 372,866 the number of families that benefited from agrarian reform during President Fernando Henrique Cardoso’s administration.  This is a record, as in the 30 years that followed the promulgation of the Land Statute in 1964, only 218,000 families had been settled.  The comparative table below reflects these developments.</w:t>
      </w:r>
    </w:p>
    <w:p w:rsidR="00000000" w:rsidRDefault="00000000"/>
    <w:p w:rsidR="00000000" w:rsidRDefault="00000000">
      <w:pPr>
        <w:jc w:val="center"/>
        <w:rPr>
          <w:b/>
          <w:bCs/>
        </w:rPr>
      </w:pPr>
      <w:r>
        <w:rPr>
          <w:b/>
          <w:bCs/>
        </w:rPr>
        <w:t>Table 47</w:t>
      </w:r>
    </w:p>
    <w:p w:rsidR="00000000" w:rsidRDefault="00000000">
      <w:pPr>
        <w:jc w:val="center"/>
        <w:rPr>
          <w:b/>
          <w:bCs/>
        </w:rPr>
      </w:pPr>
    </w:p>
    <w:p w:rsidR="00000000" w:rsidRDefault="00000000">
      <w:pPr>
        <w:jc w:val="center"/>
      </w:pPr>
      <w:r>
        <w:rPr>
          <w:b/>
          <w:bCs/>
        </w:rPr>
        <w:t>Families settled on the land, 1995</w:t>
      </w:r>
      <w:r>
        <w:rPr>
          <w:b/>
          <w:bCs/>
        </w:rPr>
        <w:noBreakHyphen/>
        <w:t>1999</w:t>
      </w:r>
    </w:p>
    <w:p w:rsidR="00000000" w:rsidRDefault="00000000">
      <w:pPr>
        <w:jc w:val="center"/>
      </w:pPr>
    </w:p>
    <w:tbl>
      <w:tblPr>
        <w:tblW w:w="0" w:type="auto"/>
        <w:jc w:val="center"/>
        <w:tblInd w:w="1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6"/>
        <w:gridCol w:w="2888"/>
      </w:tblGrid>
      <w:tr w:rsidR="00000000">
        <w:tblPrEx>
          <w:tblCellMar>
            <w:top w:w="0" w:type="dxa"/>
            <w:bottom w:w="0" w:type="dxa"/>
          </w:tblCellMar>
        </w:tblPrEx>
        <w:trPr>
          <w:jc w:val="center"/>
        </w:trPr>
        <w:tc>
          <w:tcPr>
            <w:tcW w:w="2596" w:type="dxa"/>
            <w:tcBorders>
              <w:bottom w:val="single" w:sz="4" w:space="0" w:color="auto"/>
            </w:tcBorders>
          </w:tcPr>
          <w:p w:rsidR="00000000" w:rsidRDefault="00000000">
            <w:pPr>
              <w:jc w:val="center"/>
            </w:pPr>
            <w:r>
              <w:t>Year</w:t>
            </w:r>
          </w:p>
        </w:tc>
        <w:tc>
          <w:tcPr>
            <w:tcW w:w="2888" w:type="dxa"/>
            <w:tcBorders>
              <w:bottom w:val="single" w:sz="4" w:space="0" w:color="auto"/>
            </w:tcBorders>
          </w:tcPr>
          <w:p w:rsidR="00000000" w:rsidRDefault="00000000">
            <w:pPr>
              <w:jc w:val="center"/>
            </w:pPr>
            <w:r>
              <w:t>Settled families</w:t>
            </w:r>
          </w:p>
        </w:tc>
      </w:tr>
      <w:tr w:rsidR="00000000">
        <w:tblPrEx>
          <w:tblCellMar>
            <w:top w:w="0" w:type="dxa"/>
            <w:bottom w:w="0" w:type="dxa"/>
          </w:tblCellMar>
        </w:tblPrEx>
        <w:trPr>
          <w:jc w:val="center"/>
        </w:trPr>
        <w:tc>
          <w:tcPr>
            <w:tcW w:w="2596" w:type="dxa"/>
            <w:tcBorders>
              <w:bottom w:val="nil"/>
            </w:tcBorders>
          </w:tcPr>
          <w:p w:rsidR="00000000" w:rsidRDefault="00000000">
            <w:pPr>
              <w:jc w:val="center"/>
            </w:pPr>
            <w:r>
              <w:t>1995</w:t>
            </w:r>
          </w:p>
        </w:tc>
        <w:tc>
          <w:tcPr>
            <w:tcW w:w="2888" w:type="dxa"/>
            <w:tcBorders>
              <w:bottom w:val="nil"/>
            </w:tcBorders>
          </w:tcPr>
          <w:p w:rsidR="00000000" w:rsidRDefault="00000000">
            <w:pPr>
              <w:tabs>
                <w:tab w:val="decimal" w:pos="1161"/>
              </w:tabs>
            </w:pPr>
            <w:r>
              <w:t>42 827</w:t>
            </w:r>
          </w:p>
        </w:tc>
      </w:tr>
      <w:tr w:rsidR="00000000">
        <w:tblPrEx>
          <w:tblCellMar>
            <w:top w:w="0" w:type="dxa"/>
            <w:bottom w:w="0" w:type="dxa"/>
          </w:tblCellMar>
        </w:tblPrEx>
        <w:trPr>
          <w:jc w:val="center"/>
        </w:trPr>
        <w:tc>
          <w:tcPr>
            <w:tcW w:w="2596" w:type="dxa"/>
            <w:tcBorders>
              <w:top w:val="nil"/>
              <w:bottom w:val="nil"/>
            </w:tcBorders>
          </w:tcPr>
          <w:p w:rsidR="00000000" w:rsidRDefault="00000000">
            <w:pPr>
              <w:jc w:val="center"/>
            </w:pPr>
            <w:r>
              <w:t>1996</w:t>
            </w:r>
          </w:p>
        </w:tc>
        <w:tc>
          <w:tcPr>
            <w:tcW w:w="2888" w:type="dxa"/>
            <w:tcBorders>
              <w:top w:val="nil"/>
              <w:bottom w:val="nil"/>
            </w:tcBorders>
          </w:tcPr>
          <w:p w:rsidR="00000000" w:rsidRDefault="00000000">
            <w:pPr>
              <w:tabs>
                <w:tab w:val="decimal" w:pos="1161"/>
              </w:tabs>
            </w:pPr>
            <w:r>
              <w:t>61 674</w:t>
            </w:r>
          </w:p>
        </w:tc>
      </w:tr>
      <w:tr w:rsidR="00000000">
        <w:tblPrEx>
          <w:tblCellMar>
            <w:top w:w="0" w:type="dxa"/>
            <w:bottom w:w="0" w:type="dxa"/>
          </w:tblCellMar>
        </w:tblPrEx>
        <w:trPr>
          <w:jc w:val="center"/>
        </w:trPr>
        <w:tc>
          <w:tcPr>
            <w:tcW w:w="2596" w:type="dxa"/>
            <w:tcBorders>
              <w:top w:val="nil"/>
              <w:bottom w:val="nil"/>
            </w:tcBorders>
          </w:tcPr>
          <w:p w:rsidR="00000000" w:rsidRDefault="00000000">
            <w:pPr>
              <w:jc w:val="center"/>
            </w:pPr>
            <w:r>
              <w:t>1997</w:t>
            </w:r>
          </w:p>
        </w:tc>
        <w:tc>
          <w:tcPr>
            <w:tcW w:w="2888" w:type="dxa"/>
            <w:tcBorders>
              <w:top w:val="nil"/>
              <w:bottom w:val="nil"/>
            </w:tcBorders>
          </w:tcPr>
          <w:p w:rsidR="00000000" w:rsidRDefault="00000000">
            <w:pPr>
              <w:tabs>
                <w:tab w:val="decimal" w:pos="1161"/>
              </w:tabs>
            </w:pPr>
            <w:r>
              <w:t>81 944</w:t>
            </w:r>
          </w:p>
        </w:tc>
      </w:tr>
      <w:tr w:rsidR="00000000">
        <w:tblPrEx>
          <w:tblCellMar>
            <w:top w:w="0" w:type="dxa"/>
            <w:bottom w:w="0" w:type="dxa"/>
          </w:tblCellMar>
        </w:tblPrEx>
        <w:trPr>
          <w:jc w:val="center"/>
        </w:trPr>
        <w:tc>
          <w:tcPr>
            <w:tcW w:w="2596" w:type="dxa"/>
            <w:tcBorders>
              <w:top w:val="nil"/>
              <w:bottom w:val="nil"/>
            </w:tcBorders>
          </w:tcPr>
          <w:p w:rsidR="00000000" w:rsidRDefault="00000000">
            <w:pPr>
              <w:jc w:val="center"/>
            </w:pPr>
            <w:r>
              <w:t>1998</w:t>
            </w:r>
          </w:p>
        </w:tc>
        <w:tc>
          <w:tcPr>
            <w:tcW w:w="2888" w:type="dxa"/>
            <w:tcBorders>
              <w:top w:val="nil"/>
              <w:bottom w:val="nil"/>
            </w:tcBorders>
          </w:tcPr>
          <w:p w:rsidR="00000000" w:rsidRDefault="00000000">
            <w:pPr>
              <w:tabs>
                <w:tab w:val="decimal" w:pos="1161"/>
              </w:tabs>
            </w:pPr>
            <w:r>
              <w:t>101 094</w:t>
            </w:r>
          </w:p>
        </w:tc>
      </w:tr>
      <w:tr w:rsidR="00000000">
        <w:tblPrEx>
          <w:tblCellMar>
            <w:top w:w="0" w:type="dxa"/>
            <w:bottom w:w="0" w:type="dxa"/>
          </w:tblCellMar>
        </w:tblPrEx>
        <w:trPr>
          <w:jc w:val="center"/>
        </w:trPr>
        <w:tc>
          <w:tcPr>
            <w:tcW w:w="2596" w:type="dxa"/>
            <w:tcBorders>
              <w:top w:val="nil"/>
              <w:bottom w:val="single" w:sz="4" w:space="0" w:color="auto"/>
            </w:tcBorders>
          </w:tcPr>
          <w:p w:rsidR="00000000" w:rsidRDefault="00000000">
            <w:pPr>
              <w:jc w:val="center"/>
            </w:pPr>
            <w:r>
              <w:t>1999</w:t>
            </w:r>
          </w:p>
        </w:tc>
        <w:tc>
          <w:tcPr>
            <w:tcW w:w="2888" w:type="dxa"/>
            <w:tcBorders>
              <w:top w:val="nil"/>
              <w:bottom w:val="single" w:sz="4" w:space="0" w:color="auto"/>
            </w:tcBorders>
          </w:tcPr>
          <w:p w:rsidR="00000000" w:rsidRDefault="00000000">
            <w:pPr>
              <w:tabs>
                <w:tab w:val="decimal" w:pos="1161"/>
              </w:tabs>
            </w:pPr>
            <w:r>
              <w:t>85 327</w:t>
            </w:r>
          </w:p>
        </w:tc>
      </w:tr>
      <w:tr w:rsidR="00000000">
        <w:tblPrEx>
          <w:tblCellMar>
            <w:top w:w="0" w:type="dxa"/>
            <w:bottom w:w="0" w:type="dxa"/>
          </w:tblCellMar>
        </w:tblPrEx>
        <w:trPr>
          <w:jc w:val="center"/>
        </w:trPr>
        <w:tc>
          <w:tcPr>
            <w:tcW w:w="2596" w:type="dxa"/>
            <w:tcBorders>
              <w:top w:val="single" w:sz="4" w:space="0" w:color="auto"/>
            </w:tcBorders>
          </w:tcPr>
          <w:p w:rsidR="00000000" w:rsidRDefault="00000000">
            <w:pPr>
              <w:jc w:val="center"/>
            </w:pPr>
            <w:r>
              <w:t>Total</w:t>
            </w:r>
          </w:p>
        </w:tc>
        <w:tc>
          <w:tcPr>
            <w:tcW w:w="2888" w:type="dxa"/>
            <w:tcBorders>
              <w:top w:val="single" w:sz="4" w:space="0" w:color="auto"/>
            </w:tcBorders>
          </w:tcPr>
          <w:p w:rsidR="00000000" w:rsidRDefault="00000000">
            <w:pPr>
              <w:tabs>
                <w:tab w:val="decimal" w:pos="1161"/>
              </w:tabs>
            </w:pPr>
            <w:r>
              <w:t>372 866*</w:t>
            </w:r>
          </w:p>
        </w:tc>
      </w:tr>
    </w:tbl>
    <w:p w:rsidR="00000000" w:rsidRDefault="00000000">
      <w:pPr>
        <w:rPr>
          <w:kern w:val="16"/>
        </w:rPr>
      </w:pPr>
    </w:p>
    <w:p w:rsidR="00000000" w:rsidRDefault="00000000">
      <w:pPr>
        <w:rPr>
          <w:kern w:val="16"/>
        </w:rPr>
      </w:pPr>
      <w:r>
        <w:rPr>
          <w:kern w:val="16"/>
        </w:rPr>
        <w:tab/>
      </w:r>
      <w:r>
        <w:rPr>
          <w:kern w:val="16"/>
        </w:rPr>
        <w:tab/>
      </w:r>
      <w:r>
        <w:rPr>
          <w:kern w:val="16"/>
        </w:rPr>
        <w:tab/>
        <w:t>*  This figure represents about 1.864,000 persons settled.</w:t>
      </w:r>
    </w:p>
    <w:p w:rsidR="00000000" w:rsidRDefault="00000000">
      <w:pPr>
        <w:rPr>
          <w:kern w:val="16"/>
        </w:rPr>
      </w:pPr>
    </w:p>
    <w:p w:rsidR="00000000" w:rsidRDefault="00000000">
      <w:pPr>
        <w:pStyle w:val="ParaNo"/>
        <w:tabs>
          <w:tab w:val="clear" w:pos="360"/>
          <w:tab w:val="clear" w:pos="737"/>
        </w:tabs>
        <w:ind w:left="0" w:firstLine="0"/>
        <w:rPr>
          <w:lang w:val="en-GB"/>
        </w:rPr>
      </w:pPr>
      <w:r>
        <w:rPr>
          <w:lang w:val="en-GB"/>
        </w:rPr>
        <w:t>From 1 January to 20 December 1999, the Government launched 2,723 settlement projects, as shown in the table below.</w:t>
      </w:r>
    </w:p>
    <w:p w:rsidR="00000000" w:rsidRDefault="00000000"/>
    <w:p w:rsidR="00000000" w:rsidRDefault="00000000">
      <w:pPr>
        <w:pStyle w:val="Heading1"/>
      </w:pPr>
      <w:r>
        <w:br w:type="page"/>
        <w:t>Table 48</w:t>
      </w:r>
    </w:p>
    <w:p w:rsidR="00000000" w:rsidRDefault="00000000"/>
    <w:p w:rsidR="00000000" w:rsidRDefault="00000000">
      <w:pPr>
        <w:pStyle w:val="Heading1"/>
      </w:pPr>
      <w:r>
        <w:t>Settlement projects 1995</w:t>
      </w:r>
      <w:r>
        <w:noBreakHyphen/>
        <w:t>1999</w:t>
      </w:r>
    </w:p>
    <w:p w:rsidR="00000000" w:rsidRDefault="00000000"/>
    <w:tbl>
      <w:tblPr>
        <w:tblW w:w="0" w:type="auto"/>
        <w:jc w:val="center"/>
        <w:tblInd w:w="88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161"/>
        <w:gridCol w:w="709"/>
        <w:gridCol w:w="709"/>
        <w:gridCol w:w="708"/>
        <w:gridCol w:w="709"/>
        <w:gridCol w:w="709"/>
        <w:gridCol w:w="975"/>
      </w:tblGrid>
      <w:tr w:rsidR="00000000">
        <w:tblPrEx>
          <w:tblCellMar>
            <w:top w:w="0" w:type="dxa"/>
            <w:bottom w:w="0" w:type="dxa"/>
          </w:tblCellMar>
        </w:tblPrEx>
        <w:trPr>
          <w:jc w:val="center"/>
        </w:trPr>
        <w:tc>
          <w:tcPr>
            <w:tcW w:w="2161" w:type="dxa"/>
          </w:tcPr>
          <w:p w:rsidR="00000000" w:rsidRDefault="00000000">
            <w:pPr>
              <w:jc w:val="center"/>
            </w:pPr>
            <w:r>
              <w:t>Year</w:t>
            </w:r>
          </w:p>
        </w:tc>
        <w:tc>
          <w:tcPr>
            <w:tcW w:w="709" w:type="dxa"/>
          </w:tcPr>
          <w:p w:rsidR="00000000" w:rsidRDefault="00000000">
            <w:pPr>
              <w:jc w:val="center"/>
            </w:pPr>
            <w:r>
              <w:t>1995</w:t>
            </w:r>
          </w:p>
        </w:tc>
        <w:tc>
          <w:tcPr>
            <w:tcW w:w="709" w:type="dxa"/>
          </w:tcPr>
          <w:p w:rsidR="00000000" w:rsidRDefault="00000000">
            <w:pPr>
              <w:jc w:val="center"/>
            </w:pPr>
            <w:r>
              <w:t>1996</w:t>
            </w:r>
          </w:p>
        </w:tc>
        <w:tc>
          <w:tcPr>
            <w:tcW w:w="708" w:type="dxa"/>
          </w:tcPr>
          <w:p w:rsidR="00000000" w:rsidRDefault="00000000">
            <w:pPr>
              <w:jc w:val="center"/>
            </w:pPr>
            <w:r>
              <w:t>1997</w:t>
            </w:r>
          </w:p>
        </w:tc>
        <w:tc>
          <w:tcPr>
            <w:tcW w:w="709" w:type="dxa"/>
          </w:tcPr>
          <w:p w:rsidR="00000000" w:rsidRDefault="00000000">
            <w:pPr>
              <w:jc w:val="center"/>
            </w:pPr>
            <w:r>
              <w:t>1998</w:t>
            </w:r>
          </w:p>
        </w:tc>
        <w:tc>
          <w:tcPr>
            <w:tcW w:w="709" w:type="dxa"/>
          </w:tcPr>
          <w:p w:rsidR="00000000" w:rsidRDefault="00000000">
            <w:pPr>
              <w:jc w:val="center"/>
            </w:pPr>
            <w:r>
              <w:t>1999</w:t>
            </w:r>
          </w:p>
        </w:tc>
        <w:tc>
          <w:tcPr>
            <w:tcW w:w="975" w:type="dxa"/>
          </w:tcPr>
          <w:p w:rsidR="00000000" w:rsidRDefault="00000000">
            <w:pPr>
              <w:jc w:val="center"/>
            </w:pPr>
            <w:r>
              <w:t>Total</w:t>
            </w:r>
          </w:p>
        </w:tc>
      </w:tr>
      <w:tr w:rsidR="00000000">
        <w:tblPrEx>
          <w:tblCellMar>
            <w:top w:w="0" w:type="dxa"/>
            <w:bottom w:w="0" w:type="dxa"/>
          </w:tblCellMar>
        </w:tblPrEx>
        <w:trPr>
          <w:jc w:val="center"/>
        </w:trPr>
        <w:tc>
          <w:tcPr>
            <w:tcW w:w="2161" w:type="dxa"/>
          </w:tcPr>
          <w:p w:rsidR="00000000" w:rsidRDefault="00000000">
            <w:r>
              <w:t>Projects launched</w:t>
            </w:r>
          </w:p>
        </w:tc>
        <w:tc>
          <w:tcPr>
            <w:tcW w:w="709" w:type="dxa"/>
          </w:tcPr>
          <w:p w:rsidR="00000000" w:rsidRDefault="00000000">
            <w:pPr>
              <w:jc w:val="center"/>
            </w:pPr>
            <w:r>
              <w:t>314</w:t>
            </w:r>
          </w:p>
        </w:tc>
        <w:tc>
          <w:tcPr>
            <w:tcW w:w="709" w:type="dxa"/>
          </w:tcPr>
          <w:p w:rsidR="00000000" w:rsidRDefault="00000000">
            <w:pPr>
              <w:jc w:val="center"/>
            </w:pPr>
            <w:r>
              <w:t>433</w:t>
            </w:r>
          </w:p>
        </w:tc>
        <w:tc>
          <w:tcPr>
            <w:tcW w:w="708" w:type="dxa"/>
          </w:tcPr>
          <w:p w:rsidR="00000000" w:rsidRDefault="00000000">
            <w:pPr>
              <w:jc w:val="center"/>
            </w:pPr>
            <w:r>
              <w:t>637</w:t>
            </w:r>
          </w:p>
        </w:tc>
        <w:tc>
          <w:tcPr>
            <w:tcW w:w="709" w:type="dxa"/>
          </w:tcPr>
          <w:p w:rsidR="00000000" w:rsidRDefault="00000000">
            <w:pPr>
              <w:jc w:val="center"/>
            </w:pPr>
            <w:r>
              <w:t>850</w:t>
            </w:r>
          </w:p>
        </w:tc>
        <w:tc>
          <w:tcPr>
            <w:tcW w:w="709" w:type="dxa"/>
          </w:tcPr>
          <w:p w:rsidR="00000000" w:rsidRDefault="00000000">
            <w:pPr>
              <w:jc w:val="center"/>
            </w:pPr>
            <w:r>
              <w:t>489</w:t>
            </w:r>
          </w:p>
        </w:tc>
        <w:tc>
          <w:tcPr>
            <w:tcW w:w="975" w:type="dxa"/>
          </w:tcPr>
          <w:p w:rsidR="00000000" w:rsidRDefault="00000000">
            <w:pPr>
              <w:jc w:val="center"/>
            </w:pPr>
            <w:r>
              <w:t>2 723</w:t>
            </w:r>
          </w:p>
        </w:tc>
      </w:tr>
    </w:tbl>
    <w:p w:rsidR="00000000" w:rsidRDefault="00000000"/>
    <w:p w:rsidR="00000000" w:rsidRDefault="00000000">
      <w:pPr>
        <w:pStyle w:val="ParaNo"/>
        <w:tabs>
          <w:tab w:val="clear" w:pos="360"/>
          <w:tab w:val="clear" w:pos="737"/>
        </w:tabs>
        <w:ind w:left="0" w:firstLine="0"/>
        <w:rPr>
          <w:lang w:val="en-GB"/>
        </w:rPr>
      </w:pPr>
      <w:r>
        <w:rPr>
          <w:lang w:val="en-GB"/>
        </w:rPr>
        <w:t>From the entry into force of the Land Statute in 1964 to the inauguration of President Cardoso on 1 January 1995, no more than 800 settlement projects, antecessors of current ones, had been implemented.</w:t>
      </w:r>
    </w:p>
    <w:p w:rsidR="00000000" w:rsidRDefault="00000000"/>
    <w:p w:rsidR="00000000" w:rsidRDefault="00000000">
      <w:pPr>
        <w:pStyle w:val="ParaNo"/>
        <w:tabs>
          <w:tab w:val="clear" w:pos="360"/>
          <w:tab w:val="clear" w:pos="737"/>
        </w:tabs>
        <w:ind w:left="0" w:firstLine="0"/>
        <w:rPr>
          <w:lang w:val="en-GB"/>
        </w:rPr>
      </w:pPr>
      <w:r>
        <w:rPr>
          <w:lang w:val="en-GB"/>
        </w:rPr>
        <w:t>From 1 January 1995 to 20 December 1999, 13,204,789 hectares of land were secured for agrarian reform.  Expropriation is the Government’s principal means of securing land for settling rural producers.  From 1 January 1995 to 17 December 1999, 8,785,114 hectares were expropriated, of which 1,463,844 hectares were expropriated between 1 January and 17 December 1999.</w:t>
      </w:r>
    </w:p>
    <w:p w:rsidR="00000000" w:rsidRDefault="00000000"/>
    <w:p w:rsidR="00000000" w:rsidRDefault="00000000">
      <w:pPr>
        <w:pStyle w:val="ParaNo"/>
        <w:tabs>
          <w:tab w:val="clear" w:pos="360"/>
          <w:tab w:val="clear" w:pos="737"/>
        </w:tabs>
        <w:ind w:left="0" w:firstLine="0"/>
        <w:rPr>
          <w:lang w:val="en-GB"/>
        </w:rPr>
      </w:pPr>
      <w:r>
        <w:rPr>
          <w:lang w:val="en-GB"/>
        </w:rPr>
        <w:t>From land donated by the Federation, 355,432 hectares were obtained between 1 January and 20 December 1999.</w:t>
      </w:r>
    </w:p>
    <w:p w:rsidR="00000000" w:rsidRDefault="00000000">
      <w:pPr>
        <w:rPr>
          <w:color w:val="000000"/>
          <w:kern w:val="20"/>
        </w:rPr>
      </w:pPr>
    </w:p>
    <w:p w:rsidR="00000000" w:rsidRDefault="00000000">
      <w:pPr>
        <w:jc w:val="center"/>
        <w:rPr>
          <w:b/>
          <w:bCs/>
          <w:color w:val="000000"/>
          <w:kern w:val="20"/>
        </w:rPr>
      </w:pPr>
      <w:r>
        <w:rPr>
          <w:b/>
          <w:bCs/>
          <w:color w:val="000000"/>
          <w:kern w:val="20"/>
        </w:rPr>
        <w:t>Table 49</w:t>
      </w:r>
    </w:p>
    <w:p w:rsidR="00000000" w:rsidRDefault="00000000">
      <w:pPr>
        <w:jc w:val="center"/>
        <w:rPr>
          <w:b/>
          <w:bCs/>
          <w:color w:val="000000"/>
          <w:kern w:val="20"/>
        </w:rPr>
      </w:pPr>
    </w:p>
    <w:p w:rsidR="00000000" w:rsidRDefault="00000000">
      <w:pPr>
        <w:jc w:val="center"/>
        <w:rPr>
          <w:b/>
          <w:bCs/>
          <w:color w:val="000000"/>
          <w:kern w:val="20"/>
        </w:rPr>
      </w:pPr>
      <w:r>
        <w:rPr>
          <w:b/>
          <w:bCs/>
          <w:color w:val="000000"/>
          <w:kern w:val="20"/>
        </w:rPr>
        <w:t>Hectares expropriated 1985</w:t>
      </w:r>
      <w:r>
        <w:rPr>
          <w:b/>
          <w:bCs/>
          <w:color w:val="000000"/>
          <w:kern w:val="20"/>
        </w:rPr>
        <w:noBreakHyphen/>
        <w:t>1999</w:t>
      </w:r>
    </w:p>
    <w:p w:rsidR="00000000" w:rsidRDefault="00000000">
      <w:pPr>
        <w:rPr>
          <w:color w:val="000000"/>
          <w:kern w:val="20"/>
        </w:rPr>
      </w:pPr>
    </w:p>
    <w:tbl>
      <w:tblPr>
        <w:tblW w:w="0" w:type="auto"/>
        <w:tblInd w:w="21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985"/>
        <w:gridCol w:w="2977"/>
      </w:tblGrid>
      <w:tr w:rsidR="00000000">
        <w:tblPrEx>
          <w:tblCellMar>
            <w:top w:w="0" w:type="dxa"/>
            <w:bottom w:w="0" w:type="dxa"/>
          </w:tblCellMar>
        </w:tblPrEx>
        <w:tc>
          <w:tcPr>
            <w:tcW w:w="1985" w:type="dxa"/>
            <w:tcBorders>
              <w:bottom w:val="single" w:sz="6" w:space="0" w:color="auto"/>
            </w:tcBorders>
          </w:tcPr>
          <w:p w:rsidR="00000000" w:rsidRDefault="00000000">
            <w:pPr>
              <w:jc w:val="center"/>
              <w:rPr>
                <w:color w:val="000000"/>
              </w:rPr>
            </w:pPr>
            <w:r>
              <w:rPr>
                <w:color w:val="000000"/>
              </w:rPr>
              <w:t>Year</w:t>
            </w:r>
          </w:p>
        </w:tc>
        <w:tc>
          <w:tcPr>
            <w:tcW w:w="2977" w:type="dxa"/>
            <w:tcBorders>
              <w:bottom w:val="single" w:sz="6" w:space="0" w:color="auto"/>
            </w:tcBorders>
          </w:tcPr>
          <w:p w:rsidR="00000000" w:rsidRDefault="00000000">
            <w:pPr>
              <w:jc w:val="center"/>
              <w:rPr>
                <w:color w:val="000000"/>
              </w:rPr>
            </w:pPr>
            <w:r>
              <w:rPr>
                <w:color w:val="000000"/>
              </w:rPr>
              <w:t>Expropriated hectares</w:t>
            </w:r>
          </w:p>
        </w:tc>
      </w:tr>
      <w:tr w:rsidR="00000000">
        <w:tblPrEx>
          <w:tblCellMar>
            <w:top w:w="0" w:type="dxa"/>
            <w:bottom w:w="0" w:type="dxa"/>
          </w:tblCellMar>
        </w:tblPrEx>
        <w:tc>
          <w:tcPr>
            <w:tcW w:w="1985" w:type="dxa"/>
            <w:tcBorders>
              <w:bottom w:val="nil"/>
            </w:tcBorders>
          </w:tcPr>
          <w:p w:rsidR="00000000" w:rsidRDefault="00000000">
            <w:pPr>
              <w:jc w:val="center"/>
              <w:rPr>
                <w:color w:val="000000"/>
              </w:rPr>
            </w:pPr>
            <w:r>
              <w:rPr>
                <w:color w:val="000000"/>
              </w:rPr>
              <w:t>1985/89</w:t>
            </w:r>
          </w:p>
        </w:tc>
        <w:tc>
          <w:tcPr>
            <w:tcW w:w="2977" w:type="dxa"/>
            <w:tcBorders>
              <w:bottom w:val="nil"/>
            </w:tcBorders>
          </w:tcPr>
          <w:p w:rsidR="00000000" w:rsidRDefault="00000000">
            <w:pPr>
              <w:jc w:val="center"/>
              <w:rPr>
                <w:color w:val="000000"/>
              </w:rPr>
            </w:pPr>
            <w:r>
              <w:rPr>
                <w:color w:val="000000"/>
              </w:rPr>
              <w:t>4 191 147</w:t>
            </w:r>
          </w:p>
        </w:tc>
      </w:tr>
      <w:tr w:rsidR="00000000">
        <w:tblPrEx>
          <w:tblCellMar>
            <w:top w:w="0" w:type="dxa"/>
            <w:bottom w:w="0" w:type="dxa"/>
          </w:tblCellMar>
        </w:tblPrEx>
        <w:tc>
          <w:tcPr>
            <w:tcW w:w="1985" w:type="dxa"/>
            <w:tcBorders>
              <w:top w:val="nil"/>
              <w:bottom w:val="nil"/>
            </w:tcBorders>
          </w:tcPr>
          <w:p w:rsidR="00000000" w:rsidRDefault="00000000">
            <w:pPr>
              <w:jc w:val="center"/>
              <w:rPr>
                <w:color w:val="000000"/>
              </w:rPr>
            </w:pPr>
            <w:r>
              <w:rPr>
                <w:color w:val="000000"/>
              </w:rPr>
              <w:t>1990/93</w:t>
            </w:r>
          </w:p>
        </w:tc>
        <w:tc>
          <w:tcPr>
            <w:tcW w:w="2977" w:type="dxa"/>
            <w:tcBorders>
              <w:top w:val="nil"/>
              <w:bottom w:val="nil"/>
            </w:tcBorders>
          </w:tcPr>
          <w:p w:rsidR="00000000" w:rsidRDefault="00000000">
            <w:pPr>
              <w:jc w:val="center"/>
              <w:rPr>
                <w:color w:val="000000"/>
              </w:rPr>
            </w:pPr>
            <w:r>
              <w:rPr>
                <w:color w:val="000000"/>
              </w:rPr>
              <w:t>2 775 282</w:t>
            </w:r>
          </w:p>
        </w:tc>
      </w:tr>
      <w:tr w:rsidR="00000000">
        <w:tblPrEx>
          <w:tblCellMar>
            <w:top w:w="0" w:type="dxa"/>
            <w:bottom w:w="0" w:type="dxa"/>
          </w:tblCellMar>
        </w:tblPrEx>
        <w:tc>
          <w:tcPr>
            <w:tcW w:w="1985" w:type="dxa"/>
            <w:tcBorders>
              <w:top w:val="nil"/>
              <w:bottom w:val="nil"/>
            </w:tcBorders>
          </w:tcPr>
          <w:p w:rsidR="00000000" w:rsidRDefault="00000000">
            <w:pPr>
              <w:jc w:val="center"/>
              <w:rPr>
                <w:color w:val="000000"/>
              </w:rPr>
            </w:pPr>
            <w:r>
              <w:rPr>
                <w:color w:val="000000"/>
              </w:rPr>
              <w:t>1993/94</w:t>
            </w:r>
          </w:p>
        </w:tc>
        <w:tc>
          <w:tcPr>
            <w:tcW w:w="2977" w:type="dxa"/>
            <w:tcBorders>
              <w:top w:val="nil"/>
              <w:bottom w:val="nil"/>
            </w:tcBorders>
          </w:tcPr>
          <w:p w:rsidR="00000000" w:rsidRDefault="00000000">
            <w:pPr>
              <w:jc w:val="center"/>
              <w:rPr>
                <w:color w:val="000000"/>
              </w:rPr>
            </w:pPr>
            <w:r>
              <w:rPr>
                <w:color w:val="000000"/>
              </w:rPr>
              <w:t>1 086 546</w:t>
            </w:r>
          </w:p>
        </w:tc>
      </w:tr>
      <w:tr w:rsidR="00000000">
        <w:tblPrEx>
          <w:tblCellMar>
            <w:top w:w="0" w:type="dxa"/>
            <w:bottom w:w="0" w:type="dxa"/>
          </w:tblCellMar>
        </w:tblPrEx>
        <w:tc>
          <w:tcPr>
            <w:tcW w:w="1985" w:type="dxa"/>
            <w:tcBorders>
              <w:top w:val="nil"/>
              <w:bottom w:val="nil"/>
            </w:tcBorders>
          </w:tcPr>
          <w:p w:rsidR="00000000" w:rsidRDefault="00000000">
            <w:pPr>
              <w:jc w:val="center"/>
              <w:rPr>
                <w:color w:val="000000"/>
              </w:rPr>
            </w:pPr>
            <w:r>
              <w:rPr>
                <w:color w:val="000000"/>
              </w:rPr>
              <w:t>1995/98</w:t>
            </w:r>
          </w:p>
        </w:tc>
        <w:tc>
          <w:tcPr>
            <w:tcW w:w="2977" w:type="dxa"/>
            <w:tcBorders>
              <w:top w:val="nil"/>
              <w:bottom w:val="nil"/>
            </w:tcBorders>
          </w:tcPr>
          <w:p w:rsidR="00000000" w:rsidRDefault="00000000">
            <w:pPr>
              <w:jc w:val="center"/>
              <w:rPr>
                <w:color w:val="000000"/>
              </w:rPr>
            </w:pPr>
            <w:r>
              <w:rPr>
                <w:color w:val="000000"/>
              </w:rPr>
              <w:t>7 321 270</w:t>
            </w:r>
          </w:p>
        </w:tc>
      </w:tr>
      <w:tr w:rsidR="00000000">
        <w:tblPrEx>
          <w:tblCellMar>
            <w:top w:w="0" w:type="dxa"/>
            <w:bottom w:w="0" w:type="dxa"/>
          </w:tblCellMar>
        </w:tblPrEx>
        <w:tc>
          <w:tcPr>
            <w:tcW w:w="1985" w:type="dxa"/>
            <w:tcBorders>
              <w:top w:val="nil"/>
              <w:bottom w:val="nil"/>
            </w:tcBorders>
          </w:tcPr>
          <w:p w:rsidR="00000000" w:rsidRDefault="00000000">
            <w:pPr>
              <w:rPr>
                <w:color w:val="000000"/>
              </w:rPr>
            </w:pPr>
            <w:r>
              <w:rPr>
                <w:color w:val="000000"/>
              </w:rPr>
              <w:t>         1999</w:t>
            </w:r>
          </w:p>
        </w:tc>
        <w:tc>
          <w:tcPr>
            <w:tcW w:w="2977" w:type="dxa"/>
            <w:tcBorders>
              <w:top w:val="nil"/>
              <w:bottom w:val="nil"/>
            </w:tcBorders>
          </w:tcPr>
          <w:p w:rsidR="00000000" w:rsidRDefault="00000000">
            <w:pPr>
              <w:jc w:val="center"/>
              <w:rPr>
                <w:color w:val="000000"/>
              </w:rPr>
            </w:pPr>
            <w:r>
              <w:rPr>
                <w:color w:val="000000"/>
              </w:rPr>
              <w:t>1 463 844</w:t>
            </w:r>
          </w:p>
        </w:tc>
      </w:tr>
      <w:tr w:rsidR="00000000">
        <w:tblPrEx>
          <w:tblCellMar>
            <w:top w:w="0" w:type="dxa"/>
            <w:bottom w:w="0" w:type="dxa"/>
          </w:tblCellMar>
        </w:tblPrEx>
        <w:tc>
          <w:tcPr>
            <w:tcW w:w="1985" w:type="dxa"/>
            <w:tcBorders>
              <w:top w:val="nil"/>
            </w:tcBorders>
          </w:tcPr>
          <w:p w:rsidR="00000000" w:rsidRDefault="00000000">
            <w:pPr>
              <w:jc w:val="center"/>
              <w:rPr>
                <w:color w:val="000000"/>
              </w:rPr>
            </w:pPr>
            <w:r>
              <w:rPr>
                <w:color w:val="000000"/>
              </w:rPr>
              <w:t>1995/99</w:t>
            </w:r>
          </w:p>
        </w:tc>
        <w:tc>
          <w:tcPr>
            <w:tcW w:w="2977" w:type="dxa"/>
            <w:tcBorders>
              <w:top w:val="nil"/>
            </w:tcBorders>
          </w:tcPr>
          <w:p w:rsidR="00000000" w:rsidRDefault="00000000">
            <w:pPr>
              <w:jc w:val="center"/>
              <w:rPr>
                <w:color w:val="000000"/>
              </w:rPr>
            </w:pPr>
            <w:r>
              <w:rPr>
                <w:color w:val="000000"/>
              </w:rPr>
              <w:t>8 785 114</w:t>
            </w:r>
          </w:p>
        </w:tc>
      </w:tr>
    </w:tbl>
    <w:p w:rsidR="00000000" w:rsidRDefault="00000000"/>
    <w:p w:rsidR="00000000" w:rsidRDefault="00000000">
      <w:pPr>
        <w:pStyle w:val="ParaNo"/>
        <w:tabs>
          <w:tab w:val="clear" w:pos="360"/>
          <w:tab w:val="clear" w:pos="737"/>
        </w:tabs>
        <w:ind w:left="0" w:firstLine="0"/>
        <w:rPr>
          <w:lang w:val="en-GB"/>
        </w:rPr>
      </w:pPr>
      <w:r>
        <w:rPr>
          <w:lang w:val="en-GB"/>
        </w:rPr>
        <w:t>Land tenure monitoring studies carried out by the National Settlement and Agrarian Reform Institute</w:t>
      </w:r>
      <w:r>
        <w:rPr>
          <w:lang w:val="en-GB"/>
        </w:rPr>
        <w:noBreakHyphen/>
        <w:t>INCRA show that the total cost of rural property per family, in current values, was Cr$ 19,412.74 in 1995.  Today, the cost has dropped to Cr$ 8,294.83, a 50 per cent reduction.  In 1995 the average cost of a hectare was Cr$ 382.67 as compared with Cr$ 264.75 today.</w:t>
      </w:r>
      <w:r>
        <w:rPr>
          <w:lang w:val="en-GB"/>
        </w:rPr>
        <w:br/>
      </w:r>
    </w:p>
    <w:p w:rsidR="00000000" w:rsidRDefault="00000000">
      <w:pPr>
        <w:pStyle w:val="ParaNo"/>
        <w:tabs>
          <w:tab w:val="clear" w:pos="360"/>
          <w:tab w:val="clear" w:pos="737"/>
        </w:tabs>
        <w:ind w:left="0" w:firstLine="0"/>
        <w:rPr>
          <w:lang w:val="en-GB"/>
        </w:rPr>
      </w:pPr>
      <w:r>
        <w:rPr>
          <w:lang w:val="en-GB"/>
        </w:rPr>
        <w:t>The two comparative tables below show the total value of rural property per family and the total value of rural property per hectare, respectively, in the period 1995</w:t>
      </w:r>
      <w:r>
        <w:rPr>
          <w:lang w:val="en-GB"/>
        </w:rPr>
        <w:noBreakHyphen/>
        <w:t>1999.</w:t>
      </w:r>
    </w:p>
    <w:p w:rsidR="00000000" w:rsidRDefault="00000000">
      <w:pPr>
        <w:jc w:val="center"/>
        <w:rPr>
          <w:b/>
          <w:kern w:val="20"/>
        </w:rPr>
      </w:pPr>
    </w:p>
    <w:p w:rsidR="00000000" w:rsidRDefault="00000000">
      <w:pPr>
        <w:jc w:val="center"/>
        <w:rPr>
          <w:b/>
          <w:kern w:val="20"/>
        </w:rPr>
      </w:pPr>
      <w:r>
        <w:rPr>
          <w:b/>
          <w:kern w:val="20"/>
        </w:rPr>
        <w:br w:type="page"/>
        <w:t>Table 50</w:t>
      </w:r>
    </w:p>
    <w:p w:rsidR="00000000" w:rsidRDefault="00000000">
      <w:pPr>
        <w:jc w:val="center"/>
        <w:rPr>
          <w:b/>
          <w:kern w:val="20"/>
        </w:rPr>
      </w:pPr>
    </w:p>
    <w:p w:rsidR="00000000" w:rsidRDefault="00000000">
      <w:pPr>
        <w:jc w:val="center"/>
        <w:rPr>
          <w:b/>
          <w:kern w:val="20"/>
        </w:rPr>
      </w:pPr>
      <w:r>
        <w:rPr>
          <w:b/>
          <w:kern w:val="20"/>
        </w:rPr>
        <w:t xml:space="preserve">Total value of rural property </w:t>
      </w:r>
    </w:p>
    <w:p w:rsidR="00000000" w:rsidRDefault="00000000">
      <w:pPr>
        <w:jc w:val="center"/>
        <w:rPr>
          <w:b/>
          <w:kern w:val="20"/>
        </w:rPr>
      </w:pPr>
    </w:p>
    <w:p w:rsidR="00000000" w:rsidRDefault="00000000">
      <w:pPr>
        <w:jc w:val="center"/>
        <w:rPr>
          <w:b/>
          <w:kern w:val="20"/>
        </w:rPr>
      </w:pPr>
      <w:r>
        <w:rPr>
          <w:b/>
          <w:kern w:val="20"/>
        </w:rPr>
        <w:t>A.  Per family</w:t>
      </w:r>
    </w:p>
    <w:p w:rsidR="00000000" w:rsidRDefault="00000000">
      <w:pPr>
        <w:jc w:val="center"/>
        <w:rPr>
          <w:b/>
          <w:kern w:val="20"/>
        </w:rPr>
      </w:pPr>
    </w:p>
    <w:tbl>
      <w:tblPr>
        <w:tblW w:w="0" w:type="auto"/>
        <w:tblInd w:w="233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127"/>
        <w:gridCol w:w="2268"/>
      </w:tblGrid>
      <w:tr w:rsidR="00000000">
        <w:tblPrEx>
          <w:tblCellMar>
            <w:top w:w="0" w:type="dxa"/>
            <w:bottom w:w="0" w:type="dxa"/>
          </w:tblCellMar>
        </w:tblPrEx>
        <w:tc>
          <w:tcPr>
            <w:tcW w:w="2127" w:type="dxa"/>
            <w:tcBorders>
              <w:bottom w:val="single" w:sz="6" w:space="0" w:color="auto"/>
            </w:tcBorders>
          </w:tcPr>
          <w:p w:rsidR="00000000" w:rsidRDefault="00000000">
            <w:pPr>
              <w:jc w:val="center"/>
            </w:pPr>
            <w:r>
              <w:t>Year</w:t>
            </w:r>
          </w:p>
        </w:tc>
        <w:tc>
          <w:tcPr>
            <w:tcW w:w="2268" w:type="dxa"/>
            <w:tcBorders>
              <w:bottom w:val="single" w:sz="6" w:space="0" w:color="auto"/>
            </w:tcBorders>
          </w:tcPr>
          <w:p w:rsidR="00000000" w:rsidRDefault="00000000">
            <w:pPr>
              <w:jc w:val="center"/>
            </w:pPr>
            <w:r>
              <w:t>Cr$/family</w:t>
            </w:r>
          </w:p>
        </w:tc>
      </w:tr>
      <w:tr w:rsidR="00000000">
        <w:tblPrEx>
          <w:tblCellMar>
            <w:top w:w="0" w:type="dxa"/>
            <w:bottom w:w="0" w:type="dxa"/>
          </w:tblCellMar>
        </w:tblPrEx>
        <w:tc>
          <w:tcPr>
            <w:tcW w:w="2127" w:type="dxa"/>
            <w:tcBorders>
              <w:bottom w:val="nil"/>
            </w:tcBorders>
          </w:tcPr>
          <w:p w:rsidR="00000000" w:rsidRDefault="00000000">
            <w:pPr>
              <w:jc w:val="center"/>
            </w:pPr>
            <w:r>
              <w:t>1995</w:t>
            </w:r>
          </w:p>
        </w:tc>
        <w:tc>
          <w:tcPr>
            <w:tcW w:w="2268" w:type="dxa"/>
            <w:tcBorders>
              <w:bottom w:val="nil"/>
            </w:tcBorders>
          </w:tcPr>
          <w:p w:rsidR="00000000" w:rsidRDefault="00000000">
            <w:pPr>
              <w:tabs>
                <w:tab w:val="decimal" w:pos="497"/>
              </w:tabs>
            </w:pPr>
            <w:r>
              <w:t>19 412.74</w:t>
            </w:r>
          </w:p>
        </w:tc>
      </w:tr>
      <w:tr w:rsidR="00000000">
        <w:tblPrEx>
          <w:tblCellMar>
            <w:top w:w="0" w:type="dxa"/>
            <w:bottom w:w="0" w:type="dxa"/>
          </w:tblCellMar>
        </w:tblPrEx>
        <w:tc>
          <w:tcPr>
            <w:tcW w:w="2127" w:type="dxa"/>
            <w:tcBorders>
              <w:top w:val="nil"/>
              <w:bottom w:val="nil"/>
            </w:tcBorders>
          </w:tcPr>
          <w:p w:rsidR="00000000" w:rsidRDefault="00000000">
            <w:pPr>
              <w:jc w:val="center"/>
            </w:pPr>
            <w:r>
              <w:t>1996</w:t>
            </w:r>
          </w:p>
        </w:tc>
        <w:tc>
          <w:tcPr>
            <w:tcW w:w="2268" w:type="dxa"/>
            <w:tcBorders>
              <w:top w:val="nil"/>
              <w:bottom w:val="nil"/>
            </w:tcBorders>
          </w:tcPr>
          <w:p w:rsidR="00000000" w:rsidRDefault="00000000">
            <w:pPr>
              <w:tabs>
                <w:tab w:val="decimal" w:pos="497"/>
              </w:tabs>
            </w:pPr>
            <w:r>
              <w:t>16 385.04</w:t>
            </w:r>
          </w:p>
        </w:tc>
      </w:tr>
      <w:tr w:rsidR="00000000">
        <w:tblPrEx>
          <w:tblCellMar>
            <w:top w:w="0" w:type="dxa"/>
            <w:bottom w:w="0" w:type="dxa"/>
          </w:tblCellMar>
        </w:tblPrEx>
        <w:tc>
          <w:tcPr>
            <w:tcW w:w="2127" w:type="dxa"/>
            <w:tcBorders>
              <w:top w:val="nil"/>
              <w:bottom w:val="nil"/>
            </w:tcBorders>
          </w:tcPr>
          <w:p w:rsidR="00000000" w:rsidRDefault="00000000">
            <w:pPr>
              <w:jc w:val="center"/>
            </w:pPr>
            <w:r>
              <w:t>1997</w:t>
            </w:r>
          </w:p>
        </w:tc>
        <w:tc>
          <w:tcPr>
            <w:tcW w:w="2268" w:type="dxa"/>
            <w:tcBorders>
              <w:top w:val="nil"/>
              <w:bottom w:val="nil"/>
            </w:tcBorders>
          </w:tcPr>
          <w:p w:rsidR="00000000" w:rsidRDefault="00000000">
            <w:pPr>
              <w:tabs>
                <w:tab w:val="decimal" w:pos="497"/>
              </w:tabs>
            </w:pPr>
            <w:r>
              <w:t>14 614.59</w:t>
            </w:r>
          </w:p>
        </w:tc>
      </w:tr>
      <w:tr w:rsidR="00000000">
        <w:tblPrEx>
          <w:tblCellMar>
            <w:top w:w="0" w:type="dxa"/>
            <w:bottom w:w="0" w:type="dxa"/>
          </w:tblCellMar>
        </w:tblPrEx>
        <w:tc>
          <w:tcPr>
            <w:tcW w:w="2127" w:type="dxa"/>
            <w:tcBorders>
              <w:top w:val="nil"/>
              <w:bottom w:val="nil"/>
            </w:tcBorders>
          </w:tcPr>
          <w:p w:rsidR="00000000" w:rsidRDefault="00000000">
            <w:pPr>
              <w:jc w:val="center"/>
            </w:pPr>
            <w:r>
              <w:t>1998</w:t>
            </w:r>
          </w:p>
        </w:tc>
        <w:tc>
          <w:tcPr>
            <w:tcW w:w="2268" w:type="dxa"/>
            <w:tcBorders>
              <w:top w:val="nil"/>
              <w:bottom w:val="nil"/>
            </w:tcBorders>
          </w:tcPr>
          <w:p w:rsidR="00000000" w:rsidRDefault="00000000">
            <w:pPr>
              <w:tabs>
                <w:tab w:val="decimal" w:pos="497"/>
              </w:tabs>
            </w:pPr>
            <w:r>
              <w:t>10 116.34</w:t>
            </w:r>
          </w:p>
        </w:tc>
      </w:tr>
      <w:tr w:rsidR="00000000">
        <w:tblPrEx>
          <w:tblCellMar>
            <w:top w:w="0" w:type="dxa"/>
            <w:bottom w:w="0" w:type="dxa"/>
          </w:tblCellMar>
        </w:tblPrEx>
        <w:tc>
          <w:tcPr>
            <w:tcW w:w="2127" w:type="dxa"/>
            <w:tcBorders>
              <w:top w:val="nil"/>
            </w:tcBorders>
          </w:tcPr>
          <w:p w:rsidR="00000000" w:rsidRDefault="00000000">
            <w:pPr>
              <w:jc w:val="center"/>
            </w:pPr>
            <w:r>
              <w:t>1999</w:t>
            </w:r>
          </w:p>
        </w:tc>
        <w:tc>
          <w:tcPr>
            <w:tcW w:w="2268" w:type="dxa"/>
            <w:tcBorders>
              <w:top w:val="nil"/>
            </w:tcBorders>
          </w:tcPr>
          <w:p w:rsidR="00000000" w:rsidRDefault="00000000">
            <w:pPr>
              <w:tabs>
                <w:tab w:val="decimal" w:pos="497"/>
              </w:tabs>
            </w:pPr>
            <w:r>
              <w:t>8 294.83</w:t>
            </w:r>
          </w:p>
        </w:tc>
      </w:tr>
    </w:tbl>
    <w:p w:rsidR="00000000" w:rsidRDefault="00000000">
      <w:pPr>
        <w:jc w:val="center"/>
        <w:rPr>
          <w:color w:val="000000"/>
        </w:rPr>
      </w:pPr>
    </w:p>
    <w:p w:rsidR="00000000" w:rsidRDefault="00000000">
      <w:pPr>
        <w:jc w:val="center"/>
        <w:rPr>
          <w:color w:val="000000"/>
        </w:rPr>
      </w:pPr>
      <w:r>
        <w:rPr>
          <w:b/>
          <w:bCs/>
          <w:color w:val="000000"/>
        </w:rPr>
        <w:t>B.  Per hectare</w:t>
      </w:r>
    </w:p>
    <w:p w:rsidR="00000000" w:rsidRDefault="00000000">
      <w:pPr>
        <w:jc w:val="center"/>
        <w:rPr>
          <w:color w:val="000000"/>
        </w:rPr>
      </w:pPr>
    </w:p>
    <w:tbl>
      <w:tblPr>
        <w:tblW w:w="0" w:type="auto"/>
        <w:tblInd w:w="233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127"/>
        <w:gridCol w:w="2268"/>
      </w:tblGrid>
      <w:tr w:rsidR="00000000">
        <w:tblPrEx>
          <w:tblCellMar>
            <w:top w:w="0" w:type="dxa"/>
            <w:bottom w:w="0" w:type="dxa"/>
          </w:tblCellMar>
        </w:tblPrEx>
        <w:tc>
          <w:tcPr>
            <w:tcW w:w="2127" w:type="dxa"/>
            <w:tcBorders>
              <w:bottom w:val="single" w:sz="6" w:space="0" w:color="auto"/>
            </w:tcBorders>
          </w:tcPr>
          <w:p w:rsidR="00000000" w:rsidRDefault="00000000">
            <w:pPr>
              <w:jc w:val="center"/>
              <w:rPr>
                <w:bCs/>
                <w:iCs/>
                <w:color w:val="000000"/>
              </w:rPr>
            </w:pPr>
            <w:r>
              <w:rPr>
                <w:bCs/>
                <w:iCs/>
                <w:color w:val="000000"/>
              </w:rPr>
              <w:t>Year</w:t>
            </w:r>
          </w:p>
        </w:tc>
        <w:tc>
          <w:tcPr>
            <w:tcW w:w="2268" w:type="dxa"/>
            <w:tcBorders>
              <w:bottom w:val="single" w:sz="6" w:space="0" w:color="auto"/>
            </w:tcBorders>
          </w:tcPr>
          <w:p w:rsidR="00000000" w:rsidRDefault="00000000">
            <w:pPr>
              <w:ind w:right="-70"/>
              <w:rPr>
                <w:bCs/>
                <w:iCs/>
                <w:color w:val="000000"/>
              </w:rPr>
            </w:pPr>
            <w:r>
              <w:rPr>
                <w:bCs/>
                <w:iCs/>
                <w:color w:val="000000"/>
              </w:rPr>
              <w:t xml:space="preserve">       Cr$/ha</w:t>
            </w:r>
          </w:p>
        </w:tc>
      </w:tr>
      <w:tr w:rsidR="00000000">
        <w:tblPrEx>
          <w:tblCellMar>
            <w:top w:w="0" w:type="dxa"/>
            <w:bottom w:w="0" w:type="dxa"/>
          </w:tblCellMar>
        </w:tblPrEx>
        <w:tc>
          <w:tcPr>
            <w:tcW w:w="2127" w:type="dxa"/>
            <w:tcBorders>
              <w:bottom w:val="nil"/>
            </w:tcBorders>
          </w:tcPr>
          <w:p w:rsidR="00000000" w:rsidRDefault="00000000">
            <w:pPr>
              <w:jc w:val="center"/>
              <w:rPr>
                <w:bCs/>
                <w:iCs/>
                <w:color w:val="000000"/>
              </w:rPr>
            </w:pPr>
            <w:r>
              <w:rPr>
                <w:bCs/>
                <w:iCs/>
                <w:color w:val="000000"/>
              </w:rPr>
              <w:t>1995</w:t>
            </w:r>
          </w:p>
        </w:tc>
        <w:tc>
          <w:tcPr>
            <w:tcW w:w="2268" w:type="dxa"/>
            <w:tcBorders>
              <w:bottom w:val="nil"/>
            </w:tcBorders>
          </w:tcPr>
          <w:p w:rsidR="00000000" w:rsidRDefault="00000000">
            <w:pPr>
              <w:jc w:val="center"/>
              <w:rPr>
                <w:bCs/>
                <w:iCs/>
                <w:color w:val="000000"/>
              </w:rPr>
            </w:pPr>
            <w:r>
              <w:rPr>
                <w:bCs/>
                <w:iCs/>
                <w:color w:val="000000"/>
              </w:rPr>
              <w:t>382.67</w:t>
            </w:r>
          </w:p>
        </w:tc>
      </w:tr>
      <w:tr w:rsidR="00000000">
        <w:tblPrEx>
          <w:tblCellMar>
            <w:top w:w="0" w:type="dxa"/>
            <w:bottom w:w="0" w:type="dxa"/>
          </w:tblCellMar>
        </w:tblPrEx>
        <w:tc>
          <w:tcPr>
            <w:tcW w:w="2127" w:type="dxa"/>
            <w:tcBorders>
              <w:top w:val="nil"/>
              <w:bottom w:val="nil"/>
            </w:tcBorders>
          </w:tcPr>
          <w:p w:rsidR="00000000" w:rsidRDefault="00000000">
            <w:pPr>
              <w:jc w:val="center"/>
              <w:rPr>
                <w:bCs/>
                <w:iCs/>
                <w:color w:val="000000"/>
              </w:rPr>
            </w:pPr>
            <w:r>
              <w:rPr>
                <w:bCs/>
                <w:iCs/>
                <w:color w:val="000000"/>
              </w:rPr>
              <w:t>1996</w:t>
            </w:r>
          </w:p>
        </w:tc>
        <w:tc>
          <w:tcPr>
            <w:tcW w:w="2268" w:type="dxa"/>
            <w:tcBorders>
              <w:top w:val="nil"/>
              <w:bottom w:val="nil"/>
            </w:tcBorders>
          </w:tcPr>
          <w:p w:rsidR="00000000" w:rsidRDefault="00000000">
            <w:pPr>
              <w:jc w:val="center"/>
              <w:rPr>
                <w:bCs/>
                <w:iCs/>
                <w:color w:val="000000"/>
              </w:rPr>
            </w:pPr>
            <w:r>
              <w:rPr>
                <w:bCs/>
                <w:iCs/>
                <w:color w:val="000000"/>
              </w:rPr>
              <w:t>343.21</w:t>
            </w:r>
          </w:p>
        </w:tc>
      </w:tr>
      <w:tr w:rsidR="00000000">
        <w:tblPrEx>
          <w:tblCellMar>
            <w:top w:w="0" w:type="dxa"/>
            <w:bottom w:w="0" w:type="dxa"/>
          </w:tblCellMar>
        </w:tblPrEx>
        <w:tc>
          <w:tcPr>
            <w:tcW w:w="2127" w:type="dxa"/>
            <w:tcBorders>
              <w:top w:val="nil"/>
              <w:bottom w:val="nil"/>
            </w:tcBorders>
          </w:tcPr>
          <w:p w:rsidR="00000000" w:rsidRDefault="00000000">
            <w:pPr>
              <w:jc w:val="center"/>
              <w:rPr>
                <w:bCs/>
                <w:iCs/>
                <w:color w:val="000000"/>
              </w:rPr>
            </w:pPr>
            <w:r>
              <w:rPr>
                <w:bCs/>
                <w:iCs/>
                <w:color w:val="000000"/>
              </w:rPr>
              <w:t>1997</w:t>
            </w:r>
          </w:p>
        </w:tc>
        <w:tc>
          <w:tcPr>
            <w:tcW w:w="2268" w:type="dxa"/>
            <w:tcBorders>
              <w:top w:val="nil"/>
              <w:bottom w:val="nil"/>
            </w:tcBorders>
          </w:tcPr>
          <w:p w:rsidR="00000000" w:rsidRDefault="00000000">
            <w:pPr>
              <w:jc w:val="center"/>
              <w:rPr>
                <w:bCs/>
                <w:iCs/>
                <w:color w:val="000000"/>
              </w:rPr>
            </w:pPr>
            <w:r>
              <w:rPr>
                <w:bCs/>
                <w:iCs/>
                <w:color w:val="000000"/>
              </w:rPr>
              <w:t>292.23</w:t>
            </w:r>
          </w:p>
        </w:tc>
      </w:tr>
      <w:tr w:rsidR="00000000">
        <w:tblPrEx>
          <w:tblCellMar>
            <w:top w:w="0" w:type="dxa"/>
            <w:bottom w:w="0" w:type="dxa"/>
          </w:tblCellMar>
        </w:tblPrEx>
        <w:tc>
          <w:tcPr>
            <w:tcW w:w="2127" w:type="dxa"/>
            <w:tcBorders>
              <w:top w:val="nil"/>
              <w:bottom w:val="nil"/>
            </w:tcBorders>
          </w:tcPr>
          <w:p w:rsidR="00000000" w:rsidRDefault="00000000">
            <w:pPr>
              <w:jc w:val="center"/>
              <w:rPr>
                <w:bCs/>
                <w:iCs/>
                <w:color w:val="000000"/>
              </w:rPr>
            </w:pPr>
            <w:r>
              <w:rPr>
                <w:bCs/>
                <w:iCs/>
                <w:color w:val="000000"/>
              </w:rPr>
              <w:t>1998</w:t>
            </w:r>
          </w:p>
        </w:tc>
        <w:tc>
          <w:tcPr>
            <w:tcW w:w="2268" w:type="dxa"/>
            <w:tcBorders>
              <w:top w:val="nil"/>
              <w:bottom w:val="nil"/>
            </w:tcBorders>
          </w:tcPr>
          <w:p w:rsidR="00000000" w:rsidRDefault="00000000">
            <w:pPr>
              <w:jc w:val="center"/>
              <w:rPr>
                <w:bCs/>
                <w:iCs/>
                <w:color w:val="000000"/>
              </w:rPr>
            </w:pPr>
            <w:r>
              <w:rPr>
                <w:bCs/>
                <w:iCs/>
                <w:color w:val="000000"/>
              </w:rPr>
              <w:t>287.49</w:t>
            </w:r>
          </w:p>
        </w:tc>
      </w:tr>
      <w:tr w:rsidR="00000000">
        <w:tblPrEx>
          <w:tblCellMar>
            <w:top w:w="0" w:type="dxa"/>
            <w:bottom w:w="0" w:type="dxa"/>
          </w:tblCellMar>
        </w:tblPrEx>
        <w:tc>
          <w:tcPr>
            <w:tcW w:w="2127" w:type="dxa"/>
            <w:tcBorders>
              <w:top w:val="nil"/>
            </w:tcBorders>
          </w:tcPr>
          <w:p w:rsidR="00000000" w:rsidRDefault="00000000">
            <w:pPr>
              <w:jc w:val="center"/>
              <w:rPr>
                <w:bCs/>
                <w:iCs/>
                <w:color w:val="000000"/>
              </w:rPr>
            </w:pPr>
            <w:r>
              <w:rPr>
                <w:bCs/>
                <w:iCs/>
                <w:color w:val="000000"/>
              </w:rPr>
              <w:t>1999</w:t>
            </w:r>
          </w:p>
        </w:tc>
        <w:tc>
          <w:tcPr>
            <w:tcW w:w="2268" w:type="dxa"/>
            <w:tcBorders>
              <w:top w:val="nil"/>
            </w:tcBorders>
          </w:tcPr>
          <w:p w:rsidR="00000000" w:rsidRDefault="00000000">
            <w:pPr>
              <w:jc w:val="center"/>
              <w:rPr>
                <w:bCs/>
                <w:iCs/>
                <w:color w:val="000000"/>
              </w:rPr>
            </w:pPr>
            <w:r>
              <w:rPr>
                <w:bCs/>
                <w:iCs/>
                <w:color w:val="000000"/>
              </w:rPr>
              <w:t>264.75</w:t>
            </w:r>
          </w:p>
        </w:tc>
      </w:tr>
    </w:tbl>
    <w:p w:rsidR="00000000" w:rsidRDefault="00000000">
      <w:pPr>
        <w:rPr>
          <w:spacing w:val="20"/>
          <w:kern w:val="20"/>
        </w:rPr>
      </w:pPr>
    </w:p>
    <w:p w:rsidR="00000000" w:rsidRDefault="00000000">
      <w:pPr>
        <w:pStyle w:val="ParaNo"/>
        <w:tabs>
          <w:tab w:val="clear" w:pos="360"/>
          <w:tab w:val="clear" w:pos="737"/>
        </w:tabs>
        <w:ind w:left="0" w:firstLine="0"/>
        <w:rPr>
          <w:lang w:val="en-GB"/>
        </w:rPr>
      </w:pPr>
      <w:r>
        <w:rPr>
          <w:lang w:val="en-GB"/>
        </w:rPr>
        <w:t>The agronomic grade (which measures soil quality and varies from 0 to 1) of land expropriated for agrarian reform has risen from 0.4 per cent in 1998 to 0.5 per cent in 1999.</w:t>
      </w:r>
      <w:r>
        <w:rPr>
          <w:lang w:val="en-GB"/>
        </w:rPr>
        <w:br/>
      </w:r>
    </w:p>
    <w:p w:rsidR="00000000" w:rsidRDefault="00000000">
      <w:pPr>
        <w:pStyle w:val="ParaNo"/>
        <w:tabs>
          <w:tab w:val="clear" w:pos="360"/>
          <w:tab w:val="clear" w:pos="737"/>
        </w:tabs>
        <w:ind w:left="0" w:firstLine="0"/>
        <w:rPr>
          <w:lang w:val="en-GB"/>
        </w:rPr>
      </w:pPr>
      <w:r>
        <w:rPr>
          <w:lang w:val="en-GB"/>
        </w:rPr>
        <w:t>From 1995 to 1998 funds totalling Cr$ 301,767,447 were spent on basic infrastructure in agrarian reform settlements.  By December 1999, funds totalling Cr$ 150.6 billion will have been spent in infrastructure.  From January to 20 December 1999, in addition to other undertakings, 3,382 kilometres of roads were built, at a cost of Cr$ 25.5 million; 1,073 kilometres of rural electrification lines were laid, at a cost of Cr$ 1.7 million; 204 wells were dug, at a cost of Cr$ 4.2 million; 19 water supply units were installed, at a cost of Cr$ 216,500; and 79 reservoirs were built.</w:t>
      </w:r>
    </w:p>
    <w:p w:rsidR="00000000" w:rsidRDefault="00000000"/>
    <w:p w:rsidR="00000000" w:rsidRDefault="00000000">
      <w:pPr>
        <w:pStyle w:val="ParaNo"/>
        <w:tabs>
          <w:tab w:val="clear" w:pos="360"/>
          <w:tab w:val="clear" w:pos="737"/>
        </w:tabs>
        <w:rPr>
          <w:lang w:val="en-GB"/>
        </w:rPr>
      </w:pPr>
      <w:r>
        <w:rPr>
          <w:lang w:val="en-GB"/>
        </w:rPr>
        <w:t>Other investments in infrastructure for the period 1995</w:t>
      </w:r>
      <w:r>
        <w:rPr>
          <w:lang w:val="en-GB"/>
        </w:rPr>
        <w:noBreakHyphen/>
        <w:t>1999 are given below.</w:t>
      </w:r>
      <w:r>
        <w:rPr>
          <w:lang w:val="en-GB"/>
        </w:rPr>
        <w:br/>
      </w:r>
    </w:p>
    <w:tbl>
      <w:tblPr>
        <w:tblW w:w="0" w:type="auto"/>
        <w:tblInd w:w="250" w:type="dxa"/>
        <w:tblLook w:val="0000" w:firstRow="0" w:lastRow="0" w:firstColumn="0" w:lastColumn="0" w:noHBand="0" w:noVBand="0"/>
      </w:tblPr>
      <w:tblGrid>
        <w:gridCol w:w="4535"/>
        <w:gridCol w:w="4537"/>
      </w:tblGrid>
      <w:tr w:rsidR="00000000">
        <w:tblPrEx>
          <w:tblCellMar>
            <w:top w:w="0" w:type="dxa"/>
            <w:bottom w:w="0" w:type="dxa"/>
          </w:tblCellMar>
        </w:tblPrEx>
        <w:tc>
          <w:tcPr>
            <w:tcW w:w="4535" w:type="dxa"/>
          </w:tcPr>
          <w:p w:rsidR="00000000" w:rsidRDefault="00000000">
            <w:pPr>
              <w:jc w:val="center"/>
              <w:rPr>
                <w:u w:val="single"/>
              </w:rPr>
            </w:pPr>
            <w:r>
              <w:rPr>
                <w:u w:val="single"/>
              </w:rPr>
              <w:t>Activity</w:t>
            </w:r>
          </w:p>
        </w:tc>
        <w:tc>
          <w:tcPr>
            <w:tcW w:w="4537" w:type="dxa"/>
          </w:tcPr>
          <w:p w:rsidR="00000000" w:rsidRDefault="00000000">
            <w:pPr>
              <w:jc w:val="center"/>
            </w:pPr>
            <w:r>
              <w:rPr>
                <w:u w:val="single"/>
              </w:rPr>
              <w:t>Cost</w:t>
            </w:r>
            <w:r>
              <w:t xml:space="preserve"> (Cr$)</w:t>
            </w:r>
          </w:p>
          <w:p w:rsidR="00000000" w:rsidRDefault="00000000">
            <w:pPr>
              <w:jc w:val="center"/>
            </w:pPr>
          </w:p>
        </w:tc>
      </w:tr>
      <w:tr w:rsidR="00000000">
        <w:tblPrEx>
          <w:tblCellMar>
            <w:top w:w="0" w:type="dxa"/>
            <w:bottom w:w="0" w:type="dxa"/>
          </w:tblCellMar>
        </w:tblPrEx>
        <w:tc>
          <w:tcPr>
            <w:tcW w:w="4535" w:type="dxa"/>
          </w:tcPr>
          <w:p w:rsidR="00000000" w:rsidRDefault="00000000">
            <w:pPr>
              <w:ind w:left="680"/>
            </w:pPr>
            <w:r>
              <w:t xml:space="preserve">     736 reservoirs</w:t>
            </w:r>
          </w:p>
        </w:tc>
        <w:tc>
          <w:tcPr>
            <w:tcW w:w="4537" w:type="dxa"/>
          </w:tcPr>
          <w:p w:rsidR="00000000" w:rsidRDefault="00000000">
            <w:pPr>
              <w:ind w:right="1701"/>
              <w:jc w:val="right"/>
            </w:pPr>
            <w:r>
              <w:t>14 762 309</w:t>
            </w:r>
          </w:p>
        </w:tc>
      </w:tr>
      <w:tr w:rsidR="00000000">
        <w:tblPrEx>
          <w:tblCellMar>
            <w:top w:w="0" w:type="dxa"/>
            <w:bottom w:w="0" w:type="dxa"/>
          </w:tblCellMar>
        </w:tblPrEx>
        <w:tc>
          <w:tcPr>
            <w:tcW w:w="4535" w:type="dxa"/>
          </w:tcPr>
          <w:p w:rsidR="00000000" w:rsidRDefault="00000000">
            <w:pPr>
              <w:ind w:left="680"/>
            </w:pPr>
            <w:r>
              <w:t xml:space="preserve">  1 283 wells</w:t>
            </w:r>
          </w:p>
        </w:tc>
        <w:tc>
          <w:tcPr>
            <w:tcW w:w="4537" w:type="dxa"/>
          </w:tcPr>
          <w:p w:rsidR="00000000" w:rsidRDefault="00000000">
            <w:pPr>
              <w:ind w:right="1701"/>
              <w:jc w:val="right"/>
            </w:pPr>
            <w:r>
              <w:t>28 025 962</w:t>
            </w:r>
          </w:p>
        </w:tc>
      </w:tr>
      <w:tr w:rsidR="00000000">
        <w:tblPrEx>
          <w:tblCellMar>
            <w:top w:w="0" w:type="dxa"/>
            <w:bottom w:w="0" w:type="dxa"/>
          </w:tblCellMar>
        </w:tblPrEx>
        <w:tc>
          <w:tcPr>
            <w:tcW w:w="4535" w:type="dxa"/>
          </w:tcPr>
          <w:p w:rsidR="00000000" w:rsidRDefault="00000000">
            <w:pPr>
              <w:ind w:left="680"/>
            </w:pPr>
            <w:r>
              <w:t>75 633 doubling of lot size</w:t>
            </w:r>
          </w:p>
        </w:tc>
        <w:tc>
          <w:tcPr>
            <w:tcW w:w="4537" w:type="dxa"/>
          </w:tcPr>
          <w:p w:rsidR="00000000" w:rsidRDefault="00000000">
            <w:pPr>
              <w:ind w:right="1701"/>
              <w:jc w:val="right"/>
            </w:pPr>
            <w:r>
              <w:t>45 751 600</w:t>
            </w:r>
          </w:p>
        </w:tc>
      </w:tr>
      <w:tr w:rsidR="00000000">
        <w:tblPrEx>
          <w:tblCellMar>
            <w:top w:w="0" w:type="dxa"/>
            <w:bottom w:w="0" w:type="dxa"/>
          </w:tblCellMar>
        </w:tblPrEx>
        <w:tc>
          <w:tcPr>
            <w:tcW w:w="4535" w:type="dxa"/>
          </w:tcPr>
          <w:p w:rsidR="00000000" w:rsidRDefault="00000000">
            <w:pPr>
              <w:ind w:left="680"/>
            </w:pPr>
            <w:r>
              <w:t xml:space="preserve">     458 community centres</w:t>
            </w:r>
          </w:p>
        </w:tc>
        <w:tc>
          <w:tcPr>
            <w:tcW w:w="4537" w:type="dxa"/>
          </w:tcPr>
          <w:p w:rsidR="00000000" w:rsidRDefault="00000000">
            <w:pPr>
              <w:ind w:right="1701"/>
              <w:jc w:val="right"/>
            </w:pPr>
            <w:r>
              <w:t>11 988 324</w:t>
            </w:r>
          </w:p>
        </w:tc>
      </w:tr>
      <w:tr w:rsidR="00000000">
        <w:tblPrEx>
          <w:tblCellMar>
            <w:top w:w="0" w:type="dxa"/>
            <w:bottom w:w="0" w:type="dxa"/>
          </w:tblCellMar>
        </w:tblPrEx>
        <w:tc>
          <w:tcPr>
            <w:tcW w:w="4535" w:type="dxa"/>
          </w:tcPr>
          <w:p w:rsidR="00000000" w:rsidRDefault="00000000">
            <w:pPr>
              <w:ind w:left="680"/>
            </w:pPr>
            <w:r>
              <w:t xml:space="preserve">  9,475 km of rural electrification</w:t>
            </w:r>
          </w:p>
        </w:tc>
        <w:tc>
          <w:tcPr>
            <w:tcW w:w="4537" w:type="dxa"/>
          </w:tcPr>
          <w:p w:rsidR="00000000" w:rsidRDefault="00000000">
            <w:pPr>
              <w:ind w:right="1701"/>
              <w:jc w:val="right"/>
            </w:pPr>
            <w:r>
              <w:t>70 911 326</w:t>
            </w:r>
          </w:p>
        </w:tc>
      </w:tr>
      <w:tr w:rsidR="00000000">
        <w:tblPrEx>
          <w:tblCellMar>
            <w:top w:w="0" w:type="dxa"/>
            <w:bottom w:w="0" w:type="dxa"/>
          </w:tblCellMar>
        </w:tblPrEx>
        <w:tc>
          <w:tcPr>
            <w:tcW w:w="4535" w:type="dxa"/>
          </w:tcPr>
          <w:p w:rsidR="00000000" w:rsidRDefault="00000000">
            <w:pPr>
              <w:ind w:left="680"/>
            </w:pPr>
            <w:r>
              <w:t xml:space="preserve">     323 schools</w:t>
            </w:r>
          </w:p>
        </w:tc>
        <w:tc>
          <w:tcPr>
            <w:tcW w:w="4537" w:type="dxa"/>
          </w:tcPr>
          <w:p w:rsidR="00000000" w:rsidRDefault="00000000">
            <w:pPr>
              <w:ind w:right="1701"/>
              <w:jc w:val="right"/>
            </w:pPr>
            <w:r>
              <w:t>12 626 332</w:t>
            </w:r>
          </w:p>
        </w:tc>
      </w:tr>
      <w:tr w:rsidR="00000000">
        <w:tblPrEx>
          <w:tblCellMar>
            <w:top w:w="0" w:type="dxa"/>
            <w:bottom w:w="0" w:type="dxa"/>
          </w:tblCellMar>
        </w:tblPrEx>
        <w:tc>
          <w:tcPr>
            <w:tcW w:w="4535" w:type="dxa"/>
          </w:tcPr>
          <w:p w:rsidR="00000000" w:rsidRDefault="00000000">
            <w:pPr>
              <w:ind w:left="680"/>
            </w:pPr>
            <w:r>
              <w:t xml:space="preserve">     366 health centres</w:t>
            </w:r>
          </w:p>
        </w:tc>
        <w:tc>
          <w:tcPr>
            <w:tcW w:w="4537" w:type="dxa"/>
          </w:tcPr>
          <w:p w:rsidR="00000000" w:rsidRDefault="00000000">
            <w:pPr>
              <w:ind w:right="1701"/>
              <w:jc w:val="right"/>
            </w:pPr>
            <w:r>
              <w:t>7 337 827</w:t>
            </w:r>
          </w:p>
        </w:tc>
      </w:tr>
      <w:tr w:rsidR="00000000">
        <w:tblPrEx>
          <w:tblCellMar>
            <w:top w:w="0" w:type="dxa"/>
            <w:bottom w:w="0" w:type="dxa"/>
          </w:tblCellMar>
        </w:tblPrEx>
        <w:tc>
          <w:tcPr>
            <w:tcW w:w="4535" w:type="dxa"/>
          </w:tcPr>
          <w:p w:rsidR="00000000" w:rsidRDefault="00000000">
            <w:pPr>
              <w:ind w:left="680"/>
            </w:pPr>
            <w:r>
              <w:t xml:space="preserve">     108 warehouses</w:t>
            </w:r>
          </w:p>
        </w:tc>
        <w:tc>
          <w:tcPr>
            <w:tcW w:w="4537" w:type="dxa"/>
          </w:tcPr>
          <w:p w:rsidR="00000000" w:rsidRDefault="00000000">
            <w:pPr>
              <w:ind w:right="1701"/>
              <w:jc w:val="right"/>
            </w:pPr>
            <w:r>
              <w:t>4 148 745</w:t>
            </w:r>
          </w:p>
        </w:tc>
      </w:tr>
      <w:tr w:rsidR="00000000">
        <w:tblPrEx>
          <w:tblCellMar>
            <w:top w:w="0" w:type="dxa"/>
            <w:bottom w:w="0" w:type="dxa"/>
          </w:tblCellMar>
        </w:tblPrEx>
        <w:tc>
          <w:tcPr>
            <w:tcW w:w="4535" w:type="dxa"/>
          </w:tcPr>
          <w:p w:rsidR="00000000" w:rsidRDefault="00000000">
            <w:pPr>
              <w:ind w:left="680"/>
            </w:pPr>
            <w:r>
              <w:t>13,824 km of roads</w:t>
            </w:r>
          </w:p>
        </w:tc>
        <w:tc>
          <w:tcPr>
            <w:tcW w:w="4537" w:type="dxa"/>
          </w:tcPr>
          <w:p w:rsidR="00000000" w:rsidRDefault="00000000">
            <w:pPr>
              <w:ind w:right="1701"/>
              <w:jc w:val="right"/>
            </w:pPr>
            <w:r>
              <w:t>106 251 022</w:t>
            </w:r>
          </w:p>
        </w:tc>
      </w:tr>
    </w:tbl>
    <w:p w:rsidR="00000000" w:rsidRDefault="00000000"/>
    <w:p w:rsidR="00000000" w:rsidRDefault="00000000">
      <w:pPr>
        <w:pStyle w:val="ParaNo"/>
        <w:tabs>
          <w:tab w:val="clear" w:pos="360"/>
          <w:tab w:val="clear" w:pos="737"/>
        </w:tabs>
        <w:rPr>
          <w:lang w:val="en-GB"/>
        </w:rPr>
      </w:pPr>
      <w:r>
        <w:rPr>
          <w:lang w:val="en-GB"/>
        </w:rPr>
        <w:t>In 1999, Cr$ 150.6 million were invested in infrastructure.</w:t>
      </w:r>
    </w:p>
    <w:p w:rsidR="00000000" w:rsidRDefault="00000000"/>
    <w:p w:rsidR="00000000" w:rsidRDefault="00000000">
      <w:pPr>
        <w:pStyle w:val="ParaNo"/>
        <w:tabs>
          <w:tab w:val="clear" w:pos="360"/>
          <w:tab w:val="clear" w:pos="737"/>
        </w:tabs>
        <w:rPr>
          <w:lang w:val="en-GB"/>
        </w:rPr>
      </w:pPr>
      <w:r>
        <w:rPr>
          <w:lang w:val="en-GB"/>
        </w:rPr>
        <w:t>From 1995 to 1999, Cr$ 1,520,000 were channelled to start</w:t>
      </w:r>
      <w:r>
        <w:rPr>
          <w:lang w:val="en-GB"/>
        </w:rPr>
        <w:noBreakHyphen/>
        <w:t>up credits and to the Special Agrarian Reform Credit Programme</w:t>
      </w:r>
      <w:r>
        <w:rPr>
          <w:lang w:val="en-GB"/>
        </w:rPr>
        <w:noBreakHyphen/>
        <w:t xml:space="preserve">Procera.  By 30 December 1999, Line A of </w:t>
      </w:r>
      <w:r>
        <w:rPr>
          <w:u w:val="single"/>
          <w:lang w:val="en-GB"/>
        </w:rPr>
        <w:t>Pronaf Planta Brasil</w:t>
      </w:r>
      <w:r>
        <w:rPr>
          <w:lang w:val="en-GB"/>
        </w:rPr>
        <w:t>, which serves rural producers under the agrarian reform, was to have extended loans totalling Cr$ 460 million.</w:t>
      </w:r>
    </w:p>
    <w:p w:rsidR="00000000" w:rsidRDefault="00000000"/>
    <w:p w:rsidR="00000000" w:rsidRDefault="00000000">
      <w:pPr>
        <w:pStyle w:val="Heading1"/>
      </w:pPr>
      <w:r>
        <w:t>Table 51</w:t>
      </w:r>
    </w:p>
    <w:p w:rsidR="00000000" w:rsidRDefault="00000000">
      <w:pPr>
        <w:pStyle w:val="Heading1"/>
      </w:pPr>
    </w:p>
    <w:p w:rsidR="00000000" w:rsidRDefault="00000000">
      <w:pPr>
        <w:pStyle w:val="Heading1"/>
      </w:pPr>
      <w:r>
        <w:t>Credits extended under agrarian reform (Cr$), 1995</w:t>
      </w:r>
      <w:r>
        <w:noBreakHyphen/>
        <w:t>1999</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6"/>
        <w:gridCol w:w="1914"/>
        <w:gridCol w:w="1914"/>
        <w:gridCol w:w="1737"/>
        <w:gridCol w:w="1985"/>
      </w:tblGrid>
      <w:tr w:rsidR="00000000">
        <w:tblPrEx>
          <w:tblCellMar>
            <w:top w:w="0" w:type="dxa"/>
            <w:bottom w:w="0" w:type="dxa"/>
          </w:tblCellMar>
        </w:tblPrEx>
        <w:tc>
          <w:tcPr>
            <w:tcW w:w="1806" w:type="dxa"/>
            <w:tcBorders>
              <w:bottom w:val="single" w:sz="4" w:space="0" w:color="auto"/>
            </w:tcBorders>
          </w:tcPr>
          <w:p w:rsidR="00000000" w:rsidRDefault="00000000">
            <w:pPr>
              <w:jc w:val="center"/>
            </w:pPr>
            <w:r>
              <w:t>Year</w:t>
            </w:r>
          </w:p>
        </w:tc>
        <w:tc>
          <w:tcPr>
            <w:tcW w:w="1914" w:type="dxa"/>
            <w:tcBorders>
              <w:bottom w:val="single" w:sz="4" w:space="0" w:color="auto"/>
            </w:tcBorders>
          </w:tcPr>
          <w:p w:rsidR="00000000" w:rsidRDefault="00000000">
            <w:pPr>
              <w:jc w:val="center"/>
            </w:pPr>
            <w:r>
              <w:t>Implemented</w:t>
            </w:r>
          </w:p>
        </w:tc>
        <w:tc>
          <w:tcPr>
            <w:tcW w:w="1914" w:type="dxa"/>
            <w:tcBorders>
              <w:bottom w:val="single" w:sz="4" w:space="0" w:color="auto"/>
            </w:tcBorders>
          </w:tcPr>
          <w:p w:rsidR="00000000" w:rsidRDefault="00000000">
            <w:pPr>
              <w:jc w:val="center"/>
            </w:pPr>
            <w:r>
              <w:t>Procera</w:t>
            </w:r>
          </w:p>
        </w:tc>
        <w:tc>
          <w:tcPr>
            <w:tcW w:w="1737" w:type="dxa"/>
            <w:tcBorders>
              <w:bottom w:val="single" w:sz="4" w:space="0" w:color="auto"/>
            </w:tcBorders>
          </w:tcPr>
          <w:p w:rsidR="00000000" w:rsidRDefault="00000000">
            <w:pPr>
              <w:jc w:val="center"/>
            </w:pPr>
            <w:r>
              <w:t>Pronaf Line A</w:t>
            </w:r>
          </w:p>
        </w:tc>
        <w:tc>
          <w:tcPr>
            <w:tcW w:w="1985" w:type="dxa"/>
            <w:tcBorders>
              <w:bottom w:val="single" w:sz="4" w:space="0" w:color="auto"/>
            </w:tcBorders>
          </w:tcPr>
          <w:p w:rsidR="00000000" w:rsidRDefault="00000000">
            <w:pPr>
              <w:jc w:val="center"/>
            </w:pPr>
            <w:r>
              <w:t>Total</w:t>
            </w:r>
          </w:p>
        </w:tc>
      </w:tr>
      <w:tr w:rsidR="00000000">
        <w:tblPrEx>
          <w:tblCellMar>
            <w:top w:w="0" w:type="dxa"/>
            <w:bottom w:w="0" w:type="dxa"/>
          </w:tblCellMar>
        </w:tblPrEx>
        <w:tc>
          <w:tcPr>
            <w:tcW w:w="1806" w:type="dxa"/>
            <w:tcBorders>
              <w:bottom w:val="nil"/>
            </w:tcBorders>
          </w:tcPr>
          <w:p w:rsidR="00000000" w:rsidRDefault="00000000">
            <w:r>
              <w:t>1995</w:t>
            </w:r>
          </w:p>
        </w:tc>
        <w:tc>
          <w:tcPr>
            <w:tcW w:w="1914" w:type="dxa"/>
            <w:tcBorders>
              <w:bottom w:val="nil"/>
            </w:tcBorders>
          </w:tcPr>
          <w:p w:rsidR="00000000" w:rsidRDefault="00000000">
            <w:pPr>
              <w:ind w:right="284"/>
              <w:jc w:val="right"/>
            </w:pPr>
            <w:r>
              <w:t>47 794 707</w:t>
            </w:r>
          </w:p>
        </w:tc>
        <w:tc>
          <w:tcPr>
            <w:tcW w:w="1914" w:type="dxa"/>
            <w:tcBorders>
              <w:bottom w:val="nil"/>
            </w:tcBorders>
          </w:tcPr>
          <w:p w:rsidR="00000000" w:rsidRDefault="00000000">
            <w:pPr>
              <w:jc w:val="center"/>
            </w:pPr>
            <w:r>
              <w:t>108 973 651</w:t>
            </w:r>
          </w:p>
        </w:tc>
        <w:tc>
          <w:tcPr>
            <w:tcW w:w="1737" w:type="dxa"/>
            <w:tcBorders>
              <w:bottom w:val="nil"/>
            </w:tcBorders>
          </w:tcPr>
          <w:p w:rsidR="00000000" w:rsidRDefault="00000000">
            <w:pPr>
              <w:jc w:val="center"/>
            </w:pPr>
            <w:r>
              <w:noBreakHyphen/>
            </w:r>
          </w:p>
        </w:tc>
        <w:tc>
          <w:tcPr>
            <w:tcW w:w="1985" w:type="dxa"/>
            <w:tcBorders>
              <w:bottom w:val="nil"/>
            </w:tcBorders>
          </w:tcPr>
          <w:p w:rsidR="00000000" w:rsidRDefault="00000000">
            <w:pPr>
              <w:ind w:right="227"/>
              <w:jc w:val="right"/>
            </w:pPr>
            <w:r>
              <w:t>156 768 358</w:t>
            </w:r>
          </w:p>
        </w:tc>
      </w:tr>
      <w:tr w:rsidR="00000000">
        <w:tblPrEx>
          <w:tblCellMar>
            <w:top w:w="0" w:type="dxa"/>
            <w:bottom w:w="0" w:type="dxa"/>
          </w:tblCellMar>
        </w:tblPrEx>
        <w:tc>
          <w:tcPr>
            <w:tcW w:w="1806" w:type="dxa"/>
            <w:tcBorders>
              <w:top w:val="nil"/>
              <w:bottom w:val="nil"/>
            </w:tcBorders>
          </w:tcPr>
          <w:p w:rsidR="00000000" w:rsidRDefault="00000000">
            <w:r>
              <w:t>1996</w:t>
            </w:r>
          </w:p>
        </w:tc>
        <w:tc>
          <w:tcPr>
            <w:tcW w:w="1914" w:type="dxa"/>
            <w:tcBorders>
              <w:top w:val="nil"/>
              <w:bottom w:val="nil"/>
            </w:tcBorders>
          </w:tcPr>
          <w:p w:rsidR="00000000" w:rsidRDefault="00000000">
            <w:pPr>
              <w:ind w:right="284"/>
              <w:jc w:val="right"/>
            </w:pPr>
            <w:r>
              <w:t>71 337 968</w:t>
            </w:r>
          </w:p>
        </w:tc>
        <w:tc>
          <w:tcPr>
            <w:tcW w:w="1914" w:type="dxa"/>
            <w:tcBorders>
              <w:top w:val="nil"/>
              <w:bottom w:val="nil"/>
            </w:tcBorders>
          </w:tcPr>
          <w:p w:rsidR="00000000" w:rsidRDefault="00000000">
            <w:pPr>
              <w:jc w:val="center"/>
            </w:pPr>
            <w:r>
              <w:t>202 563 910</w:t>
            </w:r>
          </w:p>
        </w:tc>
        <w:tc>
          <w:tcPr>
            <w:tcW w:w="1737" w:type="dxa"/>
            <w:tcBorders>
              <w:top w:val="nil"/>
              <w:bottom w:val="nil"/>
            </w:tcBorders>
          </w:tcPr>
          <w:p w:rsidR="00000000" w:rsidRDefault="00000000">
            <w:pPr>
              <w:jc w:val="center"/>
            </w:pPr>
            <w:r>
              <w:noBreakHyphen/>
            </w:r>
          </w:p>
        </w:tc>
        <w:tc>
          <w:tcPr>
            <w:tcW w:w="1985" w:type="dxa"/>
            <w:tcBorders>
              <w:top w:val="nil"/>
              <w:bottom w:val="nil"/>
            </w:tcBorders>
          </w:tcPr>
          <w:p w:rsidR="00000000" w:rsidRDefault="00000000">
            <w:pPr>
              <w:ind w:right="227"/>
              <w:jc w:val="right"/>
            </w:pPr>
            <w:r>
              <w:t>273 901 878</w:t>
            </w:r>
          </w:p>
        </w:tc>
      </w:tr>
      <w:tr w:rsidR="00000000">
        <w:tblPrEx>
          <w:tblCellMar>
            <w:top w:w="0" w:type="dxa"/>
            <w:bottom w:w="0" w:type="dxa"/>
          </w:tblCellMar>
        </w:tblPrEx>
        <w:tc>
          <w:tcPr>
            <w:tcW w:w="1806" w:type="dxa"/>
            <w:tcBorders>
              <w:top w:val="nil"/>
              <w:bottom w:val="nil"/>
            </w:tcBorders>
          </w:tcPr>
          <w:p w:rsidR="00000000" w:rsidRDefault="00000000">
            <w:r>
              <w:t>1997</w:t>
            </w:r>
          </w:p>
        </w:tc>
        <w:tc>
          <w:tcPr>
            <w:tcW w:w="1914" w:type="dxa"/>
            <w:tcBorders>
              <w:top w:val="nil"/>
              <w:bottom w:val="nil"/>
            </w:tcBorders>
          </w:tcPr>
          <w:p w:rsidR="00000000" w:rsidRDefault="00000000">
            <w:pPr>
              <w:ind w:right="284"/>
              <w:jc w:val="right"/>
            </w:pPr>
            <w:r>
              <w:t>151 242 100</w:t>
            </w:r>
          </w:p>
        </w:tc>
        <w:tc>
          <w:tcPr>
            <w:tcW w:w="1914" w:type="dxa"/>
            <w:tcBorders>
              <w:top w:val="nil"/>
              <w:bottom w:val="nil"/>
            </w:tcBorders>
          </w:tcPr>
          <w:p w:rsidR="00000000" w:rsidRDefault="00000000">
            <w:pPr>
              <w:jc w:val="center"/>
            </w:pPr>
            <w:r>
              <w:t>204 214 542</w:t>
            </w:r>
          </w:p>
        </w:tc>
        <w:tc>
          <w:tcPr>
            <w:tcW w:w="1737" w:type="dxa"/>
            <w:tcBorders>
              <w:top w:val="nil"/>
              <w:bottom w:val="nil"/>
            </w:tcBorders>
          </w:tcPr>
          <w:p w:rsidR="00000000" w:rsidRDefault="00000000">
            <w:pPr>
              <w:jc w:val="center"/>
            </w:pPr>
            <w:r>
              <w:noBreakHyphen/>
            </w:r>
          </w:p>
        </w:tc>
        <w:tc>
          <w:tcPr>
            <w:tcW w:w="1985" w:type="dxa"/>
            <w:tcBorders>
              <w:top w:val="nil"/>
              <w:bottom w:val="nil"/>
            </w:tcBorders>
          </w:tcPr>
          <w:p w:rsidR="00000000" w:rsidRDefault="00000000">
            <w:pPr>
              <w:ind w:right="227"/>
              <w:jc w:val="right"/>
            </w:pPr>
            <w:r>
              <w:t>355 456 642</w:t>
            </w:r>
          </w:p>
        </w:tc>
      </w:tr>
      <w:tr w:rsidR="00000000">
        <w:tblPrEx>
          <w:tblCellMar>
            <w:top w:w="0" w:type="dxa"/>
            <w:bottom w:w="0" w:type="dxa"/>
          </w:tblCellMar>
        </w:tblPrEx>
        <w:tc>
          <w:tcPr>
            <w:tcW w:w="1806" w:type="dxa"/>
            <w:tcBorders>
              <w:top w:val="nil"/>
              <w:bottom w:val="nil"/>
            </w:tcBorders>
          </w:tcPr>
          <w:p w:rsidR="00000000" w:rsidRDefault="00000000">
            <w:r>
              <w:t>1998</w:t>
            </w:r>
          </w:p>
        </w:tc>
        <w:tc>
          <w:tcPr>
            <w:tcW w:w="1914" w:type="dxa"/>
            <w:tcBorders>
              <w:top w:val="nil"/>
              <w:bottom w:val="nil"/>
            </w:tcBorders>
          </w:tcPr>
          <w:p w:rsidR="00000000" w:rsidRDefault="00000000">
            <w:pPr>
              <w:ind w:right="284"/>
              <w:jc w:val="right"/>
            </w:pPr>
            <w:r>
              <w:t>231 600 040</w:t>
            </w:r>
          </w:p>
        </w:tc>
        <w:tc>
          <w:tcPr>
            <w:tcW w:w="1914" w:type="dxa"/>
            <w:tcBorders>
              <w:top w:val="nil"/>
              <w:bottom w:val="nil"/>
            </w:tcBorders>
          </w:tcPr>
          <w:p w:rsidR="00000000" w:rsidRDefault="00000000">
            <w:pPr>
              <w:jc w:val="center"/>
            </w:pPr>
            <w:r>
              <w:t>307 617 293</w:t>
            </w:r>
          </w:p>
        </w:tc>
        <w:tc>
          <w:tcPr>
            <w:tcW w:w="1737" w:type="dxa"/>
            <w:tcBorders>
              <w:top w:val="nil"/>
              <w:bottom w:val="nil"/>
            </w:tcBorders>
          </w:tcPr>
          <w:p w:rsidR="00000000" w:rsidRDefault="00000000">
            <w:pPr>
              <w:jc w:val="center"/>
            </w:pPr>
            <w:r>
              <w:noBreakHyphen/>
            </w:r>
          </w:p>
        </w:tc>
        <w:tc>
          <w:tcPr>
            <w:tcW w:w="1985" w:type="dxa"/>
            <w:tcBorders>
              <w:top w:val="nil"/>
              <w:bottom w:val="nil"/>
            </w:tcBorders>
          </w:tcPr>
          <w:p w:rsidR="00000000" w:rsidRDefault="00000000">
            <w:pPr>
              <w:ind w:right="227"/>
              <w:jc w:val="right"/>
            </w:pPr>
            <w:r>
              <w:t>539 217 333</w:t>
            </w:r>
          </w:p>
        </w:tc>
      </w:tr>
      <w:tr w:rsidR="00000000">
        <w:tblPrEx>
          <w:tblCellMar>
            <w:top w:w="0" w:type="dxa"/>
            <w:bottom w:w="0" w:type="dxa"/>
          </w:tblCellMar>
        </w:tblPrEx>
        <w:tc>
          <w:tcPr>
            <w:tcW w:w="1806" w:type="dxa"/>
            <w:tcBorders>
              <w:top w:val="nil"/>
            </w:tcBorders>
          </w:tcPr>
          <w:p w:rsidR="00000000" w:rsidRDefault="00000000">
            <w:r>
              <w:t>1999</w:t>
            </w:r>
          </w:p>
        </w:tc>
        <w:tc>
          <w:tcPr>
            <w:tcW w:w="1914" w:type="dxa"/>
            <w:tcBorders>
              <w:top w:val="nil"/>
            </w:tcBorders>
          </w:tcPr>
          <w:p w:rsidR="00000000" w:rsidRDefault="00000000">
            <w:pPr>
              <w:ind w:right="284"/>
              <w:jc w:val="right"/>
            </w:pPr>
            <w:r>
              <w:t>195 000 000</w:t>
            </w:r>
          </w:p>
        </w:tc>
        <w:tc>
          <w:tcPr>
            <w:tcW w:w="1914" w:type="dxa"/>
            <w:tcBorders>
              <w:top w:val="nil"/>
            </w:tcBorders>
          </w:tcPr>
          <w:p w:rsidR="00000000" w:rsidRDefault="00000000">
            <w:pPr>
              <w:jc w:val="center"/>
            </w:pPr>
            <w:r>
              <w:noBreakHyphen/>
            </w:r>
          </w:p>
        </w:tc>
        <w:tc>
          <w:tcPr>
            <w:tcW w:w="1737" w:type="dxa"/>
            <w:tcBorders>
              <w:top w:val="nil"/>
            </w:tcBorders>
          </w:tcPr>
          <w:p w:rsidR="00000000" w:rsidRDefault="00000000">
            <w:pPr>
              <w:jc w:val="center"/>
            </w:pPr>
            <w:r>
              <w:t>460 000 000</w:t>
            </w:r>
          </w:p>
        </w:tc>
        <w:tc>
          <w:tcPr>
            <w:tcW w:w="1985" w:type="dxa"/>
            <w:tcBorders>
              <w:top w:val="nil"/>
            </w:tcBorders>
          </w:tcPr>
          <w:p w:rsidR="00000000" w:rsidRDefault="00000000">
            <w:pPr>
              <w:ind w:right="227"/>
              <w:jc w:val="right"/>
            </w:pPr>
            <w:r>
              <w:t>665 000 000</w:t>
            </w:r>
          </w:p>
        </w:tc>
      </w:tr>
      <w:tr w:rsidR="00000000">
        <w:tblPrEx>
          <w:tblCellMar>
            <w:top w:w="0" w:type="dxa"/>
            <w:bottom w:w="0" w:type="dxa"/>
          </w:tblCellMar>
        </w:tblPrEx>
        <w:tc>
          <w:tcPr>
            <w:tcW w:w="1806" w:type="dxa"/>
          </w:tcPr>
          <w:p w:rsidR="00000000" w:rsidRDefault="00000000">
            <w:r>
              <w:tab/>
              <w:t>Total</w:t>
            </w:r>
          </w:p>
        </w:tc>
        <w:tc>
          <w:tcPr>
            <w:tcW w:w="1914" w:type="dxa"/>
          </w:tcPr>
          <w:p w:rsidR="00000000" w:rsidRDefault="00000000">
            <w:pPr>
              <w:ind w:right="284"/>
              <w:jc w:val="right"/>
            </w:pPr>
            <w:r>
              <w:t>696 974 815</w:t>
            </w:r>
          </w:p>
        </w:tc>
        <w:tc>
          <w:tcPr>
            <w:tcW w:w="1914" w:type="dxa"/>
          </w:tcPr>
          <w:p w:rsidR="00000000" w:rsidRDefault="00000000">
            <w:pPr>
              <w:jc w:val="center"/>
            </w:pPr>
            <w:r>
              <w:t>823 369 396</w:t>
            </w:r>
          </w:p>
        </w:tc>
        <w:tc>
          <w:tcPr>
            <w:tcW w:w="1737" w:type="dxa"/>
          </w:tcPr>
          <w:p w:rsidR="00000000" w:rsidRDefault="00000000">
            <w:pPr>
              <w:jc w:val="center"/>
            </w:pPr>
            <w:r>
              <w:t>460 000 000</w:t>
            </w:r>
          </w:p>
        </w:tc>
        <w:tc>
          <w:tcPr>
            <w:tcW w:w="1985" w:type="dxa"/>
          </w:tcPr>
          <w:p w:rsidR="00000000" w:rsidRDefault="00000000">
            <w:pPr>
              <w:ind w:right="227"/>
              <w:jc w:val="right"/>
            </w:pPr>
            <w:r>
              <w:t>1 325 344 221</w:t>
            </w:r>
          </w:p>
        </w:tc>
      </w:tr>
    </w:tbl>
    <w:p w:rsidR="00000000" w:rsidRDefault="00000000"/>
    <w:p w:rsidR="00000000" w:rsidRDefault="00000000">
      <w:pPr>
        <w:pStyle w:val="ParaNo"/>
        <w:tabs>
          <w:tab w:val="clear" w:pos="360"/>
          <w:tab w:val="clear" w:pos="737"/>
        </w:tabs>
        <w:ind w:left="0" w:firstLine="0"/>
        <w:rPr>
          <w:lang w:val="en-GB"/>
        </w:rPr>
      </w:pPr>
      <w:r>
        <w:rPr>
          <w:lang w:val="en-GB"/>
        </w:rPr>
        <w:t>The purpose of the National Agrarian Reform Educational Programme launched in April of last year is to strengthen education in agrarian reform settlements by using specific methods appropriate for the rural setting.  This programme is the fruit of a partnership between Government, universities and rural social movements for starting up a broad process of education of young people and adults in agrarian reform settlements.  INCRA, the Ministry of Education and the Ministry of Labour are joining other important partners, including Churches, non</w:t>
      </w:r>
      <w:r>
        <w:rPr>
          <w:lang w:val="en-GB"/>
        </w:rPr>
        <w:noBreakHyphen/>
        <w:t>governmental organizations and producers’ associations and cooperatives, to implement the programme.</w:t>
      </w:r>
    </w:p>
    <w:p w:rsidR="00000000" w:rsidRDefault="00000000"/>
    <w:p w:rsidR="00000000" w:rsidRDefault="00000000">
      <w:pPr>
        <w:pStyle w:val="ParaNo"/>
        <w:tabs>
          <w:tab w:val="clear" w:pos="360"/>
          <w:tab w:val="clear" w:pos="737"/>
        </w:tabs>
        <w:ind w:left="0" w:firstLine="0"/>
        <w:rPr>
          <w:lang w:val="en-GB"/>
        </w:rPr>
      </w:pPr>
      <w:r>
        <w:rPr>
          <w:lang w:val="en-GB"/>
        </w:rPr>
        <w:t>The system trains monitors for the settlements at universities and other higher education institutions to teach reading and school subjects to young people and adults benefiting from agrarian reform.  Since the launching of this programme, 3,137 monitors have been trained and are now working in settlements throughout the country.</w:t>
      </w:r>
    </w:p>
    <w:p w:rsidR="00000000" w:rsidRDefault="00000000"/>
    <w:p w:rsidR="00000000" w:rsidRDefault="00000000">
      <w:pPr>
        <w:pStyle w:val="ParaNo"/>
        <w:tabs>
          <w:tab w:val="clear" w:pos="360"/>
          <w:tab w:val="clear" w:pos="737"/>
        </w:tabs>
        <w:ind w:left="0" w:firstLine="0"/>
        <w:rPr>
          <w:lang w:val="en-GB"/>
        </w:rPr>
      </w:pPr>
      <w:r>
        <w:rPr>
          <w:lang w:val="en-GB"/>
        </w:rPr>
        <w:t>Despite the programme’s short life, figures are impressive:  today, 62,742 young people and adults are being taught reading and school subjects under 1,421 settlement projects in 616 municipalities in 21 Brazilian states.  So far, Cr$ 11,408,536 have been spent on educating those settled through agrarian reform and on opening new horizons for them.</w:t>
      </w:r>
    </w:p>
    <w:p w:rsidR="00000000" w:rsidRDefault="00000000"/>
    <w:p w:rsidR="00000000" w:rsidRDefault="00000000">
      <w:pPr>
        <w:pStyle w:val="ParaNo"/>
        <w:tabs>
          <w:tab w:val="clear" w:pos="360"/>
          <w:tab w:val="clear" w:pos="737"/>
        </w:tabs>
        <w:ind w:left="0" w:firstLine="0"/>
        <w:rPr>
          <w:lang w:val="en-GB"/>
        </w:rPr>
      </w:pPr>
      <w:r>
        <w:rPr>
          <w:lang w:val="en-GB"/>
        </w:rPr>
        <w:t>The National Agrarian Reform Literacy Programme also funds technical and professional training of those settled, focusing on rural production and management and on the production of teaching materials in all the priority areas identified on the basis of discussions about the programme.</w:t>
      </w:r>
    </w:p>
    <w:p w:rsidR="00000000" w:rsidRDefault="00000000"/>
    <w:p w:rsidR="00000000" w:rsidRDefault="00000000">
      <w:pPr>
        <w:pStyle w:val="ParaNo"/>
        <w:tabs>
          <w:tab w:val="clear" w:pos="360"/>
          <w:tab w:val="clear" w:pos="737"/>
        </w:tabs>
        <w:ind w:left="0" w:firstLine="0"/>
        <w:rPr>
          <w:lang w:val="en-GB"/>
        </w:rPr>
      </w:pPr>
      <w:r>
        <w:rPr>
          <w:lang w:val="en-GB"/>
        </w:rPr>
        <w:br w:type="page"/>
        <w:t xml:space="preserve">The Ministry of Agrarian Development and INCRA have concentrated efforts on legal battles against excessive indemnification for expropriated lands for agrarian reform.  All cases in which appraisals exceed those done by INCRA are contested on the basis of </w:t>
      </w:r>
      <w:r>
        <w:rPr>
          <w:u w:val="single"/>
          <w:lang w:val="en-GB"/>
        </w:rPr>
        <w:t>Medida Provisoria</w:t>
      </w:r>
      <w:r>
        <w:rPr>
          <w:lang w:val="en-GB"/>
        </w:rPr>
        <w:t xml:space="preserve"> (Executive Provisional Measure) MP 1901, which, since 1997, has introduced provisions in the legislation to prevent such distortions.</w:t>
      </w:r>
    </w:p>
    <w:p w:rsidR="00000000" w:rsidRDefault="00000000"/>
    <w:p w:rsidR="00000000" w:rsidRDefault="00000000">
      <w:pPr>
        <w:pStyle w:val="ParaNo"/>
        <w:tabs>
          <w:tab w:val="clear" w:pos="360"/>
          <w:tab w:val="clear" w:pos="737"/>
        </w:tabs>
        <w:ind w:left="0" w:firstLine="0"/>
        <w:rPr>
          <w:lang w:val="en-GB"/>
        </w:rPr>
      </w:pPr>
      <w:r>
        <w:rPr>
          <w:lang w:val="en-GB"/>
        </w:rPr>
        <w:t xml:space="preserve">The work of INCRA attorneys, whether through actions to prosecute or appeal expropriation cases, has resulted, for example, in reducing a government debt of Cr$ 415.9 million in </w:t>
      </w:r>
      <w:r>
        <w:rPr>
          <w:u w:val="single"/>
          <w:lang w:val="en-GB"/>
        </w:rPr>
        <w:t>precatorios</w:t>
      </w:r>
      <w:r>
        <w:rPr>
          <w:lang w:val="en-GB"/>
        </w:rPr>
        <w:t xml:space="preserve"> (payments owed by the Government for labour suits it has lost) to Cr$ 260.4 million in 1997.  The following year, this figure dropped to Cr$ 55.7 million.</w:t>
      </w:r>
    </w:p>
    <w:p w:rsidR="00000000" w:rsidRDefault="00000000"/>
    <w:p w:rsidR="00000000" w:rsidRDefault="00000000">
      <w:pPr>
        <w:pStyle w:val="ParaNo"/>
        <w:tabs>
          <w:tab w:val="clear" w:pos="360"/>
          <w:tab w:val="clear" w:pos="737"/>
        </w:tabs>
        <w:ind w:left="0" w:firstLine="0"/>
        <w:rPr>
          <w:lang w:val="en-GB"/>
        </w:rPr>
      </w:pPr>
      <w:r>
        <w:rPr>
          <w:lang w:val="en-GB"/>
        </w:rPr>
        <w:t>A recent excessive indemnification was decided by the Federal Regional Court of São Paulo’s Third Region, which finally accepted the arguments of INCRA attorneys in a rescissory case brought against the former owners of the Fazendas Reunidas property located in the Promissão municipality, which had been expropriated for agrarian reform purposes.  The former owners went to court to raise the amount of expropriation from INCRA’s original Cr$ 25,811,260 assessment to Cr$ 385,502,876, close to Cr$ 1 billion in today’s values.  In response to INCRA’s claims, the São Paulo Court ordered a new assessment of the property.  There are dozens of similar cases.  If uncorrected, these distortions may irretrievably compromise the agrarian reform programme.</w:t>
      </w:r>
    </w:p>
    <w:p w:rsidR="00000000" w:rsidRDefault="00000000"/>
    <w:p w:rsidR="00000000" w:rsidRDefault="00000000">
      <w:pPr>
        <w:pStyle w:val="ParaNo"/>
        <w:tabs>
          <w:tab w:val="clear" w:pos="360"/>
          <w:tab w:val="clear" w:pos="737"/>
        </w:tabs>
        <w:ind w:left="0" w:firstLine="0"/>
        <w:rPr>
          <w:lang w:val="en-GB"/>
        </w:rPr>
      </w:pPr>
      <w:r>
        <w:rPr>
          <w:lang w:val="en-GB"/>
        </w:rPr>
        <w:t xml:space="preserve">Another programme that should be mentioned is </w:t>
      </w:r>
      <w:r>
        <w:rPr>
          <w:u w:val="single"/>
          <w:lang w:val="en-GB"/>
        </w:rPr>
        <w:t>Nossa Terra, Nossa Escola</w:t>
      </w:r>
      <w:r>
        <w:rPr>
          <w:lang w:val="en-GB"/>
        </w:rPr>
        <w:t xml:space="preserve"> (Our Land, Our School).  MP 1901 also regulated this programme that offers incentives to rural worker families for keeping their children in school.  Families are given a 50 per cent discount on the outstanding balance of the debt they owe on their property, provided their children stay in school.  This benefit is accorded to families with children aged 7</w:t>
      </w:r>
      <w:r>
        <w:rPr>
          <w:lang w:val="en-GB"/>
        </w:rPr>
        <w:noBreakHyphen/>
        <w:t>14 attending elementary school.  The 50 per cent discount applies to each payment made during the entire period one or more child stays in school.  When the children complete elementary school, the 50 per cent discount will apply to the outstanding balance of the property debt.  If a settled family has no children but has illiterate adults, the same discount will be accorded if these adults attend regular literacy courses.</w:t>
      </w:r>
    </w:p>
    <w:p w:rsidR="00000000" w:rsidRDefault="00000000"/>
    <w:p w:rsidR="00000000" w:rsidRDefault="00000000">
      <w:pPr>
        <w:pStyle w:val="ParaNo"/>
        <w:tabs>
          <w:tab w:val="clear" w:pos="360"/>
          <w:tab w:val="clear" w:pos="737"/>
        </w:tabs>
        <w:ind w:left="0" w:firstLine="0"/>
        <w:rPr>
          <w:lang w:val="en-GB"/>
        </w:rPr>
      </w:pPr>
      <w:r>
        <w:rPr>
          <w:lang w:val="en-GB"/>
        </w:rPr>
        <w:t xml:space="preserve">One extremely important aspect of the Government’s effort to modify the Brazilian agrarian structure is the granting of title to the land.  The delivery of 10,000 land titles in 1999 instilled a feeling of security in families settled by INCRA.  The granting of land title is part of the New Agrarian Reform Programme designed to restore settlers’ rights as citizens and to ensure easier access to bank loans.  </w:t>
      </w:r>
    </w:p>
    <w:p w:rsidR="00000000" w:rsidRDefault="00000000"/>
    <w:p w:rsidR="00000000" w:rsidRDefault="00000000">
      <w:pPr>
        <w:pStyle w:val="ParaNo"/>
        <w:tabs>
          <w:tab w:val="clear" w:pos="360"/>
          <w:tab w:val="clear" w:pos="737"/>
        </w:tabs>
        <w:rPr>
          <w:lang w:val="en-GB"/>
        </w:rPr>
      </w:pPr>
      <w:r>
        <w:rPr>
          <w:lang w:val="en-GB"/>
        </w:rPr>
        <w:t>The Brazilian Mail and Telegraph Enterprise</w:t>
      </w:r>
      <w:r>
        <w:rPr>
          <w:lang w:val="en-GB"/>
        </w:rPr>
        <w:noBreakHyphen/>
        <w:t>ECT is responsible for delivering land titles to settlers.  In addition, payment of the yearly fee may be made by settlers at any post office.</w:t>
      </w:r>
    </w:p>
    <w:p w:rsidR="00000000" w:rsidRDefault="00000000"/>
    <w:p w:rsidR="00000000" w:rsidRDefault="00000000">
      <w:pPr>
        <w:pStyle w:val="ParaNo"/>
        <w:tabs>
          <w:tab w:val="clear" w:pos="360"/>
          <w:tab w:val="clear" w:pos="737"/>
        </w:tabs>
        <w:ind w:left="0" w:firstLine="0"/>
        <w:rPr>
          <w:lang w:val="en-GB"/>
        </w:rPr>
      </w:pPr>
      <w:r>
        <w:rPr>
          <w:lang w:val="en-GB"/>
        </w:rPr>
        <w:t>ECT was chosen to render this service because of the number of offices it has and because these offices are closer to settlers, not to mention the efficient work it performs.  In the four years of the current Administration, this benefit will have been accorded to about 400,000 families settled on nearly 20 million hectares, an area equivalent to three times the State of Rio de Janeiro.</w:t>
      </w:r>
    </w:p>
    <w:p w:rsidR="00000000" w:rsidRDefault="00000000"/>
    <w:p w:rsidR="00000000" w:rsidRDefault="00000000">
      <w:pPr>
        <w:pStyle w:val="ParaNo"/>
        <w:tabs>
          <w:tab w:val="clear" w:pos="360"/>
          <w:tab w:val="clear" w:pos="737"/>
        </w:tabs>
        <w:ind w:left="0" w:firstLine="0"/>
        <w:rPr>
          <w:lang w:val="en-GB"/>
        </w:rPr>
      </w:pPr>
      <w:r>
        <w:rPr>
          <w:lang w:val="en-GB"/>
        </w:rPr>
        <w:t xml:space="preserve">Border areas are regulated by Law No. 9871 of 23 November 1999.  This law sets the deadline and the rules for the ratification or annulment of land grants by the states in border areas.  One provision allows this ratification </w:t>
      </w:r>
      <w:r>
        <w:rPr>
          <w:lang w:val="en-GB"/>
        </w:rPr>
        <w:noBreakHyphen/>
        <w:t xml:space="preserve"> which used to be granted only to small </w:t>
      </w:r>
    </w:p>
    <w:p w:rsidR="00000000" w:rsidRDefault="00000000">
      <w:r>
        <w:t>properties </w:t>
      </w:r>
      <w:r>
        <w:noBreakHyphen/>
        <w:t> to be extended to medium</w:t>
      </w:r>
      <w:r>
        <w:noBreakHyphen/>
        <w:t>size properties in the centre</w:t>
      </w:r>
      <w:r>
        <w:noBreakHyphen/>
        <w:t xml:space="preserve">west, north and south.  The law provides further that even without a definitive ratification, producers may put up their </w:t>
      </w:r>
    </w:p>
    <w:p w:rsidR="00000000" w:rsidRDefault="00000000">
      <w:r>
        <w:t>property as collateral for loans needed for production until such time as the courts hand down a final decision.</w:t>
      </w:r>
    </w:p>
    <w:p w:rsidR="00000000" w:rsidRDefault="00000000"/>
    <w:p w:rsidR="00000000" w:rsidRDefault="00000000">
      <w:pPr>
        <w:pStyle w:val="ParaNo"/>
        <w:tabs>
          <w:tab w:val="clear" w:pos="360"/>
          <w:tab w:val="clear" w:pos="737"/>
        </w:tabs>
        <w:ind w:left="0" w:firstLine="0"/>
        <w:rPr>
          <w:lang w:val="en-GB"/>
        </w:rPr>
      </w:pPr>
      <w:r>
        <w:rPr>
          <w:lang w:val="en-GB"/>
        </w:rPr>
        <w:t xml:space="preserve">The </w:t>
      </w:r>
      <w:r>
        <w:rPr>
          <w:u w:val="single"/>
          <w:lang w:val="en-GB"/>
        </w:rPr>
        <w:t>Casulo</w:t>
      </w:r>
      <w:r>
        <w:rPr>
          <w:lang w:val="en-GB"/>
        </w:rPr>
        <w:t xml:space="preserve"> (Cocoon) project is an INCRA decentralized settlement model implemented in partnership with municipalities to exploit animal husbandry, which creates jobs and generates income as well as increasing food supply on the regional market.  The municipality takes the initiative to join the </w:t>
      </w:r>
      <w:r>
        <w:rPr>
          <w:u w:val="single"/>
          <w:lang w:val="en-GB"/>
        </w:rPr>
        <w:t>Casulo</w:t>
      </w:r>
      <w:r>
        <w:rPr>
          <w:lang w:val="en-GB"/>
        </w:rPr>
        <w:t xml:space="preserve"> project.  It identifies the demand and indicates potential beneficiaries and the area to be used, in addition to seeking partnerships to ensure technical assistance and training for the settled families.  The municipality is also the guarantor of the loans extended under the </w:t>
      </w:r>
      <w:r>
        <w:rPr>
          <w:u w:val="single"/>
          <w:lang w:val="en-GB"/>
        </w:rPr>
        <w:t>Casulo</w:t>
      </w:r>
      <w:r>
        <w:rPr>
          <w:lang w:val="en-GB"/>
        </w:rPr>
        <w:t xml:space="preserve"> project.  The project grants loans to cover food, development, support, construction materials and housing expenses, so as to ensure the consolidation and sustainability of settlements.  Currently, there are 32 </w:t>
      </w:r>
      <w:r>
        <w:rPr>
          <w:u w:val="single"/>
          <w:lang w:val="en-GB"/>
        </w:rPr>
        <w:t>Casulo</w:t>
      </w:r>
      <w:r>
        <w:rPr>
          <w:lang w:val="en-GB"/>
        </w:rPr>
        <w:t xml:space="preserve"> projects under way, benefiting 1,304 families, mostly in the north and the north</w:t>
      </w:r>
      <w:r>
        <w:rPr>
          <w:lang w:val="en-GB"/>
        </w:rPr>
        <w:noBreakHyphen/>
        <w:t>east.</w:t>
      </w:r>
    </w:p>
    <w:p w:rsidR="00000000" w:rsidRDefault="00000000"/>
    <w:p w:rsidR="00000000" w:rsidRDefault="00000000">
      <w:pPr>
        <w:pStyle w:val="ParaNo"/>
        <w:tabs>
          <w:tab w:val="clear" w:pos="360"/>
          <w:tab w:val="clear" w:pos="737"/>
        </w:tabs>
        <w:ind w:left="0" w:firstLine="0"/>
        <w:rPr>
          <w:lang w:val="en-GB"/>
        </w:rPr>
      </w:pPr>
      <w:r>
        <w:rPr>
          <w:lang w:val="en-GB"/>
        </w:rPr>
        <w:t>The project provides start</w:t>
      </w:r>
      <w:r>
        <w:rPr>
          <w:lang w:val="en-GB"/>
        </w:rPr>
        <w:noBreakHyphen/>
        <w:t>up loans of Cr$ 1,400 and home</w:t>
      </w:r>
      <w:r>
        <w:rPr>
          <w:lang w:val="en-GB"/>
        </w:rPr>
        <w:noBreakHyphen/>
        <w:t xml:space="preserve">building loans of Cr$ 2,500 per family.  Each family is also eligible for credit of up to Cr$ 9,500 from the </w:t>
      </w:r>
      <w:r>
        <w:rPr>
          <w:u w:val="single"/>
          <w:lang w:val="en-GB"/>
        </w:rPr>
        <w:t>Pronaf Planta Brasil</w:t>
      </w:r>
      <w:r>
        <w:rPr>
          <w:lang w:val="en-GB"/>
        </w:rPr>
        <w:t xml:space="preserve"> programme.</w:t>
      </w:r>
    </w:p>
    <w:p w:rsidR="00000000" w:rsidRDefault="00000000"/>
    <w:p w:rsidR="00000000" w:rsidRDefault="00000000">
      <w:pPr>
        <w:pStyle w:val="ParaNo"/>
        <w:tabs>
          <w:tab w:val="clear" w:pos="360"/>
          <w:tab w:val="clear" w:pos="737"/>
        </w:tabs>
        <w:ind w:left="0" w:firstLine="0"/>
        <w:rPr>
          <w:lang w:val="en-GB"/>
        </w:rPr>
      </w:pPr>
      <w:r>
        <w:rPr>
          <w:lang w:val="en-GB"/>
        </w:rPr>
        <w:t xml:space="preserve">The provision of technical assistance and training to settled families is crucial to ensure the consolidation and sustainability of INCRA settlement projects.  The </w:t>
      </w:r>
      <w:r>
        <w:rPr>
          <w:u w:val="single"/>
          <w:lang w:val="en-GB"/>
        </w:rPr>
        <w:t>Lumiar</w:t>
      </w:r>
      <w:r>
        <w:rPr>
          <w:lang w:val="en-GB"/>
        </w:rPr>
        <w:t xml:space="preserve"> project was designed to fill these needs.  It provides guidance to settled farming families on the laying in and development of crops and pasturage, warehousing and marketing, animal husbandry and the introduction of new technologies, as well as encouraging settlers to organize themselves.  Currently the </w:t>
      </w:r>
      <w:r>
        <w:rPr>
          <w:u w:val="single"/>
          <w:lang w:val="en-GB"/>
        </w:rPr>
        <w:t>Lumiar</w:t>
      </w:r>
      <w:r>
        <w:rPr>
          <w:lang w:val="en-GB"/>
        </w:rPr>
        <w:t xml:space="preserve"> project maintains 1,400 specialists in the field to provide technical assistance to 117 families in the various regions of the country.  Investments total Cr$ 2 million each month.  Participants in the </w:t>
      </w:r>
      <w:r>
        <w:rPr>
          <w:u w:val="single"/>
          <w:lang w:val="en-GB"/>
        </w:rPr>
        <w:t>Lumiar</w:t>
      </w:r>
      <w:r>
        <w:rPr>
          <w:lang w:val="en-GB"/>
        </w:rPr>
        <w:t xml:space="preserve"> project are:  INCRA, organizations of settled farmers, public and private enterprises, cooperatives that provide technical assistance, universities, research institutes, official banks, state governments, municipalities and non</w:t>
      </w:r>
      <w:r>
        <w:rPr>
          <w:lang w:val="en-GB"/>
        </w:rPr>
        <w:noBreakHyphen/>
        <w:t>governmental organizations.</w:t>
      </w:r>
    </w:p>
    <w:p w:rsidR="00000000" w:rsidRDefault="00000000"/>
    <w:p w:rsidR="00000000" w:rsidRDefault="00000000">
      <w:pPr>
        <w:pStyle w:val="ParaNo"/>
        <w:tabs>
          <w:tab w:val="clear" w:pos="360"/>
          <w:tab w:val="clear" w:pos="737"/>
        </w:tabs>
        <w:ind w:left="0" w:firstLine="0"/>
        <w:rPr>
          <w:lang w:val="en-GB"/>
        </w:rPr>
      </w:pPr>
      <w:r>
        <w:rPr>
          <w:lang w:val="en-GB"/>
        </w:rPr>
        <w:t>The project also maintains field teams of specialists in various areas (agronomists, veterinarians, economists, sociologists, agricultural experts, forest engineers, psychologists, administrators and so forth).  These are hired by settlers’ organizations and paid with funds from the project to provide technical assistance and training.  The number of specialists in each team varies according to the number of families to be assisted, the distance between settlements, etc.</w:t>
      </w:r>
    </w:p>
    <w:p w:rsidR="00000000" w:rsidRDefault="00000000"/>
    <w:p w:rsidR="00000000" w:rsidRDefault="00000000">
      <w:pPr>
        <w:pStyle w:val="ParaNo"/>
        <w:tabs>
          <w:tab w:val="clear" w:pos="360"/>
          <w:tab w:val="clear" w:pos="737"/>
        </w:tabs>
        <w:ind w:left="0" w:firstLine="0"/>
        <w:rPr>
          <w:lang w:val="en-GB"/>
        </w:rPr>
      </w:pPr>
      <w:r>
        <w:rPr>
          <w:lang w:val="en-GB"/>
        </w:rPr>
        <w:t xml:space="preserve">The project’s main objective is the development of settled families, the consolidation of settlement projects, and their incorporation into the municipality or region as competitive production units that create jobs and generate income.  Under the </w:t>
      </w:r>
      <w:r>
        <w:rPr>
          <w:u w:val="single"/>
          <w:lang w:val="en-GB"/>
        </w:rPr>
        <w:t>Lumiar</w:t>
      </w:r>
      <w:r>
        <w:rPr>
          <w:lang w:val="en-GB"/>
        </w:rPr>
        <w:t xml:space="preserve"> project, families learn about associations, cooperatives and other forms of organization, as they become aware of their rights and duties.</w:t>
      </w:r>
    </w:p>
    <w:p w:rsidR="00000000" w:rsidRDefault="00000000"/>
    <w:p w:rsidR="00000000" w:rsidRDefault="00000000">
      <w:pPr>
        <w:pStyle w:val="ParaNo"/>
        <w:tabs>
          <w:tab w:val="clear" w:pos="360"/>
          <w:tab w:val="clear" w:pos="737"/>
        </w:tabs>
        <w:ind w:left="0" w:firstLine="0"/>
        <w:rPr>
          <w:lang w:val="en-GB"/>
        </w:rPr>
      </w:pPr>
      <w:r>
        <w:rPr>
          <w:lang w:val="en-GB"/>
        </w:rPr>
        <w:t>In March 1999, the Government established the National Agrarian Magistrate’s Office, whose main task is to prevent and reduce agrarian conflicts.  It works in association with both governmental and non</w:t>
      </w:r>
      <w:r>
        <w:rPr>
          <w:lang w:val="en-GB"/>
        </w:rPr>
        <w:noBreakHyphen/>
        <w:t>governmental agencies, including the judiciary, the Public Attorney’s Office, public security secretariats and the Brazilian Bar Association</w:t>
      </w:r>
      <w:r>
        <w:rPr>
          <w:lang w:val="en-GB"/>
        </w:rPr>
        <w:noBreakHyphen/>
        <w:t>OAB, among others.  Since its establishment, the National Agrarian Magistrate’s Office has set up offices in the States of Acre, Rondônia, Roraima, Minas Gerais and Mato Grosso do Sul.</w:t>
      </w:r>
    </w:p>
    <w:p w:rsidR="00000000" w:rsidRDefault="00000000"/>
    <w:p w:rsidR="00000000" w:rsidRDefault="00000000">
      <w:pPr>
        <w:pStyle w:val="ParaNo"/>
        <w:tabs>
          <w:tab w:val="clear" w:pos="360"/>
          <w:tab w:val="clear" w:pos="737"/>
        </w:tabs>
        <w:ind w:left="0" w:firstLine="0"/>
        <w:rPr>
          <w:lang w:val="en-GB"/>
        </w:rPr>
      </w:pPr>
      <w:r>
        <w:rPr>
          <w:lang w:val="en-GB"/>
        </w:rPr>
        <w:t>The number of rural property invasions by landless workers has declined noticeably this year.  In January, 50 invasions were recorded; in February, 41; in March invasions surged to 101; in April, the number dropped to 66; in May, there were 34; in June, 26; in July, 32; in August, 30; in September, 26; in October, 28; and in November, 30.</w:t>
      </w:r>
    </w:p>
    <w:p w:rsidR="00000000" w:rsidRDefault="00000000"/>
    <w:p w:rsidR="00000000" w:rsidRDefault="00000000">
      <w:pPr>
        <w:pStyle w:val="ParaNo"/>
        <w:tabs>
          <w:tab w:val="clear" w:pos="360"/>
          <w:tab w:val="clear" w:pos="737"/>
        </w:tabs>
        <w:ind w:left="0" w:firstLine="0"/>
        <w:rPr>
          <w:lang w:val="en-GB"/>
        </w:rPr>
      </w:pPr>
      <w:r>
        <w:rPr>
          <w:lang w:val="en-GB"/>
        </w:rPr>
        <w:t>The environment is another government concern in the context of agrarian reform.  The Ministry of Agrarian Development implements measures aimed at the preservation of the environment and at raising the ecological awareness of agrarian reform beneficiaries, as these are crucial elements for the success of all projects.  The Ministry has issued a directive prohibiting expropriation, acquisition and any form of obtaining possession of rural lands covered by primary forests occurring in the ecosystems of the Amazon and the Atlantic forests, the Mato Grosso wetlands, and other environmental preservation areas.</w:t>
      </w:r>
    </w:p>
    <w:p w:rsidR="00000000" w:rsidRDefault="00000000"/>
    <w:p w:rsidR="00000000" w:rsidRDefault="00000000">
      <w:pPr>
        <w:pStyle w:val="ParaNo"/>
        <w:tabs>
          <w:tab w:val="clear" w:pos="360"/>
          <w:tab w:val="clear" w:pos="737"/>
        </w:tabs>
        <w:ind w:left="0" w:firstLine="0"/>
        <w:rPr>
          <w:lang w:val="en-GB"/>
        </w:rPr>
      </w:pPr>
      <w:r>
        <w:rPr>
          <w:lang w:val="en-GB"/>
        </w:rPr>
        <w:t>In 1999, INCRA held 40 environmental training courses taken by 1,600 multipliers throughout the country.  These are specialists and community leaders who will disseminate knowledge among the settled families.</w:t>
      </w:r>
    </w:p>
    <w:p w:rsidR="00000000" w:rsidRDefault="00000000"/>
    <w:p w:rsidR="00000000" w:rsidRDefault="00000000">
      <w:pPr>
        <w:pStyle w:val="ParaNo"/>
        <w:tabs>
          <w:tab w:val="clear" w:pos="360"/>
          <w:tab w:val="clear" w:pos="737"/>
        </w:tabs>
        <w:ind w:left="0" w:firstLine="0"/>
        <w:rPr>
          <w:lang w:val="en-GB"/>
        </w:rPr>
      </w:pPr>
      <w:r>
        <w:rPr>
          <w:lang w:val="en-GB"/>
        </w:rPr>
        <w:t>To expedite the processing of environmental permits, each of INCRA’s 28 regional offices has an environmental manager.  In addition, 13 environment administrators were trained and now act as multipliers in the cities of Recife, Fortaleza, Manaus, Vitoria, and the Federal District and the State of Alagoas.</w:t>
      </w:r>
    </w:p>
    <w:p w:rsidR="00000000" w:rsidRDefault="00000000"/>
    <w:p w:rsidR="00000000" w:rsidRDefault="00000000">
      <w:pPr>
        <w:pStyle w:val="ParaNo"/>
        <w:tabs>
          <w:tab w:val="clear" w:pos="360"/>
          <w:tab w:val="clear" w:pos="737"/>
        </w:tabs>
        <w:ind w:left="0" w:firstLine="0"/>
        <w:rPr>
          <w:lang w:val="en-GB"/>
        </w:rPr>
      </w:pPr>
      <w:r>
        <w:rPr>
          <w:lang w:val="en-GB"/>
        </w:rPr>
        <w:t>In compliance with the Ministry of Agrarian Development’s environmental agenda, cooperating agents are being trained as assistant environmental inspectors, entrusted with drawing up occurrence reports to be submitted to the inspectors of the Brazilian Institute for the Environment and Renewable Natural Resources</w:t>
      </w:r>
      <w:r>
        <w:rPr>
          <w:lang w:val="en-GB"/>
        </w:rPr>
        <w:noBreakHyphen/>
        <w:t>IBAMA.</w:t>
      </w:r>
    </w:p>
    <w:p w:rsidR="00000000" w:rsidRDefault="00000000"/>
    <w:p w:rsidR="00000000" w:rsidRDefault="00000000">
      <w:pPr>
        <w:pStyle w:val="ParaNo"/>
        <w:tabs>
          <w:tab w:val="clear" w:pos="360"/>
          <w:tab w:val="clear" w:pos="737"/>
        </w:tabs>
        <w:ind w:left="0" w:firstLine="0"/>
        <w:rPr>
          <w:lang w:val="en-GB"/>
        </w:rPr>
      </w:pPr>
      <w:r>
        <w:rPr>
          <w:lang w:val="en-GB"/>
        </w:rPr>
        <w:t>The Land Bank is another important instrument created for fostering family farming.  This bank provides the major means of acquiring land for agrarian reform.  The Land Bank makes possible the creation of new settlements through the incorporation of new areas, including areas that cannot be obtained through expropriation.  Today the Land Bank supplements expropriation based on social interest, which is the major means for obtaining land for agrarian reform.  In 1999, the Land Bank benefited 10,000 families by granting Cr$ 115 million to the States of Bahia, Ceara, Goias, Maranhao, Minas Gerais, Paraná, Pernambuco, Rio Grande do Sul and Santa Catarina.</w:t>
      </w:r>
    </w:p>
    <w:p w:rsidR="00000000" w:rsidRDefault="00000000"/>
    <w:p w:rsidR="00000000" w:rsidRDefault="00000000">
      <w:pPr>
        <w:pStyle w:val="ParaNo"/>
        <w:tabs>
          <w:tab w:val="clear" w:pos="360"/>
          <w:tab w:val="clear" w:pos="737"/>
        </w:tabs>
        <w:ind w:left="0" w:firstLine="0"/>
        <w:rPr>
          <w:lang w:val="en-GB"/>
        </w:rPr>
      </w:pPr>
      <w:r>
        <w:rPr>
          <w:lang w:val="en-GB"/>
        </w:rPr>
        <w:br w:type="page"/>
        <w:t>The Land Bank was established by complementary legislation to extend financing directly to the beneficiary for purchasing a selected rural property and providing it with the infrastructure needed for its proper operation.  The Bank is now recognized as a new and powerful land distribution instrument that contributes to sustainable economic development in the rural area.</w:t>
      </w:r>
    </w:p>
    <w:p w:rsidR="00000000" w:rsidRDefault="00000000"/>
    <w:p w:rsidR="00000000" w:rsidRDefault="00000000">
      <w:pPr>
        <w:pStyle w:val="ParaNo"/>
        <w:tabs>
          <w:tab w:val="clear" w:pos="360"/>
          <w:tab w:val="clear" w:pos="737"/>
        </w:tabs>
        <w:ind w:left="0" w:firstLine="0"/>
        <w:rPr>
          <w:lang w:val="en-GB"/>
        </w:rPr>
      </w:pPr>
      <w:r>
        <w:rPr>
          <w:lang w:val="en-GB"/>
        </w:rPr>
        <w:t>This programme is aimed at rural workers, sharecroppers, homesteaders and renters who can prove that they have at least five years of farming experience or are owners of small rural property of insufficient size to produce more than is needed for family consumption.</w:t>
      </w:r>
    </w:p>
    <w:p w:rsidR="00000000" w:rsidRDefault="00000000"/>
    <w:p w:rsidR="00000000" w:rsidRDefault="00000000">
      <w:pPr>
        <w:pStyle w:val="ParaNo"/>
        <w:tabs>
          <w:tab w:val="clear" w:pos="360"/>
          <w:tab w:val="clear" w:pos="737"/>
        </w:tabs>
        <w:ind w:left="0" w:firstLine="0"/>
        <w:rPr>
          <w:lang w:val="en-GB"/>
        </w:rPr>
      </w:pPr>
      <w:r>
        <w:rPr>
          <w:lang w:val="en-GB"/>
        </w:rPr>
        <w:t>The Land Bank is coordinated by the Executive Secretariat of a Board of Trustees consisting of eight authorities:  the Ministers of Agriculture, Finance, Environment, Budget, Management, and Development, and the Presidents of INCRA and the National Economic and Social Development Bank</w:t>
      </w:r>
      <w:r>
        <w:rPr>
          <w:lang w:val="en-GB"/>
        </w:rPr>
        <w:noBreakHyphen/>
        <w:t>BNDES.  The Board is chaired by the Minister of Land Policy and Agrarian Development.</w:t>
      </w:r>
    </w:p>
    <w:p w:rsidR="00000000" w:rsidRDefault="00000000"/>
    <w:p w:rsidR="00000000" w:rsidRDefault="00000000">
      <w:pPr>
        <w:pStyle w:val="ParaNo"/>
        <w:tabs>
          <w:tab w:val="clear" w:pos="360"/>
          <w:tab w:val="clear" w:pos="737"/>
        </w:tabs>
        <w:ind w:left="0" w:firstLine="0"/>
        <w:rPr>
          <w:lang w:val="en-GB"/>
        </w:rPr>
      </w:pPr>
      <w:r>
        <w:rPr>
          <w:lang w:val="en-GB"/>
        </w:rPr>
        <w:t>Land Bank operations are decentralized through a system of partnerships.  The Bank enters agreements with state governments, which select an agency to coordinate the use of the funds.</w:t>
      </w:r>
    </w:p>
    <w:p w:rsidR="00000000" w:rsidRDefault="00000000"/>
    <w:p w:rsidR="00000000" w:rsidRDefault="00000000">
      <w:pPr>
        <w:pStyle w:val="ParaNo"/>
        <w:tabs>
          <w:tab w:val="clear" w:pos="360"/>
          <w:tab w:val="clear" w:pos="737"/>
        </w:tabs>
        <w:ind w:left="0" w:firstLine="0"/>
        <w:rPr>
          <w:lang w:val="en-GB"/>
        </w:rPr>
      </w:pPr>
      <w:r>
        <w:rPr>
          <w:lang w:val="en-GB"/>
        </w:rPr>
        <w:t>Under the programme’s regulations, loans granted out of Land Bank funds are to be repaid in 20 years, with a three</w:t>
      </w:r>
      <w:r>
        <w:rPr>
          <w:lang w:val="en-GB"/>
        </w:rPr>
        <w:noBreakHyphen/>
        <w:t>year grace period.  Interest varies from 4 to 6 per cent a year.</w:t>
      </w:r>
    </w:p>
    <w:p w:rsidR="00000000" w:rsidRDefault="00000000"/>
    <w:p w:rsidR="00000000" w:rsidRDefault="00000000">
      <w:pPr>
        <w:pStyle w:val="ParaNo"/>
        <w:tabs>
          <w:tab w:val="clear" w:pos="360"/>
          <w:tab w:val="clear" w:pos="737"/>
        </w:tabs>
        <w:ind w:left="0" w:firstLine="0"/>
        <w:rPr>
          <w:lang w:val="en-GB"/>
        </w:rPr>
      </w:pPr>
      <w:r>
        <w:rPr>
          <w:lang w:val="en-GB"/>
        </w:rPr>
        <w:t>The workers themselves choose rural properties to be financed by the Land Bank and are provided the funds for ensuring the basic structure needed by the communities.  In addition to property and infrastructure, the loan covers land office fees, registration expenses and topographic services.</w:t>
      </w:r>
    </w:p>
    <w:p w:rsidR="00000000" w:rsidRDefault="00000000"/>
    <w:p w:rsidR="00000000" w:rsidRDefault="00000000">
      <w:pPr>
        <w:pStyle w:val="ParaNo"/>
        <w:tabs>
          <w:tab w:val="clear" w:pos="360"/>
          <w:tab w:val="clear" w:pos="737"/>
        </w:tabs>
        <w:ind w:left="0" w:firstLine="0"/>
        <w:rPr>
          <w:lang w:val="en-GB"/>
        </w:rPr>
      </w:pPr>
      <w:r>
        <w:rPr>
          <w:lang w:val="en-GB"/>
        </w:rPr>
        <w:t>Those who have already been assisted by the Land Bank or who have participated in other settlement projects are not eligible.  Also ineligible are those who exercise a public function or have an income higher than Cr$ 15,000 or own property with an area equal to or larger than the envisaged family property.</w:t>
      </w:r>
    </w:p>
    <w:p w:rsidR="00000000" w:rsidRDefault="00000000"/>
    <w:p w:rsidR="00000000" w:rsidRDefault="00000000">
      <w:pPr>
        <w:pStyle w:val="ParaNo"/>
        <w:tabs>
          <w:tab w:val="clear" w:pos="360"/>
          <w:tab w:val="clear" w:pos="737"/>
        </w:tabs>
        <w:ind w:left="0" w:firstLine="0"/>
        <w:rPr>
          <w:lang w:val="en-GB"/>
        </w:rPr>
      </w:pPr>
      <w:r>
        <w:rPr>
          <w:lang w:val="en-GB"/>
        </w:rPr>
        <w:t>Yearly interest is 4 per cent on loans of up to Cr$ 15,000, 5 per cent on loans from Cr$ 15,000 to Cr$ 30,000 and 6 per cent on loans from Cr$ 30,000 to Cr$ 40,000, which is the ceiling for Land Bank loans.  In poorer areas, rural workers will have a 50 per cent discount on interest, in intermediate areas, a 30 per cent discount and in other areas, a 10 per cent discount.</w:t>
      </w:r>
    </w:p>
    <w:p w:rsidR="00000000" w:rsidRDefault="00000000"/>
    <w:p w:rsidR="00000000" w:rsidRDefault="00000000">
      <w:pPr>
        <w:pStyle w:val="ParaNo"/>
        <w:tabs>
          <w:tab w:val="clear" w:pos="360"/>
          <w:tab w:val="clear" w:pos="737"/>
        </w:tabs>
        <w:ind w:left="0" w:firstLine="0"/>
        <w:rPr>
          <w:lang w:val="en-GB"/>
        </w:rPr>
      </w:pPr>
      <w:r>
        <w:rPr>
          <w:lang w:val="en-GB"/>
        </w:rPr>
        <w:t>The embryo of the Land Bank was the Land Title Project sponsored by the World Bank that was implemented in the States of Bahia, Ceara, Minas Gerais and Pernambuco, benefiting 15,000 families.  According to academic studies, the Land Title Project had the virtue of reducing the average hectare price by 6.2 per cent in Maranhao, 66 per cent in Ceara, 14 per cent in Pernambuco, 43 per cent in Bahia and 49 per cent in Minas Gerais.  This, according to analysts, was due to the direct negotiating power and to sight payments.</w:t>
      </w:r>
    </w:p>
    <w:p w:rsidR="00000000" w:rsidRDefault="00000000"/>
    <w:p w:rsidR="00000000" w:rsidRDefault="00000000">
      <w:pPr>
        <w:pStyle w:val="ParaNo"/>
        <w:tabs>
          <w:tab w:val="clear" w:pos="360"/>
          <w:tab w:val="clear" w:pos="737"/>
        </w:tabs>
        <w:ind w:left="0" w:firstLine="0"/>
        <w:rPr>
          <w:lang w:val="en-GB"/>
        </w:rPr>
      </w:pPr>
      <w:r>
        <w:rPr>
          <w:lang w:val="en-GB"/>
        </w:rPr>
        <w:br w:type="page"/>
        <w:t>The National Rural Development Council is an important element in the agrarian reform process.  Set up by the President of the Republic on 6 October 1999, it is chaired by the Minister of Agrarian Development and consists of representatives of the federal, state and municipal governments and of civil society.  Its task is to decide on the National Rural Development Plan that will set the guidelines, objectives and targets for the National Agrarian Reform Programme and the National Programme for the Strengthening of Family Farming</w:t>
      </w:r>
      <w:r>
        <w:rPr>
          <w:lang w:val="en-GB"/>
        </w:rPr>
        <w:noBreakHyphen/>
        <w:t>PRONAF.</w:t>
      </w:r>
    </w:p>
    <w:p w:rsidR="00000000" w:rsidRDefault="00000000"/>
    <w:p w:rsidR="00000000" w:rsidRDefault="00000000">
      <w:pPr>
        <w:pStyle w:val="ParaNo"/>
        <w:tabs>
          <w:tab w:val="clear" w:pos="360"/>
          <w:tab w:val="clear" w:pos="737"/>
        </w:tabs>
        <w:ind w:left="0" w:firstLine="0"/>
        <w:rPr>
          <w:lang w:val="en-GB"/>
        </w:rPr>
      </w:pPr>
      <w:r>
        <w:rPr>
          <w:lang w:val="en-GB"/>
        </w:rPr>
        <w:t>This Council will also formulate and coordinate public policies for the rural area and work in coordination with the state Rural Development Councils that are being gradually set up throughout the country. In turn, these state councils will work in coordination with municipal councils.  The economic viability of farming on small properties is the top priority to be jointly pursued.  Discussions are broadened through the participation of representatives of states and municipalities, rural workers, those settled under the agrarian reform programme, and small rural producers’ cooperatives.</w:t>
      </w:r>
    </w:p>
    <w:p w:rsidR="00000000" w:rsidRDefault="00000000"/>
    <w:p w:rsidR="00000000" w:rsidRDefault="00000000">
      <w:pPr>
        <w:pStyle w:val="ParaNo"/>
        <w:tabs>
          <w:tab w:val="clear" w:pos="360"/>
          <w:tab w:val="clear" w:pos="737"/>
        </w:tabs>
        <w:ind w:left="0" w:firstLine="0"/>
        <w:rPr>
          <w:lang w:val="en-GB"/>
        </w:rPr>
      </w:pPr>
      <w:r>
        <w:rPr>
          <w:lang w:val="en-GB"/>
        </w:rPr>
        <w:t>In 1999, the agrarian reform target of settling 85,000 families was achieved.  If we add those that were settled during 1995</w:t>
      </w:r>
      <w:r>
        <w:rPr>
          <w:lang w:val="en-GB"/>
        </w:rPr>
        <w:noBreakHyphen/>
        <w:t>1998, we see that the Federal Government has achieved the significant mark of 372,000 settled families.  But since 1999, the pursuit of higher targets for obtaining land for agrarian reform has included concern for the quality of settlements.  As a result, expenditures connected with establishing settlements have been higher as compared with the cost of procuring land.  Beneficiaries may now have their lands demarcated faster, will not have to wait long to obtain housing and production loans, and will be able to expedite the laying down of the productive infrastructure on their land and start deriving farming income sooner.</w:t>
      </w:r>
    </w:p>
    <w:p w:rsidR="00000000" w:rsidRDefault="00000000"/>
    <w:p w:rsidR="00000000" w:rsidRDefault="00000000">
      <w:pPr>
        <w:pStyle w:val="ParaNo"/>
        <w:tabs>
          <w:tab w:val="clear" w:pos="360"/>
          <w:tab w:val="clear" w:pos="737"/>
        </w:tabs>
        <w:ind w:left="0" w:firstLine="0"/>
        <w:rPr>
          <w:lang w:val="en-GB"/>
        </w:rPr>
      </w:pPr>
      <w:r>
        <w:rPr>
          <w:lang w:val="en-GB"/>
        </w:rPr>
        <w:t xml:space="preserve">In 1999, PRONAF was transferred to the Ministry of Agrarian Reform.  With this transfer, PRONAF’s </w:t>
      </w:r>
      <w:r>
        <w:rPr>
          <w:u w:val="single"/>
          <w:lang w:val="en-GB"/>
        </w:rPr>
        <w:t>Planta Brasil</w:t>
      </w:r>
      <w:r>
        <w:rPr>
          <w:lang w:val="en-GB"/>
        </w:rPr>
        <w:t xml:space="preserve"> programme was further strengthened and brought closer to farming families who benefited from the National Agrarian Reform Programme, as well as expanding benefits and coordinating public policies oriented towards the rural sector.</w:t>
      </w:r>
    </w:p>
    <w:p w:rsidR="00000000" w:rsidRDefault="00000000"/>
    <w:p w:rsidR="00000000" w:rsidRDefault="00000000">
      <w:pPr>
        <w:pStyle w:val="ParaNo"/>
        <w:tabs>
          <w:tab w:val="clear" w:pos="360"/>
          <w:tab w:val="clear" w:pos="737"/>
        </w:tabs>
        <w:ind w:left="0" w:firstLine="0"/>
        <w:rPr>
          <w:lang w:val="en-GB"/>
        </w:rPr>
      </w:pPr>
      <w:r>
        <w:rPr>
          <w:lang w:val="en-GB"/>
        </w:rPr>
        <w:t>PRONAF’s target for the next harvest is to assist 1.2 million participants by granting a total of Cr$ 3.4 billion in rural financing from resources of the Workers Aid Fund</w:t>
      </w:r>
      <w:r>
        <w:rPr>
          <w:lang w:val="en-GB"/>
        </w:rPr>
        <w:noBreakHyphen/>
        <w:t xml:space="preserve">FAT, appropriations and bank money.  There was a 70 per cent increase in the number of loan contracts for the 1998/99 harvest.  These figures show the programme’s potential.  Launched in 1995, results already show that it is meeting the needs of farming families.  As it is the most sought, this line of credit gives PRONAF’s </w:t>
      </w:r>
      <w:r>
        <w:rPr>
          <w:u w:val="single"/>
          <w:lang w:val="en-GB"/>
        </w:rPr>
        <w:t>Planta Brasi</w:t>
      </w:r>
      <w:r>
        <w:rPr>
          <w:lang w:val="en-GB"/>
        </w:rPr>
        <w:t>l programme higher visibility.  Its annual performance has exceeded programme targets.</w:t>
      </w:r>
    </w:p>
    <w:p w:rsidR="00000000" w:rsidRDefault="00000000"/>
    <w:p w:rsidR="00000000" w:rsidRDefault="00000000">
      <w:pPr>
        <w:pStyle w:val="ParaNo"/>
        <w:tabs>
          <w:tab w:val="clear" w:pos="360"/>
          <w:tab w:val="clear" w:pos="737"/>
        </w:tabs>
        <w:ind w:left="0" w:firstLine="0"/>
        <w:rPr>
          <w:lang w:val="en-GB"/>
        </w:rPr>
      </w:pPr>
      <w:r>
        <w:rPr>
          <w:lang w:val="en-GB"/>
        </w:rPr>
        <w:t>Before the securing of Cr$ 3.4 billion to finance the 1999/2000 harvest, funds were increased on a yearly basis to meet the needs of producers.</w:t>
      </w:r>
    </w:p>
    <w:p w:rsidR="00000000" w:rsidRDefault="00000000"/>
    <w:p w:rsidR="00000000" w:rsidRDefault="00000000">
      <w:pPr>
        <w:pStyle w:val="ParaNo"/>
        <w:tabs>
          <w:tab w:val="clear" w:pos="360"/>
          <w:tab w:val="clear" w:pos="737"/>
        </w:tabs>
        <w:ind w:left="0" w:firstLine="0"/>
        <w:rPr>
          <w:lang w:val="en-GB"/>
        </w:rPr>
      </w:pPr>
      <w:r>
        <w:rPr>
          <w:lang w:val="en-GB"/>
        </w:rPr>
        <w:t xml:space="preserve">In 1996, PRONAF’s </w:t>
      </w:r>
      <w:r>
        <w:rPr>
          <w:u w:val="single"/>
          <w:lang w:val="en-GB"/>
        </w:rPr>
        <w:t>Planta Brasil</w:t>
      </w:r>
      <w:r>
        <w:rPr>
          <w:lang w:val="en-GB"/>
        </w:rPr>
        <w:t xml:space="preserve"> programme offered two lines of credit for costs and investment.  For this year’s harvest, it offers nine lines of credit:  new family farmer, integrated, collective, microcredit, agribusiness, addition, special investment, and investment and cost.  The programme operates in 3,792 municipalities.  In the first six months of operation, i.e. from July through December, 499,338 loan contracts totalling Cr$ 1.1 billion were signed in the country. </w:t>
      </w:r>
    </w:p>
    <w:p w:rsidR="00000000" w:rsidRDefault="00000000"/>
    <w:p w:rsidR="00000000" w:rsidRDefault="00000000">
      <w:pPr>
        <w:pStyle w:val="Heading1"/>
      </w:pPr>
      <w:r>
        <w:t>Table 52</w:t>
      </w:r>
    </w:p>
    <w:p w:rsidR="00000000" w:rsidRDefault="00000000">
      <w:pPr>
        <w:pStyle w:val="Heading1"/>
      </w:pPr>
    </w:p>
    <w:p w:rsidR="00000000" w:rsidRDefault="00000000">
      <w:pPr>
        <w:pStyle w:val="Heading1"/>
      </w:pPr>
      <w:r>
        <w:t xml:space="preserve">Credits from the </w:t>
      </w:r>
      <w:r>
        <w:rPr>
          <w:u w:val="single"/>
        </w:rPr>
        <w:t>Planta Brasil</w:t>
      </w:r>
      <w:r>
        <w:t xml:space="preserve"> programme</w:t>
      </w:r>
    </w:p>
    <w:p w:rsidR="00000000" w:rsidRDefault="00000000"/>
    <w:p w:rsidR="00000000" w:rsidRDefault="00000000">
      <w:pPr>
        <w:pStyle w:val="Heading1"/>
      </w:pPr>
      <w:r>
        <w:t>A.  Funds made available for 1999/2000 (in Cr$ millions)</w:t>
      </w:r>
    </w:p>
    <w:p w:rsidR="00000000" w:rsidRDefault="00000000"/>
    <w:tbl>
      <w:tblPr>
        <w:tblW w:w="0" w:type="auto"/>
        <w:tblInd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4"/>
        <w:gridCol w:w="1986"/>
      </w:tblGrid>
      <w:tr w:rsidR="00000000">
        <w:tblPrEx>
          <w:tblCellMar>
            <w:top w:w="0" w:type="dxa"/>
            <w:bottom w:w="0" w:type="dxa"/>
          </w:tblCellMar>
        </w:tblPrEx>
        <w:tc>
          <w:tcPr>
            <w:tcW w:w="2834" w:type="dxa"/>
            <w:tcBorders>
              <w:bottom w:val="nil"/>
            </w:tcBorders>
          </w:tcPr>
          <w:p w:rsidR="00000000" w:rsidRDefault="00000000">
            <w:r>
              <w:t>New family farmer</w:t>
            </w:r>
          </w:p>
        </w:tc>
        <w:tc>
          <w:tcPr>
            <w:tcW w:w="1986" w:type="dxa"/>
            <w:tcBorders>
              <w:bottom w:val="nil"/>
            </w:tcBorders>
          </w:tcPr>
          <w:p w:rsidR="00000000" w:rsidRDefault="00000000">
            <w:pPr>
              <w:ind w:right="601"/>
              <w:jc w:val="right"/>
            </w:pPr>
            <w:r>
              <w:t>460</w:t>
            </w:r>
          </w:p>
        </w:tc>
      </w:tr>
      <w:tr w:rsidR="00000000">
        <w:tblPrEx>
          <w:tblCellMar>
            <w:top w:w="0" w:type="dxa"/>
            <w:bottom w:w="0" w:type="dxa"/>
          </w:tblCellMar>
        </w:tblPrEx>
        <w:tc>
          <w:tcPr>
            <w:tcW w:w="2834" w:type="dxa"/>
            <w:tcBorders>
              <w:top w:val="nil"/>
              <w:bottom w:val="nil"/>
            </w:tcBorders>
          </w:tcPr>
          <w:p w:rsidR="00000000" w:rsidRDefault="00000000">
            <w:r>
              <w:t>Microcredit/NE</w:t>
            </w:r>
          </w:p>
        </w:tc>
        <w:tc>
          <w:tcPr>
            <w:tcW w:w="1986" w:type="dxa"/>
            <w:tcBorders>
              <w:top w:val="nil"/>
              <w:bottom w:val="nil"/>
            </w:tcBorders>
          </w:tcPr>
          <w:p w:rsidR="00000000" w:rsidRDefault="00000000">
            <w:pPr>
              <w:ind w:right="601"/>
              <w:jc w:val="right"/>
            </w:pPr>
            <w:r>
              <w:t xml:space="preserve">100 </w:t>
            </w:r>
          </w:p>
        </w:tc>
      </w:tr>
      <w:tr w:rsidR="00000000">
        <w:tblPrEx>
          <w:tblCellMar>
            <w:top w:w="0" w:type="dxa"/>
            <w:bottom w:w="0" w:type="dxa"/>
          </w:tblCellMar>
        </w:tblPrEx>
        <w:tc>
          <w:tcPr>
            <w:tcW w:w="2834" w:type="dxa"/>
            <w:tcBorders>
              <w:top w:val="nil"/>
              <w:bottom w:val="nil"/>
            </w:tcBorders>
          </w:tcPr>
          <w:p w:rsidR="00000000" w:rsidRDefault="00000000">
            <w:r>
              <w:t>Agribusiness</w:t>
            </w:r>
          </w:p>
        </w:tc>
        <w:tc>
          <w:tcPr>
            <w:tcW w:w="1986" w:type="dxa"/>
            <w:tcBorders>
              <w:top w:val="nil"/>
              <w:bottom w:val="nil"/>
            </w:tcBorders>
          </w:tcPr>
          <w:p w:rsidR="00000000" w:rsidRDefault="00000000">
            <w:pPr>
              <w:ind w:right="601"/>
              <w:jc w:val="right"/>
            </w:pPr>
            <w:r>
              <w:t>150</w:t>
            </w:r>
          </w:p>
        </w:tc>
      </w:tr>
      <w:tr w:rsidR="00000000">
        <w:tblPrEx>
          <w:tblCellMar>
            <w:top w:w="0" w:type="dxa"/>
            <w:bottom w:w="0" w:type="dxa"/>
          </w:tblCellMar>
        </w:tblPrEx>
        <w:tc>
          <w:tcPr>
            <w:tcW w:w="2834" w:type="dxa"/>
            <w:tcBorders>
              <w:top w:val="nil"/>
              <w:bottom w:val="nil"/>
            </w:tcBorders>
          </w:tcPr>
          <w:p w:rsidR="00000000" w:rsidRDefault="00000000">
            <w:r>
              <w:t>Addition</w:t>
            </w:r>
          </w:p>
        </w:tc>
        <w:tc>
          <w:tcPr>
            <w:tcW w:w="1986" w:type="dxa"/>
            <w:tcBorders>
              <w:top w:val="nil"/>
              <w:bottom w:val="nil"/>
            </w:tcBorders>
          </w:tcPr>
          <w:p w:rsidR="00000000" w:rsidRDefault="00000000">
            <w:pPr>
              <w:ind w:right="601"/>
              <w:jc w:val="right"/>
            </w:pPr>
            <w:r>
              <w:t>100</w:t>
            </w:r>
          </w:p>
        </w:tc>
      </w:tr>
      <w:tr w:rsidR="00000000">
        <w:tblPrEx>
          <w:tblCellMar>
            <w:top w:w="0" w:type="dxa"/>
            <w:bottom w:w="0" w:type="dxa"/>
          </w:tblCellMar>
        </w:tblPrEx>
        <w:tc>
          <w:tcPr>
            <w:tcW w:w="2834" w:type="dxa"/>
            <w:tcBorders>
              <w:top w:val="nil"/>
              <w:bottom w:val="nil"/>
            </w:tcBorders>
          </w:tcPr>
          <w:p w:rsidR="00000000" w:rsidRDefault="00000000">
            <w:r>
              <w:t>Special investment</w:t>
            </w:r>
          </w:p>
        </w:tc>
        <w:tc>
          <w:tcPr>
            <w:tcW w:w="1986" w:type="dxa"/>
            <w:tcBorders>
              <w:top w:val="nil"/>
              <w:bottom w:val="nil"/>
            </w:tcBorders>
          </w:tcPr>
          <w:p w:rsidR="00000000" w:rsidRDefault="00000000">
            <w:pPr>
              <w:ind w:right="601"/>
              <w:jc w:val="right"/>
            </w:pPr>
            <w:r>
              <w:t>400</w:t>
            </w:r>
          </w:p>
        </w:tc>
      </w:tr>
      <w:tr w:rsidR="00000000">
        <w:tblPrEx>
          <w:tblCellMar>
            <w:top w:w="0" w:type="dxa"/>
            <w:bottom w:w="0" w:type="dxa"/>
          </w:tblCellMar>
        </w:tblPrEx>
        <w:tc>
          <w:tcPr>
            <w:tcW w:w="2834" w:type="dxa"/>
            <w:tcBorders>
              <w:top w:val="nil"/>
              <w:bottom w:val="nil"/>
            </w:tcBorders>
          </w:tcPr>
          <w:p w:rsidR="00000000" w:rsidRDefault="00000000">
            <w:r>
              <w:t>Special cost</w:t>
            </w:r>
          </w:p>
        </w:tc>
        <w:tc>
          <w:tcPr>
            <w:tcW w:w="1986" w:type="dxa"/>
            <w:tcBorders>
              <w:top w:val="nil"/>
              <w:bottom w:val="nil"/>
            </w:tcBorders>
          </w:tcPr>
          <w:p w:rsidR="00000000" w:rsidRDefault="00000000">
            <w:pPr>
              <w:ind w:right="601"/>
              <w:jc w:val="right"/>
            </w:pPr>
            <w:r>
              <w:t>500</w:t>
            </w:r>
          </w:p>
        </w:tc>
      </w:tr>
      <w:tr w:rsidR="00000000">
        <w:tblPrEx>
          <w:tblCellMar>
            <w:top w:w="0" w:type="dxa"/>
            <w:bottom w:w="0" w:type="dxa"/>
          </w:tblCellMar>
        </w:tblPrEx>
        <w:tc>
          <w:tcPr>
            <w:tcW w:w="2834" w:type="dxa"/>
            <w:tcBorders>
              <w:top w:val="nil"/>
              <w:bottom w:val="nil"/>
            </w:tcBorders>
          </w:tcPr>
          <w:p w:rsidR="00000000" w:rsidRDefault="00000000">
            <w:r>
              <w:t>Investment</w:t>
            </w:r>
          </w:p>
        </w:tc>
        <w:tc>
          <w:tcPr>
            <w:tcW w:w="1986" w:type="dxa"/>
            <w:tcBorders>
              <w:top w:val="nil"/>
              <w:bottom w:val="nil"/>
            </w:tcBorders>
          </w:tcPr>
          <w:p w:rsidR="00000000" w:rsidRDefault="00000000">
            <w:pPr>
              <w:ind w:right="601"/>
              <w:jc w:val="right"/>
            </w:pPr>
            <w:r>
              <w:t>700</w:t>
            </w:r>
          </w:p>
        </w:tc>
      </w:tr>
      <w:tr w:rsidR="00000000">
        <w:tblPrEx>
          <w:tblCellMar>
            <w:top w:w="0" w:type="dxa"/>
            <w:bottom w:w="0" w:type="dxa"/>
          </w:tblCellMar>
        </w:tblPrEx>
        <w:tc>
          <w:tcPr>
            <w:tcW w:w="2834" w:type="dxa"/>
            <w:tcBorders>
              <w:top w:val="nil"/>
            </w:tcBorders>
          </w:tcPr>
          <w:p w:rsidR="00000000" w:rsidRDefault="00000000">
            <w:r>
              <w:t>Cost</w:t>
            </w:r>
          </w:p>
        </w:tc>
        <w:tc>
          <w:tcPr>
            <w:tcW w:w="1986" w:type="dxa"/>
            <w:tcBorders>
              <w:top w:val="nil"/>
            </w:tcBorders>
          </w:tcPr>
          <w:p w:rsidR="00000000" w:rsidRDefault="00000000">
            <w:pPr>
              <w:ind w:right="601"/>
              <w:jc w:val="right"/>
            </w:pPr>
            <w:r>
              <w:t>1 050</w:t>
            </w:r>
          </w:p>
        </w:tc>
      </w:tr>
      <w:tr w:rsidR="00000000">
        <w:tblPrEx>
          <w:tblCellMar>
            <w:top w:w="0" w:type="dxa"/>
            <w:bottom w:w="0" w:type="dxa"/>
          </w:tblCellMar>
        </w:tblPrEx>
        <w:tc>
          <w:tcPr>
            <w:tcW w:w="2834" w:type="dxa"/>
          </w:tcPr>
          <w:p w:rsidR="00000000" w:rsidRDefault="00000000">
            <w:r>
              <w:tab/>
              <w:t>Total</w:t>
            </w:r>
          </w:p>
        </w:tc>
        <w:tc>
          <w:tcPr>
            <w:tcW w:w="1986" w:type="dxa"/>
          </w:tcPr>
          <w:p w:rsidR="00000000" w:rsidRDefault="00000000">
            <w:pPr>
              <w:ind w:right="601"/>
              <w:jc w:val="right"/>
            </w:pPr>
            <w:r>
              <w:t>3 460</w:t>
            </w:r>
          </w:p>
        </w:tc>
      </w:tr>
    </w:tbl>
    <w:p w:rsidR="00000000" w:rsidRDefault="00000000"/>
    <w:p w:rsidR="00000000" w:rsidRDefault="00000000">
      <w:pPr>
        <w:pStyle w:val="Heading1"/>
      </w:pPr>
    </w:p>
    <w:p w:rsidR="00000000" w:rsidRDefault="00000000">
      <w:pPr>
        <w:pStyle w:val="Heading1"/>
      </w:pPr>
      <w:r>
        <w:t>B.  Financing sources (in Cr$ millions)</w:t>
      </w:r>
    </w:p>
    <w:p w:rsidR="00000000" w:rsidRDefault="00000000"/>
    <w:tbl>
      <w:tblPr>
        <w:tblW w:w="0" w:type="auto"/>
        <w:tblInd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4"/>
        <w:gridCol w:w="1986"/>
      </w:tblGrid>
      <w:tr w:rsidR="00000000">
        <w:tblPrEx>
          <w:tblCellMar>
            <w:top w:w="0" w:type="dxa"/>
            <w:bottom w:w="0" w:type="dxa"/>
          </w:tblCellMar>
        </w:tblPrEx>
        <w:tc>
          <w:tcPr>
            <w:tcW w:w="2834" w:type="dxa"/>
            <w:tcBorders>
              <w:bottom w:val="nil"/>
            </w:tcBorders>
          </w:tcPr>
          <w:p w:rsidR="00000000" w:rsidRDefault="00000000">
            <w:r>
              <w:t>FAT</w:t>
            </w:r>
          </w:p>
        </w:tc>
        <w:tc>
          <w:tcPr>
            <w:tcW w:w="1986" w:type="dxa"/>
            <w:tcBorders>
              <w:bottom w:val="nil"/>
            </w:tcBorders>
          </w:tcPr>
          <w:p w:rsidR="00000000" w:rsidRDefault="00000000">
            <w:pPr>
              <w:ind w:right="601"/>
              <w:jc w:val="right"/>
            </w:pPr>
            <w:r>
              <w:t>2 950</w:t>
            </w:r>
          </w:p>
        </w:tc>
      </w:tr>
      <w:tr w:rsidR="00000000">
        <w:tblPrEx>
          <w:tblCellMar>
            <w:top w:w="0" w:type="dxa"/>
            <w:bottom w:w="0" w:type="dxa"/>
          </w:tblCellMar>
        </w:tblPrEx>
        <w:tc>
          <w:tcPr>
            <w:tcW w:w="2834" w:type="dxa"/>
            <w:tcBorders>
              <w:top w:val="nil"/>
              <w:bottom w:val="nil"/>
            </w:tcBorders>
          </w:tcPr>
          <w:p w:rsidR="00000000" w:rsidRDefault="00000000">
            <w:r>
              <w:t>Appropriations</w:t>
            </w:r>
          </w:p>
        </w:tc>
        <w:tc>
          <w:tcPr>
            <w:tcW w:w="1986" w:type="dxa"/>
            <w:tcBorders>
              <w:top w:val="nil"/>
              <w:bottom w:val="nil"/>
            </w:tcBorders>
          </w:tcPr>
          <w:p w:rsidR="00000000" w:rsidRDefault="00000000">
            <w:pPr>
              <w:ind w:right="601"/>
              <w:jc w:val="right"/>
            </w:pPr>
            <w:r>
              <w:t>360</w:t>
            </w:r>
          </w:p>
        </w:tc>
      </w:tr>
      <w:tr w:rsidR="00000000">
        <w:tblPrEx>
          <w:tblCellMar>
            <w:top w:w="0" w:type="dxa"/>
            <w:bottom w:w="0" w:type="dxa"/>
          </w:tblCellMar>
        </w:tblPrEx>
        <w:tc>
          <w:tcPr>
            <w:tcW w:w="2834" w:type="dxa"/>
            <w:tcBorders>
              <w:top w:val="nil"/>
            </w:tcBorders>
          </w:tcPr>
          <w:p w:rsidR="00000000" w:rsidRDefault="00000000">
            <w:r>
              <w:t>Bank money</w:t>
            </w:r>
          </w:p>
        </w:tc>
        <w:tc>
          <w:tcPr>
            <w:tcW w:w="1986" w:type="dxa"/>
            <w:tcBorders>
              <w:top w:val="nil"/>
            </w:tcBorders>
          </w:tcPr>
          <w:p w:rsidR="00000000" w:rsidRDefault="00000000">
            <w:pPr>
              <w:ind w:right="601"/>
              <w:jc w:val="right"/>
            </w:pPr>
            <w:r>
              <w:t>150</w:t>
            </w:r>
          </w:p>
        </w:tc>
      </w:tr>
      <w:tr w:rsidR="00000000">
        <w:tblPrEx>
          <w:tblCellMar>
            <w:top w:w="0" w:type="dxa"/>
            <w:bottom w:w="0" w:type="dxa"/>
          </w:tblCellMar>
        </w:tblPrEx>
        <w:tc>
          <w:tcPr>
            <w:tcW w:w="2834" w:type="dxa"/>
          </w:tcPr>
          <w:p w:rsidR="00000000" w:rsidRDefault="00000000">
            <w:r>
              <w:tab/>
              <w:t>Total</w:t>
            </w:r>
          </w:p>
        </w:tc>
        <w:tc>
          <w:tcPr>
            <w:tcW w:w="1986" w:type="dxa"/>
          </w:tcPr>
          <w:p w:rsidR="00000000" w:rsidRDefault="00000000">
            <w:pPr>
              <w:ind w:right="601"/>
              <w:jc w:val="right"/>
            </w:pPr>
            <w:r>
              <w:t>3 460</w:t>
            </w:r>
          </w:p>
        </w:tc>
      </w:tr>
    </w:tbl>
    <w:p w:rsidR="00000000" w:rsidRDefault="00000000"/>
    <w:p w:rsidR="00000000" w:rsidRDefault="00000000">
      <w:pPr>
        <w:pStyle w:val="Heading1"/>
      </w:pPr>
    </w:p>
    <w:p w:rsidR="00000000" w:rsidRDefault="00000000">
      <w:pPr>
        <w:pStyle w:val="Heading1"/>
      </w:pPr>
      <w:r>
        <w:t xml:space="preserve">C.  Production financing (rural credit) </w:t>
      </w:r>
      <w:r>
        <w:noBreakHyphen/>
        <w:t xml:space="preserve"> </w:t>
      </w:r>
    </w:p>
    <w:p w:rsidR="00000000" w:rsidRDefault="00000000">
      <w:pPr>
        <w:pStyle w:val="Heading1"/>
      </w:pPr>
      <w:r>
        <w:t xml:space="preserve">          types of credit and total funds (in Cr$)</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1276"/>
        <w:gridCol w:w="1417"/>
        <w:gridCol w:w="1418"/>
        <w:gridCol w:w="1417"/>
        <w:gridCol w:w="1843"/>
        <w:gridCol w:w="1985"/>
      </w:tblGrid>
      <w:tr w:rsidR="00000000">
        <w:tc>
          <w:tcPr>
            <w:tcW w:w="1276" w:type="dxa"/>
          </w:tcPr>
          <w:p w:rsidR="00000000" w:rsidRDefault="00000000">
            <w:pPr>
              <w:rPr>
                <w:sz w:val="20"/>
              </w:rPr>
            </w:pPr>
          </w:p>
        </w:tc>
        <w:tc>
          <w:tcPr>
            <w:tcW w:w="1417" w:type="dxa"/>
          </w:tcPr>
          <w:p w:rsidR="00000000" w:rsidRDefault="00000000">
            <w:pPr>
              <w:jc w:val="center"/>
              <w:rPr>
                <w:sz w:val="20"/>
              </w:rPr>
            </w:pPr>
            <w:r>
              <w:rPr>
                <w:sz w:val="20"/>
              </w:rPr>
              <w:t>1995</w:t>
            </w:r>
          </w:p>
        </w:tc>
        <w:tc>
          <w:tcPr>
            <w:tcW w:w="1418" w:type="dxa"/>
          </w:tcPr>
          <w:p w:rsidR="00000000" w:rsidRDefault="00000000">
            <w:pPr>
              <w:jc w:val="center"/>
              <w:rPr>
                <w:sz w:val="20"/>
              </w:rPr>
            </w:pPr>
            <w:r>
              <w:rPr>
                <w:sz w:val="20"/>
              </w:rPr>
              <w:t>1996</w:t>
            </w:r>
          </w:p>
        </w:tc>
        <w:tc>
          <w:tcPr>
            <w:tcW w:w="1417" w:type="dxa"/>
          </w:tcPr>
          <w:p w:rsidR="00000000" w:rsidRDefault="00000000">
            <w:pPr>
              <w:jc w:val="center"/>
              <w:rPr>
                <w:sz w:val="20"/>
              </w:rPr>
            </w:pPr>
            <w:r>
              <w:rPr>
                <w:sz w:val="20"/>
              </w:rPr>
              <w:t>1997</w:t>
            </w:r>
          </w:p>
        </w:tc>
        <w:tc>
          <w:tcPr>
            <w:tcW w:w="1843" w:type="dxa"/>
          </w:tcPr>
          <w:p w:rsidR="00000000" w:rsidRDefault="00000000">
            <w:pPr>
              <w:jc w:val="center"/>
              <w:rPr>
                <w:sz w:val="20"/>
              </w:rPr>
            </w:pPr>
            <w:r>
              <w:rPr>
                <w:sz w:val="20"/>
              </w:rPr>
              <w:t>1998</w:t>
            </w:r>
          </w:p>
        </w:tc>
        <w:tc>
          <w:tcPr>
            <w:tcW w:w="1985" w:type="dxa"/>
          </w:tcPr>
          <w:p w:rsidR="00000000" w:rsidRDefault="00000000">
            <w:pPr>
              <w:jc w:val="center"/>
              <w:rPr>
                <w:sz w:val="20"/>
              </w:rPr>
            </w:pPr>
            <w:r>
              <w:rPr>
                <w:sz w:val="20"/>
              </w:rPr>
              <w:t>1999/2000</w:t>
            </w:r>
          </w:p>
        </w:tc>
      </w:tr>
      <w:tr w:rsidR="00000000">
        <w:tc>
          <w:tcPr>
            <w:tcW w:w="1276" w:type="dxa"/>
          </w:tcPr>
          <w:p w:rsidR="00000000" w:rsidRDefault="00000000">
            <w:pPr>
              <w:rPr>
                <w:sz w:val="20"/>
              </w:rPr>
            </w:pPr>
            <w:r>
              <w:rPr>
                <w:sz w:val="20"/>
              </w:rPr>
              <w:t>Type of credit</w:t>
            </w:r>
          </w:p>
        </w:tc>
        <w:tc>
          <w:tcPr>
            <w:tcW w:w="1417" w:type="dxa"/>
          </w:tcPr>
          <w:p w:rsidR="00000000" w:rsidRDefault="00000000">
            <w:pPr>
              <w:rPr>
                <w:sz w:val="20"/>
              </w:rPr>
            </w:pPr>
            <w:r>
              <w:rPr>
                <w:sz w:val="20"/>
              </w:rPr>
              <w:t>Cost</w:t>
            </w:r>
          </w:p>
        </w:tc>
        <w:tc>
          <w:tcPr>
            <w:tcW w:w="1418" w:type="dxa"/>
          </w:tcPr>
          <w:p w:rsidR="00000000" w:rsidRDefault="00000000">
            <w:pPr>
              <w:rPr>
                <w:sz w:val="20"/>
              </w:rPr>
            </w:pPr>
            <w:r>
              <w:rPr>
                <w:sz w:val="20"/>
              </w:rPr>
              <w:t xml:space="preserve">Investment </w:t>
            </w:r>
          </w:p>
          <w:p w:rsidR="00000000" w:rsidRDefault="00000000">
            <w:pPr>
              <w:rPr>
                <w:sz w:val="20"/>
              </w:rPr>
            </w:pPr>
            <w:r>
              <w:rPr>
                <w:sz w:val="20"/>
              </w:rPr>
              <w:t>Cost</w:t>
            </w:r>
          </w:p>
        </w:tc>
        <w:tc>
          <w:tcPr>
            <w:tcW w:w="1417" w:type="dxa"/>
          </w:tcPr>
          <w:p w:rsidR="00000000" w:rsidRDefault="00000000">
            <w:pPr>
              <w:rPr>
                <w:sz w:val="20"/>
              </w:rPr>
            </w:pPr>
            <w:r>
              <w:rPr>
                <w:sz w:val="20"/>
              </w:rPr>
              <w:t xml:space="preserve">Special cost </w:t>
            </w:r>
          </w:p>
          <w:p w:rsidR="00000000" w:rsidRDefault="00000000">
            <w:pPr>
              <w:rPr>
                <w:sz w:val="20"/>
              </w:rPr>
            </w:pPr>
            <w:r>
              <w:rPr>
                <w:sz w:val="20"/>
              </w:rPr>
              <w:t xml:space="preserve">Investment </w:t>
            </w:r>
          </w:p>
          <w:p w:rsidR="00000000" w:rsidRDefault="00000000">
            <w:pPr>
              <w:rPr>
                <w:sz w:val="20"/>
              </w:rPr>
            </w:pPr>
            <w:r>
              <w:rPr>
                <w:sz w:val="20"/>
              </w:rPr>
              <w:t>Cost</w:t>
            </w:r>
          </w:p>
        </w:tc>
        <w:tc>
          <w:tcPr>
            <w:tcW w:w="1843" w:type="dxa"/>
          </w:tcPr>
          <w:p w:rsidR="00000000" w:rsidRDefault="00000000">
            <w:pPr>
              <w:rPr>
                <w:sz w:val="20"/>
              </w:rPr>
            </w:pPr>
            <w:r>
              <w:rPr>
                <w:sz w:val="20"/>
              </w:rPr>
              <w:t xml:space="preserve">Agribusiness </w:t>
            </w:r>
          </w:p>
          <w:p w:rsidR="00000000" w:rsidRDefault="00000000">
            <w:pPr>
              <w:rPr>
                <w:sz w:val="20"/>
              </w:rPr>
            </w:pPr>
            <w:r>
              <w:rPr>
                <w:sz w:val="20"/>
              </w:rPr>
              <w:t xml:space="preserve">Addition </w:t>
            </w:r>
          </w:p>
          <w:p w:rsidR="00000000" w:rsidRDefault="00000000">
            <w:pPr>
              <w:rPr>
                <w:sz w:val="20"/>
              </w:rPr>
            </w:pPr>
            <w:r>
              <w:rPr>
                <w:sz w:val="20"/>
              </w:rPr>
              <w:t>Special investment</w:t>
            </w:r>
          </w:p>
          <w:p w:rsidR="00000000" w:rsidRDefault="00000000">
            <w:pPr>
              <w:rPr>
                <w:sz w:val="20"/>
              </w:rPr>
            </w:pPr>
            <w:r>
              <w:rPr>
                <w:sz w:val="20"/>
              </w:rPr>
              <w:t>Special cost</w:t>
            </w:r>
          </w:p>
          <w:p w:rsidR="00000000" w:rsidRDefault="00000000">
            <w:pPr>
              <w:rPr>
                <w:sz w:val="20"/>
              </w:rPr>
            </w:pPr>
            <w:r>
              <w:rPr>
                <w:sz w:val="20"/>
              </w:rPr>
              <w:t>Investment</w:t>
            </w:r>
          </w:p>
          <w:p w:rsidR="00000000" w:rsidRDefault="00000000">
            <w:pPr>
              <w:rPr>
                <w:sz w:val="20"/>
              </w:rPr>
            </w:pPr>
            <w:r>
              <w:rPr>
                <w:sz w:val="20"/>
              </w:rPr>
              <w:t>Cost</w:t>
            </w:r>
          </w:p>
        </w:tc>
        <w:tc>
          <w:tcPr>
            <w:tcW w:w="1985" w:type="dxa"/>
          </w:tcPr>
          <w:p w:rsidR="00000000" w:rsidRDefault="00000000">
            <w:pPr>
              <w:rPr>
                <w:sz w:val="20"/>
              </w:rPr>
            </w:pPr>
            <w:r>
              <w:rPr>
                <w:sz w:val="20"/>
              </w:rPr>
              <w:t>New family farmer</w:t>
            </w:r>
          </w:p>
          <w:p w:rsidR="00000000" w:rsidRDefault="00000000">
            <w:pPr>
              <w:rPr>
                <w:sz w:val="20"/>
              </w:rPr>
            </w:pPr>
            <w:r>
              <w:rPr>
                <w:sz w:val="20"/>
              </w:rPr>
              <w:t>Integrated collective</w:t>
            </w:r>
          </w:p>
          <w:p w:rsidR="00000000" w:rsidRDefault="00000000">
            <w:pPr>
              <w:rPr>
                <w:sz w:val="20"/>
              </w:rPr>
            </w:pPr>
            <w:r>
              <w:rPr>
                <w:sz w:val="20"/>
              </w:rPr>
              <w:t>Microcredit/NE</w:t>
            </w:r>
          </w:p>
          <w:p w:rsidR="00000000" w:rsidRDefault="00000000">
            <w:pPr>
              <w:rPr>
                <w:sz w:val="20"/>
              </w:rPr>
            </w:pPr>
            <w:r>
              <w:rPr>
                <w:sz w:val="20"/>
              </w:rPr>
              <w:t>Agribusiness</w:t>
            </w:r>
          </w:p>
          <w:p w:rsidR="00000000" w:rsidRDefault="00000000">
            <w:pPr>
              <w:rPr>
                <w:sz w:val="20"/>
              </w:rPr>
            </w:pPr>
            <w:r>
              <w:rPr>
                <w:sz w:val="20"/>
              </w:rPr>
              <w:t>Addition</w:t>
            </w:r>
          </w:p>
          <w:p w:rsidR="00000000" w:rsidRDefault="00000000">
            <w:pPr>
              <w:rPr>
                <w:sz w:val="20"/>
              </w:rPr>
            </w:pPr>
            <w:r>
              <w:rPr>
                <w:sz w:val="20"/>
              </w:rPr>
              <w:t>Special investment</w:t>
            </w:r>
          </w:p>
          <w:p w:rsidR="00000000" w:rsidRDefault="00000000">
            <w:pPr>
              <w:rPr>
                <w:sz w:val="20"/>
              </w:rPr>
            </w:pPr>
            <w:r>
              <w:rPr>
                <w:sz w:val="20"/>
              </w:rPr>
              <w:t>Special cost</w:t>
            </w:r>
          </w:p>
          <w:p w:rsidR="00000000" w:rsidRDefault="00000000">
            <w:pPr>
              <w:rPr>
                <w:sz w:val="20"/>
              </w:rPr>
            </w:pPr>
            <w:r>
              <w:rPr>
                <w:sz w:val="20"/>
              </w:rPr>
              <w:t>Investment</w:t>
            </w:r>
          </w:p>
          <w:p w:rsidR="00000000" w:rsidRDefault="00000000">
            <w:pPr>
              <w:rPr>
                <w:sz w:val="20"/>
              </w:rPr>
            </w:pPr>
            <w:r>
              <w:rPr>
                <w:sz w:val="20"/>
              </w:rPr>
              <w:t>Cost</w:t>
            </w:r>
          </w:p>
        </w:tc>
      </w:tr>
      <w:tr w:rsidR="00000000">
        <w:tc>
          <w:tcPr>
            <w:tcW w:w="1276" w:type="dxa"/>
          </w:tcPr>
          <w:p w:rsidR="00000000" w:rsidRDefault="00000000">
            <w:pPr>
              <w:rPr>
                <w:sz w:val="20"/>
              </w:rPr>
            </w:pPr>
            <w:r>
              <w:rPr>
                <w:sz w:val="20"/>
              </w:rPr>
              <w:t>Number of contracts</w:t>
            </w:r>
          </w:p>
        </w:tc>
        <w:tc>
          <w:tcPr>
            <w:tcW w:w="1417" w:type="dxa"/>
          </w:tcPr>
          <w:p w:rsidR="00000000" w:rsidRDefault="00000000">
            <w:pPr>
              <w:ind w:right="33"/>
              <w:jc w:val="right"/>
              <w:rPr>
                <w:sz w:val="20"/>
              </w:rPr>
            </w:pPr>
            <w:r>
              <w:rPr>
                <w:sz w:val="20"/>
              </w:rPr>
              <w:t>32 000</w:t>
            </w:r>
          </w:p>
        </w:tc>
        <w:tc>
          <w:tcPr>
            <w:tcW w:w="1418" w:type="dxa"/>
          </w:tcPr>
          <w:p w:rsidR="00000000" w:rsidRDefault="00000000">
            <w:pPr>
              <w:ind w:right="175"/>
              <w:jc w:val="right"/>
              <w:rPr>
                <w:sz w:val="20"/>
              </w:rPr>
            </w:pPr>
            <w:r>
              <w:rPr>
                <w:sz w:val="20"/>
              </w:rPr>
              <w:t>332 828</w:t>
            </w:r>
          </w:p>
        </w:tc>
        <w:tc>
          <w:tcPr>
            <w:tcW w:w="1417" w:type="dxa"/>
          </w:tcPr>
          <w:p w:rsidR="00000000" w:rsidRDefault="00000000">
            <w:pPr>
              <w:ind w:right="33"/>
              <w:jc w:val="right"/>
              <w:rPr>
                <w:sz w:val="20"/>
              </w:rPr>
            </w:pPr>
            <w:r>
              <w:rPr>
                <w:sz w:val="20"/>
              </w:rPr>
              <w:t>496 550</w:t>
            </w:r>
          </w:p>
        </w:tc>
        <w:tc>
          <w:tcPr>
            <w:tcW w:w="1843" w:type="dxa"/>
          </w:tcPr>
          <w:p w:rsidR="00000000" w:rsidRDefault="00000000">
            <w:pPr>
              <w:ind w:right="317"/>
              <w:jc w:val="right"/>
              <w:rPr>
                <w:sz w:val="20"/>
              </w:rPr>
            </w:pPr>
            <w:r>
              <w:rPr>
                <w:sz w:val="20"/>
              </w:rPr>
              <w:t>709 906</w:t>
            </w:r>
          </w:p>
        </w:tc>
        <w:tc>
          <w:tcPr>
            <w:tcW w:w="1985" w:type="dxa"/>
          </w:tcPr>
          <w:p w:rsidR="00000000" w:rsidRDefault="00000000">
            <w:pPr>
              <w:ind w:right="459"/>
              <w:jc w:val="right"/>
              <w:rPr>
                <w:sz w:val="20"/>
              </w:rPr>
            </w:pPr>
            <w:r>
              <w:rPr>
                <w:sz w:val="20"/>
              </w:rPr>
              <w:t>491 409</w:t>
            </w:r>
          </w:p>
        </w:tc>
      </w:tr>
      <w:tr w:rsidR="00000000">
        <w:tc>
          <w:tcPr>
            <w:tcW w:w="1276" w:type="dxa"/>
          </w:tcPr>
          <w:p w:rsidR="00000000" w:rsidRDefault="00000000">
            <w:pPr>
              <w:rPr>
                <w:sz w:val="20"/>
              </w:rPr>
            </w:pPr>
            <w:r>
              <w:rPr>
                <w:sz w:val="20"/>
              </w:rPr>
              <w:t xml:space="preserve">   Total Cr$</w:t>
            </w:r>
          </w:p>
        </w:tc>
        <w:tc>
          <w:tcPr>
            <w:tcW w:w="1417" w:type="dxa"/>
          </w:tcPr>
          <w:p w:rsidR="00000000" w:rsidRDefault="00000000">
            <w:pPr>
              <w:ind w:right="33"/>
              <w:jc w:val="right"/>
              <w:rPr>
                <w:sz w:val="20"/>
              </w:rPr>
            </w:pPr>
            <w:r>
              <w:rPr>
                <w:sz w:val="20"/>
              </w:rPr>
              <w:t>93 000 000</w:t>
            </w:r>
          </w:p>
        </w:tc>
        <w:tc>
          <w:tcPr>
            <w:tcW w:w="1418" w:type="dxa"/>
          </w:tcPr>
          <w:p w:rsidR="00000000" w:rsidRDefault="00000000">
            <w:pPr>
              <w:ind w:right="175"/>
              <w:jc w:val="right"/>
              <w:rPr>
                <w:sz w:val="20"/>
              </w:rPr>
            </w:pPr>
            <w:r>
              <w:rPr>
                <w:sz w:val="20"/>
              </w:rPr>
              <w:t>649 795 000</w:t>
            </w:r>
          </w:p>
        </w:tc>
        <w:tc>
          <w:tcPr>
            <w:tcW w:w="1417" w:type="dxa"/>
          </w:tcPr>
          <w:p w:rsidR="00000000" w:rsidRDefault="00000000">
            <w:pPr>
              <w:ind w:right="33"/>
              <w:jc w:val="right"/>
              <w:rPr>
                <w:sz w:val="20"/>
              </w:rPr>
            </w:pPr>
            <w:r>
              <w:rPr>
                <w:sz w:val="20"/>
              </w:rPr>
              <w:t>1 637 440 000</w:t>
            </w:r>
          </w:p>
        </w:tc>
        <w:tc>
          <w:tcPr>
            <w:tcW w:w="1843" w:type="dxa"/>
          </w:tcPr>
          <w:p w:rsidR="00000000" w:rsidRDefault="00000000">
            <w:pPr>
              <w:ind w:right="317"/>
              <w:jc w:val="right"/>
              <w:rPr>
                <w:sz w:val="20"/>
              </w:rPr>
            </w:pPr>
            <w:r>
              <w:rPr>
                <w:sz w:val="20"/>
              </w:rPr>
              <w:t>1 814 922 000</w:t>
            </w:r>
          </w:p>
        </w:tc>
        <w:tc>
          <w:tcPr>
            <w:tcW w:w="1985" w:type="dxa"/>
          </w:tcPr>
          <w:p w:rsidR="00000000" w:rsidRDefault="00000000">
            <w:pPr>
              <w:ind w:right="459"/>
              <w:jc w:val="right"/>
              <w:rPr>
                <w:sz w:val="20"/>
              </w:rPr>
            </w:pPr>
            <w:r>
              <w:rPr>
                <w:sz w:val="20"/>
              </w:rPr>
              <w:t>1 127 230</w:t>
            </w:r>
          </w:p>
        </w:tc>
      </w:tr>
    </w:tbl>
    <w:p w:rsidR="00000000" w:rsidRDefault="00000000"/>
    <w:p w:rsidR="00000000" w:rsidRDefault="00000000">
      <w:pPr>
        <w:pStyle w:val="ParaNo"/>
        <w:tabs>
          <w:tab w:val="clear" w:pos="360"/>
          <w:tab w:val="clear" w:pos="737"/>
        </w:tabs>
        <w:ind w:left="0" w:firstLine="0"/>
        <w:rPr>
          <w:lang w:val="en-GB"/>
        </w:rPr>
      </w:pPr>
      <w:r>
        <w:rPr>
          <w:lang w:val="en-GB"/>
        </w:rPr>
        <w:br w:type="page"/>
        <w:t>The characteristics of the Brazilian family farmer, according to a 1999 study, are shown in a brief, schematic manner as follows:</w:t>
      </w:r>
    </w:p>
    <w:p w:rsidR="00000000" w:rsidRDefault="00000000"/>
    <w:p w:rsidR="00000000" w:rsidRDefault="00000000">
      <w:pPr>
        <w:pStyle w:val="Heading3"/>
      </w:pPr>
      <w:r>
        <w:t>Group A</w:t>
      </w:r>
    </w:p>
    <w:p w:rsidR="00000000" w:rsidRDefault="00000000"/>
    <w:p w:rsidR="00000000" w:rsidRDefault="00000000">
      <w:pPr>
        <w:numPr>
          <w:ilvl w:val="0"/>
          <w:numId w:val="856"/>
        </w:numPr>
      </w:pPr>
      <w:r>
        <w:t>New family farmer:  settled under the agrarian reform but not financed by Procera or who, although thus financed, has not reached the individual limit.</w:t>
      </w:r>
    </w:p>
    <w:p w:rsidR="00000000" w:rsidRDefault="00000000"/>
    <w:p w:rsidR="00000000" w:rsidRDefault="00000000">
      <w:pPr>
        <w:pStyle w:val="Heading3"/>
      </w:pPr>
      <w:r>
        <w:t>Group B</w:t>
      </w:r>
    </w:p>
    <w:p w:rsidR="00000000" w:rsidRDefault="00000000"/>
    <w:p w:rsidR="00000000" w:rsidRDefault="00000000">
      <w:pPr>
        <w:numPr>
          <w:ilvl w:val="0"/>
          <w:numId w:val="856"/>
        </w:numPr>
      </w:pPr>
      <w:r>
        <w:t>Family farmers, fishermen, craftsman, extractive workers and practitioners of aquiculture;</w:t>
      </w:r>
    </w:p>
    <w:p w:rsidR="00000000" w:rsidRDefault="00000000"/>
    <w:p w:rsidR="00000000" w:rsidRDefault="00000000">
      <w:pPr>
        <w:numPr>
          <w:ilvl w:val="0"/>
          <w:numId w:val="856"/>
        </w:numPr>
      </w:pPr>
      <w:r>
        <w:t>Owners, homesteaders, renters, sharecroppers, or agrarian reform beneficiaries;</w:t>
      </w:r>
    </w:p>
    <w:p w:rsidR="00000000" w:rsidRDefault="00000000"/>
    <w:p w:rsidR="00000000" w:rsidRDefault="00000000">
      <w:pPr>
        <w:numPr>
          <w:ilvl w:val="0"/>
          <w:numId w:val="856"/>
        </w:numPr>
      </w:pPr>
      <w:r>
        <w:t>Those who live on the property or nearby urban or rural setting;</w:t>
      </w:r>
    </w:p>
    <w:p w:rsidR="00000000" w:rsidRDefault="00000000"/>
    <w:p w:rsidR="00000000" w:rsidRDefault="00000000">
      <w:pPr>
        <w:numPr>
          <w:ilvl w:val="0"/>
          <w:numId w:val="856"/>
        </w:numPr>
      </w:pPr>
      <w:r>
        <w:t>Those settled on an area of up to four official modules;</w:t>
      </w:r>
    </w:p>
    <w:p w:rsidR="00000000" w:rsidRDefault="00000000"/>
    <w:p w:rsidR="00000000" w:rsidRDefault="00000000">
      <w:pPr>
        <w:numPr>
          <w:ilvl w:val="0"/>
          <w:numId w:val="856"/>
        </w:numPr>
      </w:pPr>
      <w:r>
        <w:t>Those who employ exclusively family labour;</w:t>
      </w:r>
    </w:p>
    <w:p w:rsidR="00000000" w:rsidRDefault="00000000"/>
    <w:p w:rsidR="00000000" w:rsidRDefault="00000000">
      <w:pPr>
        <w:numPr>
          <w:ilvl w:val="0"/>
          <w:numId w:val="856"/>
        </w:numPr>
      </w:pPr>
      <w:r>
        <w:t>Those who draw farming and non</w:t>
      </w:r>
      <w:r>
        <w:noBreakHyphen/>
        <w:t>farming income of up to Cr$ 1,500 from the property, excluding pension.</w:t>
      </w:r>
    </w:p>
    <w:p w:rsidR="00000000" w:rsidRDefault="00000000"/>
    <w:p w:rsidR="00000000" w:rsidRDefault="00000000">
      <w:pPr>
        <w:pStyle w:val="Heading3"/>
      </w:pPr>
      <w:r>
        <w:t>Group C</w:t>
      </w:r>
    </w:p>
    <w:p w:rsidR="00000000" w:rsidRDefault="00000000"/>
    <w:p w:rsidR="00000000" w:rsidRDefault="00000000">
      <w:pPr>
        <w:numPr>
          <w:ilvl w:val="0"/>
          <w:numId w:val="855"/>
        </w:numPr>
        <w:tabs>
          <w:tab w:val="clear" w:pos="360"/>
          <w:tab w:val="num" w:pos="1074"/>
        </w:tabs>
        <w:ind w:left="1071"/>
      </w:pPr>
      <w:r>
        <w:t>Family farmers, fishermen, craftsman, extractive workers, practitioners of aquiculture;</w:t>
      </w:r>
    </w:p>
    <w:p w:rsidR="00000000" w:rsidRDefault="00000000">
      <w:pPr>
        <w:ind w:left="714"/>
      </w:pPr>
    </w:p>
    <w:p w:rsidR="00000000" w:rsidRDefault="00000000">
      <w:pPr>
        <w:numPr>
          <w:ilvl w:val="0"/>
          <w:numId w:val="855"/>
        </w:numPr>
        <w:tabs>
          <w:tab w:val="clear" w:pos="360"/>
          <w:tab w:val="num" w:pos="1074"/>
        </w:tabs>
        <w:ind w:left="1071"/>
      </w:pPr>
      <w:r>
        <w:t>Owners, homesteaders, renters, sharecroppers, or agrarian reform beneficiaries;</w:t>
      </w:r>
    </w:p>
    <w:p w:rsidR="00000000" w:rsidRDefault="00000000">
      <w:pPr>
        <w:ind w:left="714"/>
      </w:pPr>
    </w:p>
    <w:p w:rsidR="00000000" w:rsidRDefault="00000000">
      <w:pPr>
        <w:numPr>
          <w:ilvl w:val="0"/>
          <w:numId w:val="855"/>
        </w:numPr>
        <w:tabs>
          <w:tab w:val="clear" w:pos="360"/>
          <w:tab w:val="num" w:pos="1074"/>
        </w:tabs>
        <w:ind w:left="1071"/>
      </w:pPr>
      <w:r>
        <w:t>Those who live on the property or nearby urban or rural setting;</w:t>
      </w:r>
    </w:p>
    <w:p w:rsidR="00000000" w:rsidRDefault="00000000">
      <w:pPr>
        <w:ind w:left="714"/>
      </w:pPr>
    </w:p>
    <w:p w:rsidR="00000000" w:rsidRDefault="00000000">
      <w:pPr>
        <w:numPr>
          <w:ilvl w:val="0"/>
          <w:numId w:val="855"/>
        </w:numPr>
        <w:tabs>
          <w:tab w:val="clear" w:pos="360"/>
          <w:tab w:val="num" w:pos="1074"/>
        </w:tabs>
        <w:ind w:left="1071"/>
      </w:pPr>
      <w:r>
        <w:t>Those settled on an area of up to four official modules;</w:t>
      </w:r>
    </w:p>
    <w:p w:rsidR="00000000" w:rsidRDefault="00000000">
      <w:pPr>
        <w:ind w:left="714"/>
      </w:pPr>
    </w:p>
    <w:p w:rsidR="00000000" w:rsidRDefault="00000000">
      <w:pPr>
        <w:numPr>
          <w:ilvl w:val="0"/>
          <w:numId w:val="855"/>
        </w:numPr>
        <w:tabs>
          <w:tab w:val="clear" w:pos="360"/>
          <w:tab w:val="num" w:pos="1074"/>
        </w:tabs>
        <w:ind w:left="1071"/>
      </w:pPr>
      <w:r>
        <w:t>Those who employ exclusively family labour;</w:t>
      </w:r>
    </w:p>
    <w:p w:rsidR="00000000" w:rsidRDefault="00000000">
      <w:pPr>
        <w:ind w:left="714"/>
      </w:pPr>
    </w:p>
    <w:p w:rsidR="00000000" w:rsidRDefault="00000000">
      <w:pPr>
        <w:numPr>
          <w:ilvl w:val="0"/>
          <w:numId w:val="855"/>
        </w:numPr>
        <w:tabs>
          <w:tab w:val="clear" w:pos="360"/>
          <w:tab w:val="num" w:pos="1074"/>
        </w:tabs>
        <w:ind w:left="1071"/>
      </w:pPr>
      <w:r>
        <w:t>Those who draw income of Cr$ 1,500</w:t>
      </w:r>
      <w:r>
        <w:noBreakHyphen/>
        <w:t>Cr$ 8,000, provided that at least 80 per cent thereof comes from farming and non</w:t>
      </w:r>
      <w:r>
        <w:noBreakHyphen/>
        <w:t>farming exploitation of the property.  This limit can be raised to Cr$ 16,000 if income comes from the following operations:  poultry, dairy cattle, sheep and pig raising, sericulture, and vegetable growing and aquiculture.</w:t>
      </w:r>
    </w:p>
    <w:p w:rsidR="00000000" w:rsidRDefault="00000000">
      <w:pPr>
        <w:ind w:left="357"/>
      </w:pPr>
    </w:p>
    <w:p w:rsidR="00000000" w:rsidRDefault="00000000">
      <w:pPr>
        <w:pStyle w:val="Heading3"/>
      </w:pPr>
      <w:r>
        <w:t>Group D</w:t>
      </w:r>
    </w:p>
    <w:p w:rsidR="00000000" w:rsidRDefault="00000000">
      <w:pPr>
        <w:ind w:left="357"/>
      </w:pPr>
    </w:p>
    <w:p w:rsidR="00000000" w:rsidRDefault="00000000">
      <w:pPr>
        <w:numPr>
          <w:ilvl w:val="0"/>
          <w:numId w:val="857"/>
        </w:numPr>
        <w:tabs>
          <w:tab w:val="clear" w:pos="360"/>
          <w:tab w:val="num" w:pos="1074"/>
        </w:tabs>
        <w:ind w:left="1071"/>
      </w:pPr>
      <w:r>
        <w:t>Family farmers, fishermen, craftsman, extractive workers, practitioners of aquiculture;</w:t>
      </w:r>
    </w:p>
    <w:p w:rsidR="00000000" w:rsidRDefault="00000000">
      <w:pPr>
        <w:numPr>
          <w:ilvl w:val="0"/>
          <w:numId w:val="857"/>
        </w:numPr>
        <w:tabs>
          <w:tab w:val="clear" w:pos="360"/>
          <w:tab w:val="num" w:pos="1074"/>
        </w:tabs>
        <w:ind w:left="1071"/>
      </w:pPr>
      <w:r>
        <w:t>Owners, homesteaders, renters, sharecroppers, or agrarian reform beneficiaries;</w:t>
      </w:r>
    </w:p>
    <w:p w:rsidR="00000000" w:rsidRDefault="00000000">
      <w:pPr>
        <w:ind w:left="714"/>
      </w:pPr>
    </w:p>
    <w:p w:rsidR="00000000" w:rsidRDefault="00000000">
      <w:pPr>
        <w:numPr>
          <w:ilvl w:val="0"/>
          <w:numId w:val="857"/>
        </w:numPr>
        <w:tabs>
          <w:tab w:val="clear" w:pos="360"/>
          <w:tab w:val="num" w:pos="1074"/>
        </w:tabs>
        <w:ind w:left="1071"/>
      </w:pPr>
      <w:r>
        <w:t>Those who live on the property or nearby urban or rural setting;</w:t>
      </w:r>
    </w:p>
    <w:p w:rsidR="00000000" w:rsidRDefault="00000000">
      <w:pPr>
        <w:ind w:left="714"/>
      </w:pPr>
    </w:p>
    <w:p w:rsidR="00000000" w:rsidRDefault="00000000">
      <w:pPr>
        <w:numPr>
          <w:ilvl w:val="0"/>
          <w:numId w:val="857"/>
        </w:numPr>
        <w:tabs>
          <w:tab w:val="clear" w:pos="360"/>
          <w:tab w:val="num" w:pos="1074"/>
        </w:tabs>
        <w:ind w:left="1071"/>
      </w:pPr>
      <w:r>
        <w:t>Those settled on an area of up to four official modules;</w:t>
      </w:r>
    </w:p>
    <w:p w:rsidR="00000000" w:rsidRDefault="00000000">
      <w:pPr>
        <w:ind w:left="714"/>
      </w:pPr>
    </w:p>
    <w:p w:rsidR="00000000" w:rsidRDefault="00000000">
      <w:pPr>
        <w:numPr>
          <w:ilvl w:val="0"/>
          <w:numId w:val="857"/>
        </w:numPr>
        <w:tabs>
          <w:tab w:val="clear" w:pos="360"/>
          <w:tab w:val="num" w:pos="1074"/>
        </w:tabs>
        <w:ind w:left="1071"/>
      </w:pPr>
      <w:r>
        <w:t>Those who employ family labour and up to two permanent employees;</w:t>
      </w:r>
    </w:p>
    <w:p w:rsidR="00000000" w:rsidRDefault="00000000">
      <w:pPr>
        <w:ind w:left="714"/>
      </w:pPr>
    </w:p>
    <w:p w:rsidR="00000000" w:rsidRDefault="00000000">
      <w:pPr>
        <w:numPr>
          <w:ilvl w:val="0"/>
          <w:numId w:val="857"/>
        </w:numPr>
        <w:tabs>
          <w:tab w:val="clear" w:pos="360"/>
          <w:tab w:val="num" w:pos="1074"/>
        </w:tabs>
        <w:ind w:left="1071"/>
      </w:pPr>
      <w:r>
        <w:t>Those who draw income of Cr$ 8,000</w:t>
      </w:r>
      <w:r>
        <w:noBreakHyphen/>
        <w:t>Cr$ 27,500, provided that 80 per cent thereof comes from the property’s farming and non</w:t>
      </w:r>
      <w:r>
        <w:noBreakHyphen/>
        <w:t>farming operations.  This limit can be raised as long as Cr$ 16,000 comes from the following operations:  poultry, dairy cattle, sheep and pig raising, sericulture, and vegetable growing and aquiculture.</w:t>
      </w:r>
    </w:p>
    <w:p w:rsidR="00000000" w:rsidRDefault="00000000">
      <w:pPr>
        <w:ind w:left="714"/>
      </w:pPr>
    </w:p>
    <w:p w:rsidR="00000000" w:rsidRDefault="00000000">
      <w:pPr>
        <w:pStyle w:val="ParaNo"/>
        <w:tabs>
          <w:tab w:val="clear" w:pos="360"/>
          <w:tab w:val="clear" w:pos="737"/>
        </w:tabs>
        <w:ind w:left="0" w:firstLine="0"/>
        <w:rPr>
          <w:lang w:val="en-GB"/>
        </w:rPr>
      </w:pPr>
      <w:r>
        <w:rPr>
          <w:lang w:val="en-GB"/>
        </w:rPr>
        <w:t>For an assessment of the magnitude of the training and professionalization effort in connection with agrarian reform, it should be born in mind that since 1993 173,000 family farmers have received training under PRONAF.  In the last four years, technical assistance and extension public agencies have received funds to provide courses for farmers as well as technical resources to improve assistance to producers.</w:t>
      </w:r>
    </w:p>
    <w:p w:rsidR="00000000" w:rsidRDefault="00000000"/>
    <w:p w:rsidR="00000000" w:rsidRDefault="00000000">
      <w:pPr>
        <w:pStyle w:val="Heading1"/>
      </w:pPr>
      <w:r>
        <w:t>Table 53</w:t>
      </w:r>
    </w:p>
    <w:p w:rsidR="00000000" w:rsidRDefault="00000000">
      <w:pPr>
        <w:pStyle w:val="Heading1"/>
      </w:pPr>
    </w:p>
    <w:p w:rsidR="00000000" w:rsidRDefault="00000000">
      <w:pPr>
        <w:pStyle w:val="Heading1"/>
      </w:pPr>
      <w:r>
        <w:t>Farmers trained under PRONAF, 1996</w:t>
      </w:r>
      <w:r>
        <w:noBreakHyphen/>
        <w:t>1999</w:t>
      </w:r>
    </w:p>
    <w:p w:rsidR="00000000" w:rsidRDefault="00000000"/>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3"/>
        <w:gridCol w:w="3190"/>
        <w:gridCol w:w="2375"/>
      </w:tblGrid>
      <w:tr w:rsidR="00000000">
        <w:tblPrEx>
          <w:tblCellMar>
            <w:top w:w="0" w:type="dxa"/>
            <w:bottom w:w="0" w:type="dxa"/>
          </w:tblCellMar>
        </w:tblPrEx>
        <w:tc>
          <w:tcPr>
            <w:tcW w:w="2373" w:type="dxa"/>
            <w:tcBorders>
              <w:bottom w:val="single" w:sz="4" w:space="0" w:color="auto"/>
            </w:tcBorders>
          </w:tcPr>
          <w:p w:rsidR="00000000" w:rsidRDefault="00000000">
            <w:pPr>
              <w:jc w:val="center"/>
            </w:pPr>
            <w:r>
              <w:t>Year</w:t>
            </w:r>
          </w:p>
        </w:tc>
        <w:tc>
          <w:tcPr>
            <w:tcW w:w="3190" w:type="dxa"/>
            <w:tcBorders>
              <w:bottom w:val="single" w:sz="4" w:space="0" w:color="auto"/>
            </w:tcBorders>
          </w:tcPr>
          <w:p w:rsidR="00000000" w:rsidRDefault="00000000">
            <w:pPr>
              <w:jc w:val="center"/>
            </w:pPr>
            <w:r>
              <w:t>Trained farmers</w:t>
            </w:r>
          </w:p>
        </w:tc>
        <w:tc>
          <w:tcPr>
            <w:tcW w:w="2375" w:type="dxa"/>
            <w:tcBorders>
              <w:bottom w:val="single" w:sz="4" w:space="0" w:color="auto"/>
            </w:tcBorders>
          </w:tcPr>
          <w:p w:rsidR="00000000" w:rsidRDefault="00000000">
            <w:pPr>
              <w:jc w:val="center"/>
            </w:pPr>
            <w:r>
              <w:t>In Cr$ thousands</w:t>
            </w:r>
          </w:p>
        </w:tc>
      </w:tr>
      <w:tr w:rsidR="00000000">
        <w:tblPrEx>
          <w:tblCellMar>
            <w:top w:w="0" w:type="dxa"/>
            <w:bottom w:w="0" w:type="dxa"/>
          </w:tblCellMar>
        </w:tblPrEx>
        <w:tc>
          <w:tcPr>
            <w:tcW w:w="2373" w:type="dxa"/>
            <w:tcBorders>
              <w:bottom w:val="nil"/>
            </w:tcBorders>
          </w:tcPr>
          <w:p w:rsidR="00000000" w:rsidRDefault="00000000">
            <w:pPr>
              <w:jc w:val="center"/>
            </w:pPr>
            <w:r>
              <w:t>1996</w:t>
            </w:r>
          </w:p>
        </w:tc>
        <w:tc>
          <w:tcPr>
            <w:tcW w:w="3190" w:type="dxa"/>
            <w:tcBorders>
              <w:bottom w:val="nil"/>
            </w:tcBorders>
          </w:tcPr>
          <w:p w:rsidR="00000000" w:rsidRDefault="00000000">
            <w:pPr>
              <w:ind w:right="1247"/>
              <w:jc w:val="right"/>
            </w:pPr>
            <w:r>
              <w:t>*</w:t>
            </w:r>
          </w:p>
        </w:tc>
        <w:tc>
          <w:tcPr>
            <w:tcW w:w="2375" w:type="dxa"/>
            <w:tcBorders>
              <w:bottom w:val="nil"/>
            </w:tcBorders>
          </w:tcPr>
          <w:p w:rsidR="00000000" w:rsidRDefault="00000000">
            <w:pPr>
              <w:ind w:right="737"/>
              <w:jc w:val="right"/>
            </w:pPr>
            <w:r>
              <w:t>3 000</w:t>
            </w:r>
          </w:p>
        </w:tc>
      </w:tr>
      <w:tr w:rsidR="00000000">
        <w:tblPrEx>
          <w:tblCellMar>
            <w:top w:w="0" w:type="dxa"/>
            <w:bottom w:w="0" w:type="dxa"/>
          </w:tblCellMar>
        </w:tblPrEx>
        <w:tc>
          <w:tcPr>
            <w:tcW w:w="2373" w:type="dxa"/>
            <w:tcBorders>
              <w:top w:val="nil"/>
              <w:bottom w:val="nil"/>
            </w:tcBorders>
          </w:tcPr>
          <w:p w:rsidR="00000000" w:rsidRDefault="00000000">
            <w:pPr>
              <w:jc w:val="center"/>
            </w:pPr>
            <w:r>
              <w:t>1997</w:t>
            </w:r>
          </w:p>
        </w:tc>
        <w:tc>
          <w:tcPr>
            <w:tcW w:w="3190" w:type="dxa"/>
            <w:tcBorders>
              <w:top w:val="nil"/>
              <w:bottom w:val="nil"/>
            </w:tcBorders>
          </w:tcPr>
          <w:p w:rsidR="00000000" w:rsidRDefault="00000000">
            <w:pPr>
              <w:ind w:right="1247"/>
              <w:jc w:val="right"/>
            </w:pPr>
            <w:r>
              <w:t>47 916</w:t>
            </w:r>
          </w:p>
        </w:tc>
        <w:tc>
          <w:tcPr>
            <w:tcW w:w="2375" w:type="dxa"/>
            <w:tcBorders>
              <w:top w:val="nil"/>
              <w:bottom w:val="nil"/>
            </w:tcBorders>
          </w:tcPr>
          <w:p w:rsidR="00000000" w:rsidRDefault="00000000">
            <w:pPr>
              <w:ind w:right="737"/>
              <w:jc w:val="right"/>
            </w:pPr>
            <w:r>
              <w:t>34 662</w:t>
            </w:r>
          </w:p>
        </w:tc>
      </w:tr>
      <w:tr w:rsidR="00000000">
        <w:tblPrEx>
          <w:tblCellMar>
            <w:top w:w="0" w:type="dxa"/>
            <w:bottom w:w="0" w:type="dxa"/>
          </w:tblCellMar>
        </w:tblPrEx>
        <w:tc>
          <w:tcPr>
            <w:tcW w:w="2373" w:type="dxa"/>
            <w:tcBorders>
              <w:top w:val="nil"/>
              <w:bottom w:val="nil"/>
            </w:tcBorders>
          </w:tcPr>
          <w:p w:rsidR="00000000" w:rsidRDefault="00000000">
            <w:pPr>
              <w:jc w:val="center"/>
            </w:pPr>
            <w:r>
              <w:t>1998</w:t>
            </w:r>
          </w:p>
        </w:tc>
        <w:tc>
          <w:tcPr>
            <w:tcW w:w="3190" w:type="dxa"/>
            <w:tcBorders>
              <w:top w:val="nil"/>
              <w:bottom w:val="nil"/>
            </w:tcBorders>
          </w:tcPr>
          <w:p w:rsidR="00000000" w:rsidRDefault="00000000">
            <w:pPr>
              <w:ind w:right="1247"/>
              <w:jc w:val="right"/>
            </w:pPr>
            <w:r>
              <w:t>54 299</w:t>
            </w:r>
          </w:p>
        </w:tc>
        <w:tc>
          <w:tcPr>
            <w:tcW w:w="2375" w:type="dxa"/>
            <w:tcBorders>
              <w:top w:val="nil"/>
              <w:bottom w:val="nil"/>
            </w:tcBorders>
          </w:tcPr>
          <w:p w:rsidR="00000000" w:rsidRDefault="00000000">
            <w:pPr>
              <w:ind w:right="737"/>
              <w:jc w:val="right"/>
            </w:pPr>
            <w:r>
              <w:t>41 597</w:t>
            </w:r>
          </w:p>
        </w:tc>
      </w:tr>
      <w:tr w:rsidR="00000000">
        <w:tblPrEx>
          <w:tblCellMar>
            <w:top w:w="0" w:type="dxa"/>
            <w:bottom w:w="0" w:type="dxa"/>
          </w:tblCellMar>
        </w:tblPrEx>
        <w:tc>
          <w:tcPr>
            <w:tcW w:w="2373" w:type="dxa"/>
            <w:tcBorders>
              <w:top w:val="nil"/>
            </w:tcBorders>
          </w:tcPr>
          <w:p w:rsidR="00000000" w:rsidRDefault="00000000">
            <w:pPr>
              <w:jc w:val="center"/>
            </w:pPr>
            <w:r>
              <w:t>1999</w:t>
            </w:r>
          </w:p>
        </w:tc>
        <w:tc>
          <w:tcPr>
            <w:tcW w:w="3190" w:type="dxa"/>
            <w:tcBorders>
              <w:top w:val="nil"/>
            </w:tcBorders>
          </w:tcPr>
          <w:p w:rsidR="00000000" w:rsidRDefault="00000000">
            <w:pPr>
              <w:ind w:right="1247"/>
              <w:jc w:val="right"/>
            </w:pPr>
            <w:r>
              <w:t>71 600</w:t>
            </w:r>
          </w:p>
        </w:tc>
        <w:tc>
          <w:tcPr>
            <w:tcW w:w="2375" w:type="dxa"/>
            <w:tcBorders>
              <w:top w:val="nil"/>
            </w:tcBorders>
          </w:tcPr>
          <w:p w:rsidR="00000000" w:rsidRDefault="00000000">
            <w:pPr>
              <w:ind w:right="737"/>
              <w:jc w:val="right"/>
            </w:pPr>
            <w:r>
              <w:t>31 761</w:t>
            </w:r>
          </w:p>
        </w:tc>
      </w:tr>
      <w:tr w:rsidR="00000000">
        <w:tblPrEx>
          <w:tblCellMar>
            <w:top w:w="0" w:type="dxa"/>
            <w:bottom w:w="0" w:type="dxa"/>
          </w:tblCellMar>
        </w:tblPrEx>
        <w:tc>
          <w:tcPr>
            <w:tcW w:w="2373" w:type="dxa"/>
          </w:tcPr>
          <w:p w:rsidR="00000000" w:rsidRDefault="00000000">
            <w:pPr>
              <w:jc w:val="center"/>
            </w:pPr>
            <w:r>
              <w:t xml:space="preserve">      Total</w:t>
            </w:r>
          </w:p>
        </w:tc>
        <w:tc>
          <w:tcPr>
            <w:tcW w:w="3190" w:type="dxa"/>
          </w:tcPr>
          <w:p w:rsidR="00000000" w:rsidRDefault="00000000">
            <w:pPr>
              <w:ind w:right="1247"/>
              <w:jc w:val="right"/>
            </w:pPr>
            <w:r>
              <w:t>173 815</w:t>
            </w:r>
          </w:p>
        </w:tc>
        <w:tc>
          <w:tcPr>
            <w:tcW w:w="2375" w:type="dxa"/>
          </w:tcPr>
          <w:p w:rsidR="00000000" w:rsidRDefault="00000000">
            <w:pPr>
              <w:ind w:right="737"/>
              <w:jc w:val="right"/>
            </w:pPr>
            <w:r>
              <w:t>111 003</w:t>
            </w:r>
          </w:p>
        </w:tc>
      </w:tr>
    </w:tbl>
    <w:p w:rsidR="00000000" w:rsidRDefault="00000000"/>
    <w:p w:rsidR="00000000" w:rsidRDefault="00000000">
      <w:pPr>
        <w:ind w:left="720"/>
      </w:pPr>
      <w:r>
        <w:tab/>
        <w:t>*  In 1996,the launch year, the projects were implemented and 225 specialists were trained.</w:t>
      </w:r>
    </w:p>
    <w:p w:rsidR="00000000" w:rsidRDefault="00000000"/>
    <w:p w:rsidR="00000000" w:rsidRDefault="00000000">
      <w:pPr>
        <w:pStyle w:val="ParaNo"/>
        <w:tabs>
          <w:tab w:val="clear" w:pos="360"/>
          <w:tab w:val="clear" w:pos="737"/>
        </w:tabs>
        <w:ind w:left="0" w:firstLine="0"/>
        <w:rPr>
          <w:lang w:val="en-GB"/>
        </w:rPr>
      </w:pPr>
      <w:r>
        <w:rPr>
          <w:lang w:val="en-GB"/>
        </w:rPr>
        <w:t>The training programme is not an isolated effort but part of an ensemble of initiatives aimed at supporting family farming and making it viable.  For this reason, part of the funds have been used for technical assistance and help in the securing of credit plans.</w:t>
      </w:r>
    </w:p>
    <w:p w:rsidR="00000000" w:rsidRDefault="00000000"/>
    <w:p w:rsidR="00000000" w:rsidRDefault="00000000">
      <w:pPr>
        <w:pStyle w:val="ParaNo"/>
        <w:tabs>
          <w:tab w:val="clear" w:pos="360"/>
          <w:tab w:val="clear" w:pos="737"/>
        </w:tabs>
        <w:ind w:left="0" w:firstLine="0"/>
        <w:rPr>
          <w:lang w:val="en-GB"/>
        </w:rPr>
      </w:pPr>
      <w:r>
        <w:rPr>
          <w:lang w:val="en-GB"/>
        </w:rPr>
        <w:t xml:space="preserve">It operates as follows:  a farmer must submit to the bank a project demonstrating the viability of his undertaking or his harvest costs.  For this he approaches an institution recognized by the financial agent </w:t>
      </w:r>
      <w:r>
        <w:rPr>
          <w:lang w:val="en-GB"/>
        </w:rPr>
        <w:noBreakHyphen/>
        <w:t xml:space="preserve"> usually his state’s technical assistance and rural extension agency, which prepares his project whose costs are to be covered by PRONAF’s </w:t>
      </w:r>
      <w:r>
        <w:rPr>
          <w:u w:val="single"/>
          <w:lang w:val="en-GB"/>
        </w:rPr>
        <w:t>Planta Brasil</w:t>
      </w:r>
      <w:r>
        <w:rPr>
          <w:lang w:val="en-GB"/>
        </w:rPr>
        <w:t xml:space="preserve"> programme.</w:t>
      </w:r>
    </w:p>
    <w:p w:rsidR="00000000" w:rsidRDefault="00000000"/>
    <w:p w:rsidR="00000000" w:rsidRDefault="00000000">
      <w:pPr>
        <w:pStyle w:val="ParaNo"/>
        <w:tabs>
          <w:tab w:val="clear" w:pos="360"/>
          <w:tab w:val="clear" w:pos="737"/>
        </w:tabs>
        <w:ind w:left="0" w:firstLine="0"/>
        <w:rPr>
          <w:lang w:val="en-GB"/>
        </w:rPr>
      </w:pPr>
      <w:r>
        <w:rPr>
          <w:lang w:val="en-GB"/>
        </w:rPr>
        <w:t>Government’s support of family farming also includes funds for research projects.  These funds, which totalled Cr$ 5.9 million in 1998 and Cr$ 9.2 million in 1999, are being used in 237 research projects oriented towards the development of family farming.</w:t>
      </w:r>
    </w:p>
    <w:p w:rsidR="00000000" w:rsidRDefault="00000000"/>
    <w:p w:rsidR="00000000" w:rsidRDefault="00000000">
      <w:pPr>
        <w:pStyle w:val="ParaNo"/>
        <w:tabs>
          <w:tab w:val="clear" w:pos="360"/>
          <w:tab w:val="clear" w:pos="737"/>
        </w:tabs>
        <w:ind w:left="0" w:firstLine="0"/>
        <w:rPr>
          <w:lang w:val="en-GB"/>
        </w:rPr>
      </w:pPr>
      <w:r>
        <w:rPr>
          <w:lang w:val="en-GB"/>
        </w:rPr>
        <w:t>In the State of Mato Grosso, Empaer/MT is investigating the possibility of replacing chemical fertilizers in yellow passionfruit crops.  This research project will benefit the Rondonopolis settlement.</w:t>
      </w:r>
    </w:p>
    <w:p w:rsidR="00000000" w:rsidRDefault="00000000"/>
    <w:p w:rsidR="00000000" w:rsidRDefault="00000000">
      <w:pPr>
        <w:pStyle w:val="ParaNo"/>
        <w:tabs>
          <w:tab w:val="clear" w:pos="360"/>
          <w:tab w:val="clear" w:pos="737"/>
        </w:tabs>
        <w:ind w:left="0" w:firstLine="0"/>
        <w:rPr>
          <w:lang w:val="en-GB"/>
        </w:rPr>
      </w:pPr>
      <w:r>
        <w:rPr>
          <w:lang w:val="en-GB"/>
        </w:rPr>
        <w:t>Rural producers in three cities in the State of Mato Grosso do Sul (São Gabriel do Oeste, Sidrolandia and Itapora) will have access to a comprehensive study undertaken by Empaer/MT on the use of ditch irrigation on small properties.</w:t>
      </w:r>
    </w:p>
    <w:p w:rsidR="00000000" w:rsidRDefault="00000000"/>
    <w:p w:rsidR="00000000" w:rsidRDefault="00000000">
      <w:pPr>
        <w:pStyle w:val="ParaNo"/>
        <w:tabs>
          <w:tab w:val="clear" w:pos="360"/>
          <w:tab w:val="clear" w:pos="737"/>
        </w:tabs>
        <w:ind w:left="0" w:firstLine="0"/>
        <w:rPr>
          <w:lang w:val="en-GB"/>
        </w:rPr>
      </w:pPr>
      <w:r>
        <w:rPr>
          <w:lang w:val="en-GB"/>
        </w:rPr>
        <w:t>In the State of Pernambuco, the state Agricultural Research Institute</w:t>
      </w:r>
      <w:r>
        <w:rPr>
          <w:lang w:val="en-GB"/>
        </w:rPr>
        <w:noBreakHyphen/>
        <w:t>IPA is studying the possibility of cultivating different varieties of taro root in Itaparica and Itambe.</w:t>
      </w:r>
    </w:p>
    <w:p w:rsidR="00000000" w:rsidRDefault="00000000"/>
    <w:p w:rsidR="00000000" w:rsidRDefault="00000000">
      <w:pPr>
        <w:pStyle w:val="ParaNo"/>
        <w:tabs>
          <w:tab w:val="clear" w:pos="360"/>
          <w:tab w:val="clear" w:pos="737"/>
        </w:tabs>
        <w:ind w:left="0" w:firstLine="0"/>
        <w:rPr>
          <w:lang w:val="en-GB"/>
        </w:rPr>
      </w:pPr>
      <w:r>
        <w:rPr>
          <w:lang w:val="en-GB"/>
        </w:rPr>
        <w:t xml:space="preserve">To assist settled families in the Mulatos municipality, Tocantins University is studying the raising of three types of fish in the region:  </w:t>
      </w:r>
      <w:r>
        <w:rPr>
          <w:u w:val="single"/>
          <w:lang w:val="en-GB"/>
        </w:rPr>
        <w:t>tambaqui</w:t>
      </w:r>
      <w:r>
        <w:rPr>
          <w:lang w:val="en-GB"/>
        </w:rPr>
        <w:t xml:space="preserve">, </w:t>
      </w:r>
      <w:r>
        <w:rPr>
          <w:u w:val="single"/>
          <w:lang w:val="en-GB"/>
        </w:rPr>
        <w:t>pacu</w:t>
      </w:r>
      <w:r>
        <w:rPr>
          <w:lang w:val="en-GB"/>
        </w:rPr>
        <w:t xml:space="preserve">, and </w:t>
      </w:r>
      <w:r>
        <w:rPr>
          <w:u w:val="single"/>
          <w:lang w:val="en-GB"/>
        </w:rPr>
        <w:t>traira</w:t>
      </w:r>
      <w:r>
        <w:rPr>
          <w:lang w:val="en-GB"/>
        </w:rPr>
        <w:t>, so as to make fish culture a source of income for settled farmers.</w:t>
      </w:r>
    </w:p>
    <w:p w:rsidR="00000000" w:rsidRDefault="00000000"/>
    <w:p w:rsidR="00000000" w:rsidRDefault="00000000">
      <w:pPr>
        <w:pStyle w:val="ParaNo"/>
        <w:tabs>
          <w:tab w:val="clear" w:pos="360"/>
          <w:tab w:val="clear" w:pos="737"/>
        </w:tabs>
        <w:ind w:left="0" w:firstLine="0"/>
        <w:rPr>
          <w:lang w:val="en-GB"/>
        </w:rPr>
      </w:pPr>
      <w:r>
        <w:rPr>
          <w:lang w:val="en-GB"/>
        </w:rPr>
        <w:t>Indians are also receiving attention.  Twenty</w:t>
      </w:r>
      <w:r>
        <w:rPr>
          <w:lang w:val="en-GB"/>
        </w:rPr>
        <w:noBreakHyphen/>
        <w:t>four Indian villages are benefiting from a project in support of productive activities on Indian lands located in the States of Maranhao, Minas Gerais, Mato Grosso do Sul, Pernambuco, Rio de Janeiro, Rondônia, Roraima, Rio Grande do Sul and Santa Catarina.  Under the project, 17,565 people in 11 communities receive demonstration units about farming production, thereby establishing the foundations for state technical assistance and rural extension agencies.  They receive the funds and are responsible for the project’s execution.  In these demonstration units, Indians are trained for production and in three years arrive at the final stage, when they can manage their own business.</w:t>
      </w:r>
    </w:p>
    <w:p w:rsidR="00000000" w:rsidRDefault="00000000"/>
    <w:p w:rsidR="00000000" w:rsidRDefault="00000000">
      <w:pPr>
        <w:pStyle w:val="ParaNo"/>
        <w:tabs>
          <w:tab w:val="clear" w:pos="360"/>
          <w:tab w:val="clear" w:pos="737"/>
        </w:tabs>
        <w:ind w:left="0" w:firstLine="0"/>
        <w:rPr>
          <w:lang w:val="en-GB"/>
        </w:rPr>
      </w:pPr>
      <w:r>
        <w:rPr>
          <w:lang w:val="en-GB"/>
        </w:rPr>
        <w:t xml:space="preserve">Another important feature relates to segments traditionally excluded from this land distribution process.  To include these segments, the programme has reached the Amazon.  Amazon dwellers who live from extractive activities are assisted by the </w:t>
      </w:r>
      <w:r>
        <w:rPr>
          <w:u w:val="single"/>
          <w:lang w:val="en-GB"/>
        </w:rPr>
        <w:t>Planta Brasil</w:t>
      </w:r>
      <w:r>
        <w:rPr>
          <w:lang w:val="en-GB"/>
        </w:rPr>
        <w:t xml:space="preserve"> programme, in partnership with the Brazilian Institute for the Environment and Renewable Natural Resources</w:t>
      </w:r>
      <w:r>
        <w:rPr>
          <w:lang w:val="en-GB"/>
        </w:rPr>
        <w:noBreakHyphen/>
        <w:t xml:space="preserve">IBAMA, to improve their income.  To assist this population scattered throughout the Amazon forest, </w:t>
      </w:r>
      <w:r>
        <w:rPr>
          <w:u w:val="single"/>
          <w:lang w:val="en-GB"/>
        </w:rPr>
        <w:t>Planta Brasil</w:t>
      </w:r>
      <w:r>
        <w:rPr>
          <w:lang w:val="en-GB"/>
        </w:rPr>
        <w:t xml:space="preserve"> and IBAMA have come up with a “paraforest agent”, a technical assistant known and respected by the dwellers, who is paid to canvass the region advising producers.  Today, 140 “paraforest agents” are active in northern states, providing technical assistance and imparting information on how to have access to rural credit.</w:t>
      </w:r>
    </w:p>
    <w:p w:rsidR="00000000" w:rsidRDefault="00000000"/>
    <w:p w:rsidR="00000000" w:rsidRDefault="00000000">
      <w:pPr>
        <w:pStyle w:val="ParaNo"/>
        <w:tabs>
          <w:tab w:val="clear" w:pos="360"/>
          <w:tab w:val="clear" w:pos="737"/>
        </w:tabs>
        <w:ind w:left="0" w:firstLine="0"/>
        <w:rPr>
          <w:lang w:val="en-GB"/>
        </w:rPr>
      </w:pPr>
      <w:r>
        <w:rPr>
          <w:lang w:val="en-GB"/>
        </w:rPr>
        <w:t>The programme finances infrastructure projects that will help family farmers.  Projects are selected and overseen by the community acting through its municipal rural development council.  Funds come from the National Treasury and do not have to be repaid.  Grant agreements are signed by the municipal government with the Federal Savings Bank, the operating agent.  Poorer municipalities, included in the Solidary Community Programme, are exempt from the requirement of municipal counterpart funds.</w:t>
      </w:r>
    </w:p>
    <w:p w:rsidR="00000000" w:rsidRDefault="00000000"/>
    <w:p w:rsidR="00000000" w:rsidRDefault="00000000">
      <w:pPr>
        <w:pStyle w:val="ParaNo"/>
        <w:tabs>
          <w:tab w:val="clear" w:pos="360"/>
          <w:tab w:val="clear" w:pos="737"/>
        </w:tabs>
        <w:ind w:left="0" w:firstLine="0"/>
        <w:rPr>
          <w:lang w:val="en-GB"/>
        </w:rPr>
      </w:pPr>
      <w:r>
        <w:rPr>
          <w:lang w:val="en-GB"/>
        </w:rPr>
        <w:t xml:space="preserve">PRONAF’s </w:t>
      </w:r>
      <w:r>
        <w:rPr>
          <w:u w:val="single"/>
          <w:lang w:val="en-GB"/>
        </w:rPr>
        <w:t>Planta Brasil</w:t>
      </w:r>
      <w:r>
        <w:rPr>
          <w:lang w:val="en-GB"/>
        </w:rPr>
        <w:t xml:space="preserve"> programme operates in 1,018 municipalities, recovering secondary roads, ensuring water and electric power supply, and building central sales posts for farming families’ products.</w:t>
      </w:r>
    </w:p>
    <w:p w:rsidR="00000000" w:rsidRDefault="00000000"/>
    <w:p w:rsidR="00000000" w:rsidRDefault="00000000">
      <w:pPr>
        <w:pStyle w:val="Heading1"/>
      </w:pPr>
      <w:r>
        <w:t>Table 54</w:t>
      </w:r>
    </w:p>
    <w:p w:rsidR="00000000" w:rsidRDefault="00000000">
      <w:pPr>
        <w:pStyle w:val="Heading1"/>
      </w:pPr>
    </w:p>
    <w:p w:rsidR="00000000" w:rsidRDefault="00000000">
      <w:pPr>
        <w:pStyle w:val="Heading1"/>
      </w:pPr>
      <w:r>
        <w:t xml:space="preserve">Municipalities benefiting from the </w:t>
      </w:r>
      <w:r>
        <w:rPr>
          <w:u w:val="single"/>
        </w:rPr>
        <w:t>Planta Brasil</w:t>
      </w:r>
      <w:r>
        <w:t xml:space="preserve"> programme, 1997</w:t>
      </w:r>
      <w:r>
        <w:noBreakHyphen/>
        <w:t>1999</w:t>
      </w:r>
    </w:p>
    <w:p w:rsidR="00000000" w:rsidRDefault="00000000"/>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3"/>
        <w:gridCol w:w="3190"/>
        <w:gridCol w:w="2375"/>
      </w:tblGrid>
      <w:tr w:rsidR="00000000">
        <w:tblPrEx>
          <w:tblCellMar>
            <w:top w:w="0" w:type="dxa"/>
            <w:bottom w:w="0" w:type="dxa"/>
          </w:tblCellMar>
        </w:tblPrEx>
        <w:tc>
          <w:tcPr>
            <w:tcW w:w="2373" w:type="dxa"/>
            <w:tcBorders>
              <w:bottom w:val="single" w:sz="4" w:space="0" w:color="auto"/>
            </w:tcBorders>
          </w:tcPr>
          <w:p w:rsidR="00000000" w:rsidRDefault="00000000">
            <w:pPr>
              <w:jc w:val="center"/>
            </w:pPr>
            <w:r>
              <w:t>Year</w:t>
            </w:r>
          </w:p>
        </w:tc>
        <w:tc>
          <w:tcPr>
            <w:tcW w:w="3190" w:type="dxa"/>
            <w:tcBorders>
              <w:bottom w:val="single" w:sz="4" w:space="0" w:color="auto"/>
            </w:tcBorders>
          </w:tcPr>
          <w:p w:rsidR="00000000" w:rsidRDefault="00000000">
            <w:pPr>
              <w:jc w:val="center"/>
            </w:pPr>
            <w:r>
              <w:t>Participating municipalities</w:t>
            </w:r>
          </w:p>
        </w:tc>
        <w:tc>
          <w:tcPr>
            <w:tcW w:w="2375" w:type="dxa"/>
            <w:tcBorders>
              <w:bottom w:val="single" w:sz="4" w:space="0" w:color="auto"/>
            </w:tcBorders>
          </w:tcPr>
          <w:p w:rsidR="00000000" w:rsidRDefault="00000000">
            <w:pPr>
              <w:jc w:val="center"/>
            </w:pPr>
            <w:r>
              <w:t>In Cr$ thousands</w:t>
            </w:r>
          </w:p>
        </w:tc>
      </w:tr>
      <w:tr w:rsidR="00000000">
        <w:tblPrEx>
          <w:tblCellMar>
            <w:top w:w="0" w:type="dxa"/>
            <w:bottom w:w="0" w:type="dxa"/>
          </w:tblCellMar>
        </w:tblPrEx>
        <w:tc>
          <w:tcPr>
            <w:tcW w:w="2373" w:type="dxa"/>
            <w:tcBorders>
              <w:bottom w:val="nil"/>
            </w:tcBorders>
          </w:tcPr>
          <w:p w:rsidR="00000000" w:rsidRDefault="00000000">
            <w:pPr>
              <w:jc w:val="center"/>
            </w:pPr>
            <w:r>
              <w:t>1997</w:t>
            </w:r>
          </w:p>
        </w:tc>
        <w:tc>
          <w:tcPr>
            <w:tcW w:w="3190" w:type="dxa"/>
            <w:tcBorders>
              <w:bottom w:val="nil"/>
            </w:tcBorders>
          </w:tcPr>
          <w:p w:rsidR="00000000" w:rsidRDefault="00000000">
            <w:pPr>
              <w:ind w:right="1304"/>
              <w:jc w:val="right"/>
            </w:pPr>
            <w:r>
              <w:t>385</w:t>
            </w:r>
          </w:p>
        </w:tc>
        <w:tc>
          <w:tcPr>
            <w:tcW w:w="2375" w:type="dxa"/>
            <w:tcBorders>
              <w:bottom w:val="nil"/>
            </w:tcBorders>
          </w:tcPr>
          <w:p w:rsidR="00000000" w:rsidRDefault="00000000">
            <w:pPr>
              <w:ind w:right="737"/>
              <w:jc w:val="right"/>
            </w:pPr>
            <w:r>
              <w:t>36 628</w:t>
            </w:r>
          </w:p>
        </w:tc>
      </w:tr>
      <w:tr w:rsidR="00000000">
        <w:tblPrEx>
          <w:tblCellMar>
            <w:top w:w="0" w:type="dxa"/>
            <w:bottom w:w="0" w:type="dxa"/>
          </w:tblCellMar>
        </w:tblPrEx>
        <w:tc>
          <w:tcPr>
            <w:tcW w:w="2373" w:type="dxa"/>
            <w:tcBorders>
              <w:top w:val="nil"/>
              <w:bottom w:val="nil"/>
            </w:tcBorders>
          </w:tcPr>
          <w:p w:rsidR="00000000" w:rsidRDefault="00000000">
            <w:pPr>
              <w:jc w:val="center"/>
            </w:pPr>
            <w:r>
              <w:t>1998</w:t>
            </w:r>
          </w:p>
        </w:tc>
        <w:tc>
          <w:tcPr>
            <w:tcW w:w="3190" w:type="dxa"/>
            <w:tcBorders>
              <w:top w:val="nil"/>
              <w:bottom w:val="nil"/>
            </w:tcBorders>
          </w:tcPr>
          <w:p w:rsidR="00000000" w:rsidRDefault="00000000">
            <w:pPr>
              <w:ind w:right="1304"/>
              <w:jc w:val="right"/>
            </w:pPr>
            <w:r>
              <w:t>915</w:t>
            </w:r>
          </w:p>
        </w:tc>
        <w:tc>
          <w:tcPr>
            <w:tcW w:w="2375" w:type="dxa"/>
            <w:tcBorders>
              <w:top w:val="nil"/>
              <w:bottom w:val="nil"/>
            </w:tcBorders>
          </w:tcPr>
          <w:p w:rsidR="00000000" w:rsidRDefault="00000000">
            <w:pPr>
              <w:ind w:right="737"/>
              <w:jc w:val="right"/>
            </w:pPr>
            <w:r>
              <w:t>136 645</w:t>
            </w:r>
          </w:p>
        </w:tc>
      </w:tr>
      <w:tr w:rsidR="00000000">
        <w:tblPrEx>
          <w:tblCellMar>
            <w:top w:w="0" w:type="dxa"/>
            <w:bottom w:w="0" w:type="dxa"/>
          </w:tblCellMar>
        </w:tblPrEx>
        <w:tc>
          <w:tcPr>
            <w:tcW w:w="2373" w:type="dxa"/>
            <w:tcBorders>
              <w:top w:val="nil"/>
            </w:tcBorders>
          </w:tcPr>
          <w:p w:rsidR="00000000" w:rsidRDefault="00000000">
            <w:pPr>
              <w:jc w:val="center"/>
            </w:pPr>
            <w:r>
              <w:t>1999</w:t>
            </w:r>
          </w:p>
        </w:tc>
        <w:tc>
          <w:tcPr>
            <w:tcW w:w="3190" w:type="dxa"/>
            <w:tcBorders>
              <w:top w:val="nil"/>
            </w:tcBorders>
          </w:tcPr>
          <w:p w:rsidR="00000000" w:rsidRDefault="00000000">
            <w:pPr>
              <w:ind w:right="1304"/>
              <w:jc w:val="right"/>
            </w:pPr>
            <w:r>
              <w:t>1 018</w:t>
            </w:r>
          </w:p>
        </w:tc>
        <w:tc>
          <w:tcPr>
            <w:tcW w:w="2375" w:type="dxa"/>
            <w:tcBorders>
              <w:top w:val="nil"/>
            </w:tcBorders>
          </w:tcPr>
          <w:p w:rsidR="00000000" w:rsidRDefault="00000000">
            <w:pPr>
              <w:ind w:right="737"/>
              <w:jc w:val="right"/>
            </w:pPr>
            <w:r>
              <w:t>151 693</w:t>
            </w:r>
          </w:p>
        </w:tc>
      </w:tr>
    </w:tbl>
    <w:p w:rsidR="00000000" w:rsidRDefault="00000000"/>
    <w:p w:rsidR="00000000" w:rsidRDefault="00000000">
      <w:pPr>
        <w:pStyle w:val="ParaNo"/>
        <w:tabs>
          <w:tab w:val="clear" w:pos="360"/>
          <w:tab w:val="clear" w:pos="737"/>
        </w:tabs>
        <w:ind w:left="0" w:firstLine="0"/>
        <w:rPr>
          <w:lang w:val="en-GB"/>
        </w:rPr>
      </w:pPr>
      <w:r>
        <w:rPr>
          <w:lang w:val="en-GB"/>
        </w:rPr>
        <w:t>In 1999, the Ministry of Agrarian Development launched the Partnership and Market programme aimed at achieving family farming sustainability through integration into the local and the international economy.  This is based on a decentralized, participatory model of design and management of policies and actions to incorporate these producers into the modern commercial chains, drawing benefit from the comparative advantages of family</w:t>
      </w:r>
      <w:r>
        <w:rPr>
          <w:lang w:val="en-GB"/>
        </w:rPr>
        <w:noBreakHyphen/>
        <w:t>based enterprises and with due respect for local potential and historic relations.  All family farmers are eligible for this programme, including those coming from the National Agrarian Reform Programme.</w:t>
      </w:r>
    </w:p>
    <w:p w:rsidR="00000000" w:rsidRDefault="00000000"/>
    <w:p w:rsidR="00000000" w:rsidRDefault="00000000">
      <w:pPr>
        <w:pStyle w:val="ParaNo"/>
        <w:tabs>
          <w:tab w:val="clear" w:pos="360"/>
          <w:tab w:val="clear" w:pos="737"/>
        </w:tabs>
        <w:ind w:left="0" w:firstLine="0"/>
        <w:rPr>
          <w:lang w:val="en-GB"/>
        </w:rPr>
      </w:pPr>
      <w:r>
        <w:rPr>
          <w:lang w:val="en-GB"/>
        </w:rPr>
        <w:t>Under the coordination of the Family Farming Secretariat, the Partnership and Market programme is being implemented in the following stages:</w:t>
      </w:r>
    </w:p>
    <w:p w:rsidR="00000000" w:rsidRDefault="00000000"/>
    <w:p w:rsidR="00000000" w:rsidRDefault="00000000">
      <w:r>
        <w:tab/>
        <w:t>(a)</w:t>
      </w:r>
      <w:r>
        <w:tab/>
        <w:t>Characterization of local, regional and state agribusiness;</w:t>
      </w:r>
    </w:p>
    <w:p w:rsidR="00000000" w:rsidRDefault="00000000"/>
    <w:p w:rsidR="00000000" w:rsidRDefault="00000000">
      <w:r>
        <w:tab/>
        <w:t>(b)</w:t>
      </w:r>
      <w:r>
        <w:tab/>
        <w:t>Mapping of the family farming’s productive base;</w:t>
      </w:r>
    </w:p>
    <w:p w:rsidR="00000000" w:rsidRDefault="00000000"/>
    <w:p w:rsidR="00000000" w:rsidRDefault="00000000">
      <w:r>
        <w:tab/>
        <w:t>(c)</w:t>
      </w:r>
      <w:r>
        <w:tab/>
        <w:t>Expansion and improvement of technical assistance services;</w:t>
      </w:r>
    </w:p>
    <w:p w:rsidR="00000000" w:rsidRDefault="00000000"/>
    <w:p w:rsidR="00000000" w:rsidRDefault="00000000">
      <w:r>
        <w:tab/>
        <w:t>(d)</w:t>
      </w:r>
      <w:r>
        <w:tab/>
        <w:t>Identification of market opportunities;</w:t>
      </w:r>
    </w:p>
    <w:p w:rsidR="00000000" w:rsidRDefault="00000000"/>
    <w:p w:rsidR="00000000" w:rsidRDefault="00000000">
      <w:r>
        <w:tab/>
        <w:t>(e)</w:t>
      </w:r>
      <w:r>
        <w:tab/>
        <w:t>Study of productive chains;</w:t>
      </w:r>
    </w:p>
    <w:p w:rsidR="00000000" w:rsidRDefault="00000000"/>
    <w:p w:rsidR="00000000" w:rsidRDefault="00000000">
      <w:r>
        <w:tab/>
        <w:t>(f)</w:t>
      </w:r>
      <w:r>
        <w:tab/>
        <w:t>Mobilization, organization, and technical and managerial training;</w:t>
      </w:r>
    </w:p>
    <w:p w:rsidR="00000000" w:rsidRDefault="00000000"/>
    <w:p w:rsidR="00000000" w:rsidRDefault="00000000">
      <w:r>
        <w:tab/>
        <w:t>(g)</w:t>
      </w:r>
      <w:r>
        <w:tab/>
        <w:t>Organization of productive chain coordinating structure.</w:t>
      </w:r>
    </w:p>
    <w:p w:rsidR="00000000" w:rsidRDefault="00000000"/>
    <w:p w:rsidR="00000000" w:rsidRDefault="00000000">
      <w:pPr>
        <w:pStyle w:val="ParaNo"/>
        <w:tabs>
          <w:tab w:val="clear" w:pos="360"/>
          <w:tab w:val="clear" w:pos="737"/>
        </w:tabs>
        <w:ind w:left="0" w:firstLine="0"/>
        <w:rPr>
          <w:lang w:val="en-GB"/>
        </w:rPr>
      </w:pPr>
      <w:r>
        <w:rPr>
          <w:lang w:val="en-GB"/>
        </w:rPr>
        <w:t>The programme’s management is participatory and decentralized through partnerships between the Ministry of Agrarian Development and social movements, other federal, state and municipal agencies, non</w:t>
      </w:r>
      <w:r>
        <w:rPr>
          <w:lang w:val="en-GB"/>
        </w:rPr>
        <w:noBreakHyphen/>
        <w:t>governmental organizations and private enterprises.</w:t>
      </w:r>
    </w:p>
    <w:p w:rsidR="00000000" w:rsidRDefault="00000000"/>
    <w:p w:rsidR="00000000" w:rsidRDefault="00000000">
      <w:pPr>
        <w:pStyle w:val="ParaNo"/>
        <w:tabs>
          <w:tab w:val="clear" w:pos="360"/>
          <w:tab w:val="clear" w:pos="737"/>
        </w:tabs>
        <w:ind w:left="0" w:firstLine="0"/>
        <w:rPr>
          <w:lang w:val="en-GB"/>
        </w:rPr>
      </w:pPr>
      <w:r>
        <w:rPr>
          <w:lang w:val="en-GB"/>
        </w:rPr>
        <w:t>To encourage business and partnerships between family farmers and enterprises through associations, cooperatives or businesses, a Family Farming Partner Award was established by the Ministry of Agrarian Development.  The objective is to encourage increased productivity, better product quality and higher income from family undertakings, so as to make these sustainable.</w:t>
      </w:r>
    </w:p>
    <w:p w:rsidR="00000000" w:rsidRDefault="00000000"/>
    <w:p w:rsidR="00000000" w:rsidRDefault="00000000">
      <w:pPr>
        <w:pStyle w:val="ParaNo"/>
        <w:tabs>
          <w:tab w:val="clear" w:pos="360"/>
          <w:tab w:val="clear" w:pos="737"/>
        </w:tabs>
        <w:ind w:left="0" w:firstLine="0"/>
        <w:rPr>
          <w:lang w:val="en-GB"/>
        </w:rPr>
      </w:pPr>
      <w:r>
        <w:rPr>
          <w:lang w:val="en-GB"/>
        </w:rPr>
        <w:br w:type="page"/>
        <w:t xml:space="preserve">In a daily exercise in citizenship, the programme approves its initiatives on the basis of community decisions adopted by the municipal rural development councils.  PRONAF’s </w:t>
      </w:r>
      <w:r>
        <w:rPr>
          <w:u w:val="single"/>
          <w:lang w:val="en-GB"/>
        </w:rPr>
        <w:t>Planta Brasil</w:t>
      </w:r>
      <w:r>
        <w:rPr>
          <w:lang w:val="en-GB"/>
        </w:rPr>
        <w:t xml:space="preserve"> programme encourages participation, cooperation and equal opportunities so that the community plays a protagonist role in local development.</w:t>
      </w:r>
    </w:p>
    <w:p w:rsidR="00000000" w:rsidRDefault="00000000"/>
    <w:p w:rsidR="00000000" w:rsidRDefault="00000000">
      <w:pPr>
        <w:pStyle w:val="ParaNo"/>
        <w:tabs>
          <w:tab w:val="clear" w:pos="360"/>
          <w:tab w:val="clear" w:pos="737"/>
        </w:tabs>
        <w:ind w:left="0" w:firstLine="0"/>
        <w:rPr>
          <w:lang w:val="en-GB"/>
        </w:rPr>
      </w:pPr>
      <w:r>
        <w:rPr>
          <w:lang w:val="en-GB"/>
        </w:rPr>
        <w:t xml:space="preserve">It falls on the councils to select and oversee the work to be done by PRONAF’s </w:t>
      </w:r>
      <w:r>
        <w:rPr>
          <w:u w:val="single"/>
          <w:lang w:val="en-GB"/>
        </w:rPr>
        <w:t>Planta Brasil</w:t>
      </w:r>
      <w:r>
        <w:rPr>
          <w:lang w:val="en-GB"/>
        </w:rPr>
        <w:t xml:space="preserve"> programme under agreements with municipal governments.  The work benefits thousands of families nationwide, as shown by data compiled by the participating municipal governments.</w:t>
      </w:r>
    </w:p>
    <w:p w:rsidR="00000000" w:rsidRDefault="00000000"/>
    <w:p w:rsidR="00000000" w:rsidRDefault="00000000">
      <w:pPr>
        <w:pStyle w:val="Heading1"/>
      </w:pPr>
      <w:r>
        <w:t>Table 55</w:t>
      </w:r>
    </w:p>
    <w:p w:rsidR="00000000" w:rsidRDefault="00000000">
      <w:pPr>
        <w:pStyle w:val="Heading1"/>
      </w:pPr>
    </w:p>
    <w:p w:rsidR="00000000" w:rsidRDefault="00000000">
      <w:pPr>
        <w:pStyle w:val="Heading1"/>
      </w:pPr>
      <w:r>
        <w:t xml:space="preserve">Families benefiting from the </w:t>
      </w:r>
      <w:r>
        <w:rPr>
          <w:u w:val="single"/>
        </w:rPr>
        <w:t>Planta Brasil</w:t>
      </w:r>
      <w:r>
        <w:t xml:space="preserve"> programme, by region</w:t>
      </w:r>
    </w:p>
    <w:p w:rsidR="00000000" w:rsidRDefault="00000000"/>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3"/>
        <w:gridCol w:w="2447"/>
        <w:gridCol w:w="3118"/>
      </w:tblGrid>
      <w:tr w:rsidR="00000000">
        <w:tblPrEx>
          <w:tblCellMar>
            <w:top w:w="0" w:type="dxa"/>
            <w:bottom w:w="0" w:type="dxa"/>
          </w:tblCellMar>
        </w:tblPrEx>
        <w:tc>
          <w:tcPr>
            <w:tcW w:w="2373" w:type="dxa"/>
            <w:tcBorders>
              <w:bottom w:val="single" w:sz="4" w:space="0" w:color="auto"/>
            </w:tcBorders>
          </w:tcPr>
          <w:p w:rsidR="00000000" w:rsidRDefault="00000000">
            <w:pPr>
              <w:jc w:val="center"/>
            </w:pPr>
            <w:r>
              <w:t>Region</w:t>
            </w:r>
          </w:p>
        </w:tc>
        <w:tc>
          <w:tcPr>
            <w:tcW w:w="2447" w:type="dxa"/>
            <w:tcBorders>
              <w:bottom w:val="single" w:sz="4" w:space="0" w:color="auto"/>
            </w:tcBorders>
          </w:tcPr>
          <w:p w:rsidR="00000000" w:rsidRDefault="00000000">
            <w:pPr>
              <w:jc w:val="center"/>
            </w:pPr>
            <w:r>
              <w:t>Municipalities</w:t>
            </w:r>
          </w:p>
        </w:tc>
        <w:tc>
          <w:tcPr>
            <w:tcW w:w="3118" w:type="dxa"/>
            <w:tcBorders>
              <w:bottom w:val="single" w:sz="4" w:space="0" w:color="auto"/>
            </w:tcBorders>
          </w:tcPr>
          <w:p w:rsidR="00000000" w:rsidRDefault="00000000">
            <w:pPr>
              <w:jc w:val="center"/>
            </w:pPr>
            <w:r>
              <w:t>Families directly benefiting</w:t>
            </w:r>
          </w:p>
        </w:tc>
      </w:tr>
      <w:tr w:rsidR="00000000">
        <w:tblPrEx>
          <w:tblCellMar>
            <w:top w:w="0" w:type="dxa"/>
            <w:bottom w:w="0" w:type="dxa"/>
          </w:tblCellMar>
        </w:tblPrEx>
        <w:tc>
          <w:tcPr>
            <w:tcW w:w="2373" w:type="dxa"/>
            <w:tcBorders>
              <w:bottom w:val="nil"/>
            </w:tcBorders>
          </w:tcPr>
          <w:p w:rsidR="00000000" w:rsidRDefault="00000000">
            <w:r>
              <w:t>North</w:t>
            </w:r>
          </w:p>
        </w:tc>
        <w:tc>
          <w:tcPr>
            <w:tcW w:w="2447" w:type="dxa"/>
            <w:tcBorders>
              <w:bottom w:val="nil"/>
            </w:tcBorders>
          </w:tcPr>
          <w:p w:rsidR="00000000" w:rsidRDefault="00000000">
            <w:pPr>
              <w:ind w:right="964"/>
              <w:jc w:val="right"/>
            </w:pPr>
            <w:r>
              <w:t>127</w:t>
            </w:r>
          </w:p>
        </w:tc>
        <w:tc>
          <w:tcPr>
            <w:tcW w:w="3118" w:type="dxa"/>
            <w:tcBorders>
              <w:bottom w:val="nil"/>
            </w:tcBorders>
          </w:tcPr>
          <w:p w:rsidR="00000000" w:rsidRDefault="00000000">
            <w:pPr>
              <w:ind w:right="1021"/>
              <w:jc w:val="right"/>
            </w:pPr>
            <w:r>
              <w:t>167 610</w:t>
            </w:r>
          </w:p>
        </w:tc>
      </w:tr>
      <w:tr w:rsidR="00000000">
        <w:tblPrEx>
          <w:tblCellMar>
            <w:top w:w="0" w:type="dxa"/>
            <w:bottom w:w="0" w:type="dxa"/>
          </w:tblCellMar>
        </w:tblPrEx>
        <w:tc>
          <w:tcPr>
            <w:tcW w:w="2373" w:type="dxa"/>
            <w:tcBorders>
              <w:top w:val="nil"/>
              <w:bottom w:val="nil"/>
            </w:tcBorders>
          </w:tcPr>
          <w:p w:rsidR="00000000" w:rsidRDefault="00000000">
            <w:r>
              <w:t>North</w:t>
            </w:r>
            <w:r>
              <w:noBreakHyphen/>
              <w:t>east</w:t>
            </w:r>
          </w:p>
        </w:tc>
        <w:tc>
          <w:tcPr>
            <w:tcW w:w="2447" w:type="dxa"/>
            <w:tcBorders>
              <w:top w:val="nil"/>
              <w:bottom w:val="nil"/>
            </w:tcBorders>
          </w:tcPr>
          <w:p w:rsidR="00000000" w:rsidRDefault="00000000">
            <w:pPr>
              <w:ind w:right="964"/>
              <w:jc w:val="right"/>
            </w:pPr>
            <w:r>
              <w:t>394</w:t>
            </w:r>
          </w:p>
        </w:tc>
        <w:tc>
          <w:tcPr>
            <w:tcW w:w="3118" w:type="dxa"/>
            <w:tcBorders>
              <w:top w:val="nil"/>
              <w:bottom w:val="nil"/>
            </w:tcBorders>
          </w:tcPr>
          <w:p w:rsidR="00000000" w:rsidRDefault="00000000">
            <w:pPr>
              <w:ind w:right="1021"/>
              <w:jc w:val="right"/>
            </w:pPr>
            <w:r>
              <w:t>853 402</w:t>
            </w:r>
          </w:p>
        </w:tc>
      </w:tr>
      <w:tr w:rsidR="00000000">
        <w:tblPrEx>
          <w:tblCellMar>
            <w:top w:w="0" w:type="dxa"/>
            <w:bottom w:w="0" w:type="dxa"/>
          </w:tblCellMar>
        </w:tblPrEx>
        <w:tc>
          <w:tcPr>
            <w:tcW w:w="2373" w:type="dxa"/>
            <w:tcBorders>
              <w:top w:val="nil"/>
              <w:bottom w:val="nil"/>
            </w:tcBorders>
          </w:tcPr>
          <w:p w:rsidR="00000000" w:rsidRDefault="00000000">
            <w:r>
              <w:t>Centre-West</w:t>
            </w:r>
          </w:p>
        </w:tc>
        <w:tc>
          <w:tcPr>
            <w:tcW w:w="2447" w:type="dxa"/>
            <w:tcBorders>
              <w:top w:val="nil"/>
              <w:bottom w:val="nil"/>
            </w:tcBorders>
          </w:tcPr>
          <w:p w:rsidR="00000000" w:rsidRDefault="00000000">
            <w:pPr>
              <w:ind w:right="964"/>
              <w:jc w:val="right"/>
            </w:pPr>
            <w:r>
              <w:t>97</w:t>
            </w:r>
          </w:p>
        </w:tc>
        <w:tc>
          <w:tcPr>
            <w:tcW w:w="3118" w:type="dxa"/>
            <w:tcBorders>
              <w:top w:val="nil"/>
              <w:bottom w:val="nil"/>
            </w:tcBorders>
          </w:tcPr>
          <w:p w:rsidR="00000000" w:rsidRDefault="00000000">
            <w:pPr>
              <w:ind w:right="1021"/>
              <w:jc w:val="right"/>
            </w:pPr>
            <w:r>
              <w:t>186 616</w:t>
            </w:r>
          </w:p>
        </w:tc>
      </w:tr>
      <w:tr w:rsidR="00000000">
        <w:tblPrEx>
          <w:tblCellMar>
            <w:top w:w="0" w:type="dxa"/>
            <w:bottom w:w="0" w:type="dxa"/>
          </w:tblCellMar>
        </w:tblPrEx>
        <w:tc>
          <w:tcPr>
            <w:tcW w:w="2373" w:type="dxa"/>
            <w:tcBorders>
              <w:top w:val="nil"/>
              <w:bottom w:val="nil"/>
            </w:tcBorders>
          </w:tcPr>
          <w:p w:rsidR="00000000" w:rsidRDefault="00000000">
            <w:r>
              <w:t>South</w:t>
            </w:r>
            <w:r>
              <w:noBreakHyphen/>
              <w:t>east</w:t>
            </w:r>
          </w:p>
        </w:tc>
        <w:tc>
          <w:tcPr>
            <w:tcW w:w="2447" w:type="dxa"/>
            <w:tcBorders>
              <w:top w:val="nil"/>
              <w:bottom w:val="nil"/>
            </w:tcBorders>
          </w:tcPr>
          <w:p w:rsidR="00000000" w:rsidRDefault="00000000">
            <w:pPr>
              <w:ind w:right="964"/>
              <w:jc w:val="right"/>
            </w:pPr>
            <w:r>
              <w:t>229</w:t>
            </w:r>
          </w:p>
        </w:tc>
        <w:tc>
          <w:tcPr>
            <w:tcW w:w="3118" w:type="dxa"/>
            <w:tcBorders>
              <w:top w:val="nil"/>
              <w:bottom w:val="nil"/>
            </w:tcBorders>
          </w:tcPr>
          <w:p w:rsidR="00000000" w:rsidRDefault="00000000">
            <w:pPr>
              <w:ind w:right="1021"/>
              <w:jc w:val="right"/>
            </w:pPr>
            <w:r>
              <w:t>269 495</w:t>
            </w:r>
          </w:p>
        </w:tc>
      </w:tr>
      <w:tr w:rsidR="00000000">
        <w:tblPrEx>
          <w:tblCellMar>
            <w:top w:w="0" w:type="dxa"/>
            <w:bottom w:w="0" w:type="dxa"/>
          </w:tblCellMar>
        </w:tblPrEx>
        <w:tc>
          <w:tcPr>
            <w:tcW w:w="2373" w:type="dxa"/>
            <w:tcBorders>
              <w:top w:val="nil"/>
            </w:tcBorders>
          </w:tcPr>
          <w:p w:rsidR="00000000" w:rsidRDefault="00000000">
            <w:r>
              <w:t>South</w:t>
            </w:r>
          </w:p>
        </w:tc>
        <w:tc>
          <w:tcPr>
            <w:tcW w:w="2447" w:type="dxa"/>
            <w:tcBorders>
              <w:top w:val="nil"/>
            </w:tcBorders>
          </w:tcPr>
          <w:p w:rsidR="00000000" w:rsidRDefault="00000000">
            <w:pPr>
              <w:ind w:right="964"/>
              <w:jc w:val="right"/>
            </w:pPr>
            <w:r>
              <w:t>171</w:t>
            </w:r>
          </w:p>
        </w:tc>
        <w:tc>
          <w:tcPr>
            <w:tcW w:w="3118" w:type="dxa"/>
            <w:tcBorders>
              <w:top w:val="nil"/>
            </w:tcBorders>
          </w:tcPr>
          <w:p w:rsidR="00000000" w:rsidRDefault="00000000">
            <w:pPr>
              <w:ind w:right="1021"/>
              <w:jc w:val="right"/>
            </w:pPr>
            <w:r>
              <w:t>204 097</w:t>
            </w:r>
          </w:p>
        </w:tc>
      </w:tr>
      <w:tr w:rsidR="00000000">
        <w:tblPrEx>
          <w:tblCellMar>
            <w:top w:w="0" w:type="dxa"/>
            <w:bottom w:w="0" w:type="dxa"/>
          </w:tblCellMar>
        </w:tblPrEx>
        <w:tc>
          <w:tcPr>
            <w:tcW w:w="2373" w:type="dxa"/>
          </w:tcPr>
          <w:p w:rsidR="00000000" w:rsidRDefault="00000000">
            <w:r>
              <w:tab/>
              <w:t>Total</w:t>
            </w:r>
          </w:p>
        </w:tc>
        <w:tc>
          <w:tcPr>
            <w:tcW w:w="2447" w:type="dxa"/>
          </w:tcPr>
          <w:p w:rsidR="00000000" w:rsidRDefault="00000000">
            <w:pPr>
              <w:ind w:right="964"/>
              <w:jc w:val="right"/>
            </w:pPr>
            <w:r>
              <w:t>1 018</w:t>
            </w:r>
          </w:p>
        </w:tc>
        <w:tc>
          <w:tcPr>
            <w:tcW w:w="3118" w:type="dxa"/>
          </w:tcPr>
          <w:p w:rsidR="00000000" w:rsidRDefault="00000000">
            <w:pPr>
              <w:ind w:right="1021"/>
              <w:jc w:val="right"/>
            </w:pPr>
            <w:r>
              <w:t>1 681 220</w:t>
            </w:r>
          </w:p>
        </w:tc>
      </w:tr>
    </w:tbl>
    <w:p w:rsidR="00000000" w:rsidRDefault="00000000"/>
    <w:p w:rsidR="00000000" w:rsidRDefault="00000000">
      <w:pPr>
        <w:pStyle w:val="ParaNo"/>
        <w:tabs>
          <w:tab w:val="clear" w:pos="360"/>
          <w:tab w:val="clear" w:pos="737"/>
        </w:tabs>
        <w:ind w:left="0" w:firstLine="0"/>
        <w:rPr>
          <w:lang w:val="en-GB"/>
        </w:rPr>
      </w:pPr>
      <w:r>
        <w:rPr>
          <w:lang w:val="en-GB"/>
        </w:rPr>
        <w:t>With respect to the Brazilian housing sector, it should be noted that the main source of official data is the Brazilian Geographical and Statistical Institute</w:t>
      </w:r>
      <w:r>
        <w:rPr>
          <w:lang w:val="en-GB"/>
        </w:rPr>
        <w:noBreakHyphen/>
        <w:t>IBGE.  A 10</w:t>
      </w:r>
      <w:r>
        <w:rPr>
          <w:lang w:val="en-GB"/>
        </w:rPr>
        <w:noBreakHyphen/>
        <w:t>yearly national census and yearly National Household Sampling Surveys</w:t>
      </w:r>
      <w:r>
        <w:rPr>
          <w:lang w:val="en-GB"/>
        </w:rPr>
        <w:noBreakHyphen/>
        <w:t>PNADs supply detailed information on various quantitative and qualitative features of Brazilian households and their members.  Also important are the Family Budget Surveys</w:t>
      </w:r>
      <w:r>
        <w:rPr>
          <w:lang w:val="en-GB"/>
        </w:rPr>
        <w:noBreakHyphen/>
        <w:t>POF that estimate family expenditures on housing services by income bracket; the Living Standard Survey</w:t>
      </w:r>
      <w:r>
        <w:rPr>
          <w:lang w:val="en-GB"/>
        </w:rPr>
        <w:noBreakHyphen/>
        <w:t>PPV, which provides important information on the consumption of housing services, also by income bracket; and the Annual Civil Construction Industry’s Survey</w:t>
      </w:r>
      <w:r>
        <w:rPr>
          <w:lang w:val="en-GB"/>
        </w:rPr>
        <w:noBreakHyphen/>
        <w:t>PAIC, which describes in some detail the performance of this sector of the economy.</w:t>
      </w:r>
    </w:p>
    <w:p w:rsidR="00000000" w:rsidRDefault="00000000"/>
    <w:p w:rsidR="00000000" w:rsidRDefault="00000000">
      <w:pPr>
        <w:pStyle w:val="ParaNo"/>
        <w:tabs>
          <w:tab w:val="clear" w:pos="360"/>
          <w:tab w:val="clear" w:pos="737"/>
        </w:tabs>
        <w:ind w:left="0" w:firstLine="0"/>
        <w:rPr>
          <w:lang w:val="en-GB"/>
        </w:rPr>
      </w:pPr>
      <w:r>
        <w:rPr>
          <w:lang w:val="en-GB"/>
        </w:rPr>
        <w:t>It should be noted, though, that IBGE surveys were conducted for a purpose different from that of a housing census, which requires other important data on the population’s housing conditions, such as property area, age, conservation and location, among others.</w:t>
      </w:r>
    </w:p>
    <w:p w:rsidR="00000000" w:rsidRDefault="00000000"/>
    <w:p w:rsidR="00000000" w:rsidRDefault="00000000">
      <w:pPr>
        <w:pStyle w:val="ParaNo"/>
        <w:tabs>
          <w:tab w:val="clear" w:pos="360"/>
          <w:tab w:val="clear" w:pos="737"/>
        </w:tabs>
        <w:ind w:left="0" w:firstLine="0"/>
        <w:rPr>
          <w:lang w:val="en-GB"/>
        </w:rPr>
      </w:pPr>
      <w:r>
        <w:rPr>
          <w:lang w:val="en-GB"/>
        </w:rPr>
        <w:t>Estimates of the Brazilian housing deficit have been the subject of polemics among various institutions and segments of society.  They vary from 5.6 million to 15.4 million housing units and the difference in the estimates can be explained by the methods and parameters used.</w:t>
      </w:r>
    </w:p>
    <w:p w:rsidR="00000000" w:rsidRDefault="00000000"/>
    <w:p w:rsidR="00000000" w:rsidRDefault="00000000">
      <w:pPr>
        <w:pStyle w:val="ParaNo"/>
        <w:tabs>
          <w:tab w:val="clear" w:pos="360"/>
          <w:tab w:val="clear" w:pos="737"/>
        </w:tabs>
        <w:ind w:left="0" w:firstLine="0"/>
        <w:rPr>
          <w:lang w:val="en-GB"/>
        </w:rPr>
      </w:pPr>
      <w:r>
        <w:rPr>
          <w:lang w:val="en-GB"/>
        </w:rPr>
        <w:t>Official government data on the housing deficit are included in a 1995 study by the João Pinheiro Foundation, based on data from the 1991 National Census and the National Housing Sampling Survey updated to 1995.  Once again the Brazilian Government anticipates that the 10</w:t>
      </w:r>
      <w:r>
        <w:rPr>
          <w:lang w:val="en-GB"/>
        </w:rPr>
        <w:noBreakHyphen/>
        <w:t>yearly national census now under way may introduce new variables and thus modify various important aspects in the consideration of the housing issue in Brazil.</w:t>
      </w:r>
    </w:p>
    <w:p w:rsidR="00000000" w:rsidRDefault="00000000"/>
    <w:p w:rsidR="00000000" w:rsidRDefault="00000000">
      <w:pPr>
        <w:pStyle w:val="ParaNo"/>
        <w:tabs>
          <w:tab w:val="clear" w:pos="360"/>
          <w:tab w:val="clear" w:pos="737"/>
        </w:tabs>
        <w:ind w:left="0" w:firstLine="0"/>
        <w:rPr>
          <w:lang w:val="en-GB"/>
        </w:rPr>
      </w:pPr>
      <w:r>
        <w:rPr>
          <w:lang w:val="en-GB"/>
        </w:rPr>
        <w:t xml:space="preserve">The 1995 study worked with two concepts of housing deficit:  a quantitative and a qualitative deficit.  The quantitative housing deficit measures the need for the construction of new housing units and is calculated as the sum of improvised housing units, i.e. units built for purposes other than housing, plus rustic permanent housing units, i.e. built with inadequate materials, plus shared housing units, i.e. housing units shared by two or more families.  The qualitative housing deficit refers to those dwellings whose standards qualify them as inadequate housing.  The study considers three basic kinds of inadequacy:  (i) excessive rent burden; (ii) excessive density; and (iii) absence of or inadequate infrastructure.  It should be noted that the qualitative deficit categories cannot be added up because of the risk of double counting, as a given dwelling may present more than one inadequate feature.  Moreover, computing the quantitative deficit together with some qualitative deficit categories is not recommended; although there is no risk of double counting, they have different policy implications.  The table below shows 1991 data relative to the quantitative housing deficit according to category and condition of housing units. </w:t>
      </w:r>
    </w:p>
    <w:p w:rsidR="00000000" w:rsidRDefault="00000000"/>
    <w:p w:rsidR="00000000" w:rsidRDefault="00000000">
      <w:pPr>
        <w:pStyle w:val="Heading1"/>
      </w:pPr>
      <w:r>
        <w:t>Table 56</w:t>
      </w:r>
    </w:p>
    <w:p w:rsidR="00000000" w:rsidRDefault="00000000"/>
    <w:p w:rsidR="00000000" w:rsidRDefault="00000000">
      <w:pPr>
        <w:pStyle w:val="Heading1"/>
      </w:pPr>
      <w:r>
        <w:t>Breakdown of the housing deficit by location of household in 1991</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1"/>
        <w:gridCol w:w="1985"/>
        <w:gridCol w:w="1984"/>
        <w:gridCol w:w="1418"/>
        <w:gridCol w:w="1418"/>
      </w:tblGrid>
      <w:tr w:rsidR="00000000">
        <w:tblPrEx>
          <w:tblCellMar>
            <w:top w:w="0" w:type="dxa"/>
            <w:bottom w:w="0" w:type="dxa"/>
          </w:tblCellMar>
        </w:tblPrEx>
        <w:tc>
          <w:tcPr>
            <w:tcW w:w="2551" w:type="dxa"/>
            <w:tcBorders>
              <w:bottom w:val="single" w:sz="4" w:space="0" w:color="auto"/>
            </w:tcBorders>
          </w:tcPr>
          <w:p w:rsidR="00000000" w:rsidRDefault="00000000">
            <w:pPr>
              <w:jc w:val="center"/>
            </w:pPr>
            <w:r>
              <w:t>Type of deficit</w:t>
            </w:r>
          </w:p>
        </w:tc>
        <w:tc>
          <w:tcPr>
            <w:tcW w:w="1985" w:type="dxa"/>
            <w:tcBorders>
              <w:bottom w:val="single" w:sz="4" w:space="0" w:color="auto"/>
            </w:tcBorders>
          </w:tcPr>
          <w:p w:rsidR="00000000" w:rsidRDefault="00000000">
            <w:pPr>
              <w:jc w:val="center"/>
            </w:pPr>
            <w:r>
              <w:t>Metropolitan area</w:t>
            </w:r>
          </w:p>
        </w:tc>
        <w:tc>
          <w:tcPr>
            <w:tcW w:w="1984" w:type="dxa"/>
            <w:tcBorders>
              <w:bottom w:val="single" w:sz="4" w:space="0" w:color="auto"/>
            </w:tcBorders>
          </w:tcPr>
          <w:p w:rsidR="00000000" w:rsidRDefault="00000000">
            <w:pPr>
              <w:jc w:val="center"/>
            </w:pPr>
            <w:r>
              <w:t>Other urban areas</w:t>
            </w:r>
          </w:p>
        </w:tc>
        <w:tc>
          <w:tcPr>
            <w:tcW w:w="1418" w:type="dxa"/>
            <w:tcBorders>
              <w:bottom w:val="single" w:sz="4" w:space="0" w:color="auto"/>
            </w:tcBorders>
          </w:tcPr>
          <w:p w:rsidR="00000000" w:rsidRDefault="00000000">
            <w:pPr>
              <w:jc w:val="center"/>
            </w:pPr>
            <w:r>
              <w:t>Rural</w:t>
            </w:r>
          </w:p>
        </w:tc>
        <w:tc>
          <w:tcPr>
            <w:tcW w:w="1418" w:type="dxa"/>
            <w:tcBorders>
              <w:bottom w:val="single" w:sz="4" w:space="0" w:color="auto"/>
            </w:tcBorders>
          </w:tcPr>
          <w:p w:rsidR="00000000" w:rsidRDefault="00000000">
            <w:pPr>
              <w:jc w:val="center"/>
            </w:pPr>
            <w:r>
              <w:t>Total</w:t>
            </w:r>
          </w:p>
        </w:tc>
      </w:tr>
      <w:tr w:rsidR="00000000">
        <w:tblPrEx>
          <w:tblCellMar>
            <w:top w:w="0" w:type="dxa"/>
            <w:bottom w:w="0" w:type="dxa"/>
          </w:tblCellMar>
        </w:tblPrEx>
        <w:tc>
          <w:tcPr>
            <w:tcW w:w="2551" w:type="dxa"/>
            <w:tcBorders>
              <w:bottom w:val="nil"/>
            </w:tcBorders>
          </w:tcPr>
          <w:p w:rsidR="00000000" w:rsidRDefault="00000000">
            <w:r>
              <w:t>Improvised housing</w:t>
            </w:r>
          </w:p>
        </w:tc>
        <w:tc>
          <w:tcPr>
            <w:tcW w:w="1985" w:type="dxa"/>
            <w:tcBorders>
              <w:bottom w:val="nil"/>
            </w:tcBorders>
          </w:tcPr>
          <w:p w:rsidR="00000000" w:rsidRDefault="00000000">
            <w:pPr>
              <w:ind w:right="340"/>
              <w:jc w:val="right"/>
            </w:pPr>
            <w:r>
              <w:t>33 358</w:t>
            </w:r>
          </w:p>
        </w:tc>
        <w:tc>
          <w:tcPr>
            <w:tcW w:w="1984" w:type="dxa"/>
            <w:tcBorders>
              <w:bottom w:val="nil"/>
            </w:tcBorders>
          </w:tcPr>
          <w:p w:rsidR="00000000" w:rsidRDefault="00000000">
            <w:pPr>
              <w:ind w:right="284"/>
              <w:jc w:val="right"/>
            </w:pPr>
            <w:r>
              <w:t>58 677</w:t>
            </w:r>
          </w:p>
        </w:tc>
        <w:tc>
          <w:tcPr>
            <w:tcW w:w="1418" w:type="dxa"/>
            <w:tcBorders>
              <w:bottom w:val="nil"/>
            </w:tcBorders>
          </w:tcPr>
          <w:p w:rsidR="00000000" w:rsidRDefault="00000000">
            <w:pPr>
              <w:ind w:right="227"/>
              <w:jc w:val="right"/>
            </w:pPr>
            <w:r>
              <w:t>54 500</w:t>
            </w:r>
          </w:p>
        </w:tc>
        <w:tc>
          <w:tcPr>
            <w:tcW w:w="1418" w:type="dxa"/>
            <w:tcBorders>
              <w:bottom w:val="nil"/>
            </w:tcBorders>
          </w:tcPr>
          <w:p w:rsidR="00000000" w:rsidRDefault="00000000">
            <w:pPr>
              <w:ind w:right="227"/>
              <w:jc w:val="right"/>
            </w:pPr>
            <w:r>
              <w:t>146 535</w:t>
            </w:r>
          </w:p>
        </w:tc>
      </w:tr>
      <w:tr w:rsidR="00000000">
        <w:tblPrEx>
          <w:tblCellMar>
            <w:top w:w="0" w:type="dxa"/>
            <w:bottom w:w="0" w:type="dxa"/>
          </w:tblCellMar>
        </w:tblPrEx>
        <w:tc>
          <w:tcPr>
            <w:tcW w:w="2551" w:type="dxa"/>
            <w:tcBorders>
              <w:top w:val="nil"/>
              <w:bottom w:val="nil"/>
            </w:tcBorders>
          </w:tcPr>
          <w:p w:rsidR="00000000" w:rsidRDefault="00000000">
            <w:r>
              <w:t>Precarious housing</w:t>
            </w:r>
          </w:p>
        </w:tc>
        <w:tc>
          <w:tcPr>
            <w:tcW w:w="1985" w:type="dxa"/>
            <w:tcBorders>
              <w:top w:val="nil"/>
              <w:bottom w:val="nil"/>
            </w:tcBorders>
          </w:tcPr>
          <w:p w:rsidR="00000000" w:rsidRDefault="00000000">
            <w:pPr>
              <w:ind w:right="340"/>
              <w:jc w:val="right"/>
            </w:pPr>
            <w:r>
              <w:t>230 178</w:t>
            </w:r>
          </w:p>
        </w:tc>
        <w:tc>
          <w:tcPr>
            <w:tcW w:w="1984" w:type="dxa"/>
            <w:tcBorders>
              <w:top w:val="nil"/>
              <w:bottom w:val="nil"/>
            </w:tcBorders>
          </w:tcPr>
          <w:p w:rsidR="00000000" w:rsidRDefault="00000000">
            <w:pPr>
              <w:ind w:right="284"/>
              <w:jc w:val="right"/>
            </w:pPr>
            <w:r>
              <w:t>434 337</w:t>
            </w:r>
          </w:p>
        </w:tc>
        <w:tc>
          <w:tcPr>
            <w:tcW w:w="1418" w:type="dxa"/>
            <w:tcBorders>
              <w:top w:val="nil"/>
              <w:bottom w:val="nil"/>
            </w:tcBorders>
          </w:tcPr>
          <w:p w:rsidR="00000000" w:rsidRDefault="00000000">
            <w:pPr>
              <w:ind w:right="227"/>
              <w:jc w:val="right"/>
            </w:pPr>
            <w:r>
              <w:t>1 063 330</w:t>
            </w:r>
          </w:p>
        </w:tc>
        <w:tc>
          <w:tcPr>
            <w:tcW w:w="1418" w:type="dxa"/>
            <w:tcBorders>
              <w:top w:val="nil"/>
              <w:bottom w:val="nil"/>
            </w:tcBorders>
          </w:tcPr>
          <w:p w:rsidR="00000000" w:rsidRDefault="00000000">
            <w:pPr>
              <w:ind w:right="227"/>
              <w:jc w:val="right"/>
            </w:pPr>
            <w:r>
              <w:t>1 727 845</w:t>
            </w:r>
          </w:p>
        </w:tc>
      </w:tr>
      <w:tr w:rsidR="00000000">
        <w:tblPrEx>
          <w:tblCellMar>
            <w:top w:w="0" w:type="dxa"/>
            <w:bottom w:w="0" w:type="dxa"/>
          </w:tblCellMar>
        </w:tblPrEx>
        <w:tc>
          <w:tcPr>
            <w:tcW w:w="2551" w:type="dxa"/>
            <w:tcBorders>
              <w:top w:val="nil"/>
            </w:tcBorders>
          </w:tcPr>
          <w:p w:rsidR="00000000" w:rsidRDefault="00000000">
            <w:r>
              <w:t>Families living together</w:t>
            </w:r>
          </w:p>
        </w:tc>
        <w:tc>
          <w:tcPr>
            <w:tcW w:w="1985" w:type="dxa"/>
            <w:tcBorders>
              <w:top w:val="nil"/>
            </w:tcBorders>
          </w:tcPr>
          <w:p w:rsidR="00000000" w:rsidRDefault="00000000">
            <w:pPr>
              <w:ind w:right="340"/>
              <w:jc w:val="right"/>
            </w:pPr>
            <w:r>
              <w:t>979 779</w:t>
            </w:r>
          </w:p>
        </w:tc>
        <w:tc>
          <w:tcPr>
            <w:tcW w:w="1984" w:type="dxa"/>
            <w:tcBorders>
              <w:top w:val="nil"/>
            </w:tcBorders>
          </w:tcPr>
          <w:p w:rsidR="00000000" w:rsidRDefault="00000000">
            <w:pPr>
              <w:ind w:right="284"/>
              <w:jc w:val="right"/>
            </w:pPr>
            <w:r>
              <w:t>1 621 256</w:t>
            </w:r>
          </w:p>
        </w:tc>
        <w:tc>
          <w:tcPr>
            <w:tcW w:w="1418" w:type="dxa"/>
            <w:tcBorders>
              <w:top w:val="nil"/>
            </w:tcBorders>
          </w:tcPr>
          <w:p w:rsidR="00000000" w:rsidRDefault="00000000">
            <w:pPr>
              <w:ind w:right="227"/>
              <w:jc w:val="right"/>
            </w:pPr>
            <w:r>
              <w:t>527 943</w:t>
            </w:r>
          </w:p>
        </w:tc>
        <w:tc>
          <w:tcPr>
            <w:tcW w:w="1418" w:type="dxa"/>
            <w:tcBorders>
              <w:top w:val="nil"/>
            </w:tcBorders>
          </w:tcPr>
          <w:p w:rsidR="00000000" w:rsidRDefault="00000000">
            <w:pPr>
              <w:ind w:right="227"/>
              <w:jc w:val="right"/>
            </w:pPr>
            <w:r>
              <w:t>3 128 978</w:t>
            </w:r>
          </w:p>
        </w:tc>
      </w:tr>
      <w:tr w:rsidR="00000000">
        <w:tblPrEx>
          <w:tblCellMar>
            <w:top w:w="0" w:type="dxa"/>
            <w:bottom w:w="0" w:type="dxa"/>
          </w:tblCellMar>
        </w:tblPrEx>
        <w:tc>
          <w:tcPr>
            <w:tcW w:w="2551" w:type="dxa"/>
          </w:tcPr>
          <w:p w:rsidR="00000000" w:rsidRDefault="00000000">
            <w:r>
              <w:tab/>
              <w:t>Total</w:t>
            </w:r>
          </w:p>
        </w:tc>
        <w:tc>
          <w:tcPr>
            <w:tcW w:w="1985" w:type="dxa"/>
          </w:tcPr>
          <w:p w:rsidR="00000000" w:rsidRDefault="00000000">
            <w:pPr>
              <w:ind w:right="340"/>
              <w:jc w:val="right"/>
            </w:pPr>
            <w:r>
              <w:t>1 243 315</w:t>
            </w:r>
          </w:p>
        </w:tc>
        <w:tc>
          <w:tcPr>
            <w:tcW w:w="1984" w:type="dxa"/>
          </w:tcPr>
          <w:p w:rsidR="00000000" w:rsidRDefault="00000000">
            <w:pPr>
              <w:ind w:right="284"/>
              <w:jc w:val="right"/>
            </w:pPr>
            <w:r>
              <w:t>2 114 268</w:t>
            </w:r>
          </w:p>
        </w:tc>
        <w:tc>
          <w:tcPr>
            <w:tcW w:w="1418" w:type="dxa"/>
          </w:tcPr>
          <w:p w:rsidR="00000000" w:rsidRDefault="00000000">
            <w:pPr>
              <w:ind w:right="227"/>
              <w:jc w:val="right"/>
            </w:pPr>
            <w:r>
              <w:t>1 630 788</w:t>
            </w:r>
          </w:p>
        </w:tc>
        <w:tc>
          <w:tcPr>
            <w:tcW w:w="1418" w:type="dxa"/>
          </w:tcPr>
          <w:p w:rsidR="00000000" w:rsidRDefault="00000000">
            <w:pPr>
              <w:ind w:right="227"/>
              <w:jc w:val="right"/>
            </w:pPr>
            <w:r>
              <w:t>4 988 371</w:t>
            </w:r>
          </w:p>
        </w:tc>
      </w:tr>
    </w:tbl>
    <w:p w:rsidR="00000000" w:rsidRDefault="00000000"/>
    <w:p w:rsidR="00000000" w:rsidRDefault="00000000">
      <w:r>
        <w:tab/>
      </w:r>
      <w:r>
        <w:rPr>
          <w:u w:val="single"/>
        </w:rPr>
        <w:t>Source</w:t>
      </w:r>
      <w:r>
        <w:t>:  João Pinheiro Foundation, 1995.</w:t>
      </w:r>
    </w:p>
    <w:p w:rsidR="00000000" w:rsidRDefault="00000000"/>
    <w:p w:rsidR="00000000" w:rsidRDefault="00000000">
      <w:pPr>
        <w:pStyle w:val="ParaNo"/>
        <w:tabs>
          <w:tab w:val="clear" w:pos="360"/>
          <w:tab w:val="clear" w:pos="737"/>
        </w:tabs>
        <w:ind w:left="0" w:firstLine="0"/>
        <w:rPr>
          <w:lang w:val="en-GB"/>
        </w:rPr>
      </w:pPr>
      <w:r>
        <w:rPr>
          <w:lang w:val="en-GB"/>
        </w:rPr>
        <w:t>It can be observed that while the bulk of the housing deficit in urban areas is due to family</w:t>
      </w:r>
      <w:r>
        <w:rPr>
          <w:lang w:val="en-GB"/>
        </w:rPr>
        <w:noBreakHyphen/>
        <w:t>shared housing, the housing deficit in rural areas is due to the precariousness of dwellings.  The table below shows that the problem of family</w:t>
      </w:r>
      <w:r>
        <w:rPr>
          <w:lang w:val="en-GB"/>
        </w:rPr>
        <w:noBreakHyphen/>
        <w:t>shared housing is more serious in metropolitan areas.  The urban housing deficit is strongly associated with the level of family income and affects primarily lower income brackets.  Approximately 85 per cent of the Brazilian housing deficit is concentrated in the population segments whose monthly income is less than five minimum salaries.</w:t>
      </w:r>
    </w:p>
    <w:p w:rsidR="00000000" w:rsidRDefault="00000000"/>
    <w:p w:rsidR="00000000" w:rsidRDefault="00000000">
      <w:pPr>
        <w:pStyle w:val="Heading1"/>
      </w:pPr>
      <w:r>
        <w:t>Table 57</w:t>
      </w:r>
    </w:p>
    <w:p w:rsidR="00000000" w:rsidRDefault="00000000"/>
    <w:p w:rsidR="00000000" w:rsidRDefault="00000000">
      <w:pPr>
        <w:pStyle w:val="Heading1"/>
      </w:pPr>
      <w:r>
        <w:t>Breakdown of the urban housing deficit by income bracket in 1991 (%)</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1559"/>
        <w:gridCol w:w="1985"/>
        <w:gridCol w:w="2019"/>
        <w:gridCol w:w="1808"/>
      </w:tblGrid>
      <w:tr w:rsidR="00000000">
        <w:tblPrEx>
          <w:tblCellMar>
            <w:top w:w="0" w:type="dxa"/>
            <w:bottom w:w="0" w:type="dxa"/>
          </w:tblCellMar>
        </w:tblPrEx>
        <w:tc>
          <w:tcPr>
            <w:tcW w:w="1985" w:type="dxa"/>
            <w:tcBorders>
              <w:bottom w:val="single" w:sz="4" w:space="0" w:color="auto"/>
            </w:tcBorders>
          </w:tcPr>
          <w:p w:rsidR="00000000" w:rsidRDefault="00000000">
            <w:r>
              <w:t>Deficit category</w:t>
            </w:r>
          </w:p>
        </w:tc>
        <w:tc>
          <w:tcPr>
            <w:tcW w:w="1559" w:type="dxa"/>
            <w:tcBorders>
              <w:bottom w:val="single" w:sz="4" w:space="0" w:color="auto"/>
            </w:tcBorders>
          </w:tcPr>
          <w:p w:rsidR="00000000" w:rsidRDefault="00000000">
            <w:r>
              <w:t>Up to two minimum salaries (1)</w:t>
            </w:r>
          </w:p>
        </w:tc>
        <w:tc>
          <w:tcPr>
            <w:tcW w:w="1985" w:type="dxa"/>
            <w:tcBorders>
              <w:bottom w:val="single" w:sz="4" w:space="0" w:color="auto"/>
            </w:tcBorders>
          </w:tcPr>
          <w:p w:rsidR="00000000" w:rsidRDefault="00000000">
            <w:r>
              <w:t>Two to five minimum salaries (2)</w:t>
            </w:r>
          </w:p>
        </w:tc>
        <w:tc>
          <w:tcPr>
            <w:tcW w:w="2019" w:type="dxa"/>
            <w:tcBorders>
              <w:bottom w:val="single" w:sz="4" w:space="0" w:color="auto"/>
            </w:tcBorders>
          </w:tcPr>
          <w:p w:rsidR="00000000" w:rsidRDefault="00000000">
            <w:r>
              <w:t>Up to five minimum salaries (1+2)</w:t>
            </w:r>
          </w:p>
        </w:tc>
        <w:tc>
          <w:tcPr>
            <w:tcW w:w="1808" w:type="dxa"/>
            <w:tcBorders>
              <w:bottom w:val="single" w:sz="4" w:space="0" w:color="auto"/>
            </w:tcBorders>
          </w:tcPr>
          <w:p w:rsidR="00000000" w:rsidRDefault="00000000">
            <w:r>
              <w:t>More than five minimum salaries</w:t>
            </w:r>
          </w:p>
        </w:tc>
      </w:tr>
      <w:tr w:rsidR="00000000">
        <w:tblPrEx>
          <w:tblCellMar>
            <w:top w:w="0" w:type="dxa"/>
            <w:bottom w:w="0" w:type="dxa"/>
          </w:tblCellMar>
        </w:tblPrEx>
        <w:tc>
          <w:tcPr>
            <w:tcW w:w="1985" w:type="dxa"/>
            <w:tcBorders>
              <w:bottom w:val="nil"/>
            </w:tcBorders>
          </w:tcPr>
          <w:p w:rsidR="00000000" w:rsidRDefault="00000000">
            <w:r>
              <w:t>Family</w:t>
            </w:r>
            <w:r>
              <w:noBreakHyphen/>
              <w:t>shared housing</w:t>
            </w:r>
          </w:p>
        </w:tc>
        <w:tc>
          <w:tcPr>
            <w:tcW w:w="1559" w:type="dxa"/>
            <w:tcBorders>
              <w:bottom w:val="nil"/>
            </w:tcBorders>
          </w:tcPr>
          <w:p w:rsidR="00000000" w:rsidRDefault="00000000">
            <w:pPr>
              <w:jc w:val="center"/>
            </w:pPr>
            <w:r>
              <w:t>42.9</w:t>
            </w:r>
          </w:p>
        </w:tc>
        <w:tc>
          <w:tcPr>
            <w:tcW w:w="1985" w:type="dxa"/>
            <w:tcBorders>
              <w:bottom w:val="nil"/>
            </w:tcBorders>
          </w:tcPr>
          <w:p w:rsidR="00000000" w:rsidRDefault="00000000">
            <w:pPr>
              <w:ind w:right="680"/>
              <w:jc w:val="right"/>
            </w:pPr>
            <w:r>
              <w:t>21.4</w:t>
            </w:r>
          </w:p>
        </w:tc>
        <w:tc>
          <w:tcPr>
            <w:tcW w:w="2019" w:type="dxa"/>
            <w:tcBorders>
              <w:bottom w:val="nil"/>
            </w:tcBorders>
          </w:tcPr>
          <w:p w:rsidR="00000000" w:rsidRDefault="00000000">
            <w:pPr>
              <w:jc w:val="center"/>
            </w:pPr>
            <w:r>
              <w:t>64.3</w:t>
            </w:r>
          </w:p>
        </w:tc>
        <w:tc>
          <w:tcPr>
            <w:tcW w:w="1808" w:type="dxa"/>
            <w:tcBorders>
              <w:bottom w:val="nil"/>
            </w:tcBorders>
          </w:tcPr>
          <w:p w:rsidR="00000000" w:rsidRDefault="00000000">
            <w:pPr>
              <w:ind w:right="567"/>
              <w:jc w:val="right"/>
            </w:pPr>
            <w:r>
              <w:t>13.1</w:t>
            </w:r>
          </w:p>
        </w:tc>
      </w:tr>
      <w:tr w:rsidR="00000000">
        <w:tblPrEx>
          <w:tblCellMar>
            <w:top w:w="0" w:type="dxa"/>
            <w:bottom w:w="0" w:type="dxa"/>
          </w:tblCellMar>
        </w:tblPrEx>
        <w:tc>
          <w:tcPr>
            <w:tcW w:w="1985" w:type="dxa"/>
            <w:tcBorders>
              <w:top w:val="nil"/>
            </w:tcBorders>
          </w:tcPr>
          <w:p w:rsidR="00000000" w:rsidRDefault="00000000">
            <w:r>
              <w:t>Other categories</w:t>
            </w:r>
          </w:p>
        </w:tc>
        <w:tc>
          <w:tcPr>
            <w:tcW w:w="1559" w:type="dxa"/>
            <w:tcBorders>
              <w:top w:val="nil"/>
            </w:tcBorders>
          </w:tcPr>
          <w:p w:rsidR="00000000" w:rsidRDefault="00000000">
            <w:pPr>
              <w:jc w:val="center"/>
            </w:pPr>
            <w:r>
              <w:t>12.5</w:t>
            </w:r>
          </w:p>
        </w:tc>
        <w:tc>
          <w:tcPr>
            <w:tcW w:w="1985" w:type="dxa"/>
            <w:tcBorders>
              <w:top w:val="nil"/>
            </w:tcBorders>
          </w:tcPr>
          <w:p w:rsidR="00000000" w:rsidRDefault="00000000">
            <w:pPr>
              <w:ind w:right="680"/>
              <w:jc w:val="right"/>
            </w:pPr>
            <w:r>
              <w:t>7.8</w:t>
            </w:r>
          </w:p>
        </w:tc>
        <w:tc>
          <w:tcPr>
            <w:tcW w:w="2019" w:type="dxa"/>
            <w:tcBorders>
              <w:top w:val="nil"/>
            </w:tcBorders>
          </w:tcPr>
          <w:p w:rsidR="00000000" w:rsidRDefault="00000000">
            <w:pPr>
              <w:jc w:val="center"/>
            </w:pPr>
            <w:r>
              <w:t>20.3</w:t>
            </w:r>
          </w:p>
        </w:tc>
        <w:tc>
          <w:tcPr>
            <w:tcW w:w="1808" w:type="dxa"/>
            <w:tcBorders>
              <w:top w:val="nil"/>
            </w:tcBorders>
          </w:tcPr>
          <w:p w:rsidR="00000000" w:rsidRDefault="00000000">
            <w:pPr>
              <w:ind w:right="567"/>
              <w:jc w:val="right"/>
            </w:pPr>
            <w:r>
              <w:t>2.6</w:t>
            </w:r>
          </w:p>
        </w:tc>
      </w:tr>
      <w:tr w:rsidR="00000000">
        <w:tblPrEx>
          <w:tblCellMar>
            <w:top w:w="0" w:type="dxa"/>
            <w:bottom w:w="0" w:type="dxa"/>
          </w:tblCellMar>
        </w:tblPrEx>
        <w:tc>
          <w:tcPr>
            <w:tcW w:w="1985" w:type="dxa"/>
          </w:tcPr>
          <w:p w:rsidR="00000000" w:rsidRDefault="00000000">
            <w:r>
              <w:tab/>
              <w:t>Total</w:t>
            </w:r>
          </w:p>
        </w:tc>
        <w:tc>
          <w:tcPr>
            <w:tcW w:w="1559" w:type="dxa"/>
          </w:tcPr>
          <w:p w:rsidR="00000000" w:rsidRDefault="00000000">
            <w:pPr>
              <w:jc w:val="center"/>
            </w:pPr>
            <w:r>
              <w:t>55.4</w:t>
            </w:r>
          </w:p>
        </w:tc>
        <w:tc>
          <w:tcPr>
            <w:tcW w:w="1985" w:type="dxa"/>
          </w:tcPr>
          <w:p w:rsidR="00000000" w:rsidRDefault="00000000">
            <w:pPr>
              <w:ind w:right="680"/>
              <w:jc w:val="right"/>
            </w:pPr>
            <w:r>
              <w:t>29.2</w:t>
            </w:r>
          </w:p>
        </w:tc>
        <w:tc>
          <w:tcPr>
            <w:tcW w:w="2019" w:type="dxa"/>
          </w:tcPr>
          <w:p w:rsidR="00000000" w:rsidRDefault="00000000">
            <w:pPr>
              <w:jc w:val="center"/>
            </w:pPr>
            <w:r>
              <w:t>84.6</w:t>
            </w:r>
          </w:p>
        </w:tc>
        <w:tc>
          <w:tcPr>
            <w:tcW w:w="1808" w:type="dxa"/>
          </w:tcPr>
          <w:p w:rsidR="00000000" w:rsidRDefault="00000000">
            <w:pPr>
              <w:ind w:right="567"/>
              <w:jc w:val="right"/>
            </w:pPr>
            <w:r>
              <w:t>15.7</w:t>
            </w:r>
          </w:p>
        </w:tc>
      </w:tr>
    </w:tbl>
    <w:p w:rsidR="00000000" w:rsidRDefault="00000000"/>
    <w:p w:rsidR="00000000" w:rsidRDefault="00000000">
      <w:r>
        <w:tab/>
      </w:r>
      <w:r>
        <w:rPr>
          <w:u w:val="single"/>
        </w:rPr>
        <w:t>Source</w:t>
      </w:r>
      <w:r>
        <w:t>:  João Pinheiro Foundation, 1995.</w:t>
      </w:r>
    </w:p>
    <w:p w:rsidR="00000000" w:rsidRDefault="00000000">
      <w:pPr>
        <w:pStyle w:val="ParaNo"/>
        <w:tabs>
          <w:tab w:val="clear" w:pos="360"/>
          <w:tab w:val="clear" w:pos="737"/>
        </w:tabs>
        <w:ind w:left="0" w:firstLine="0"/>
        <w:rPr>
          <w:lang w:val="en-GB"/>
        </w:rPr>
      </w:pPr>
      <w:r>
        <w:rPr>
          <w:lang w:val="en-GB"/>
        </w:rPr>
        <w:t>As regards the regional distribution of the housing deficit, it can be observed that it is concentrated in the north</w:t>
      </w:r>
      <w:r>
        <w:rPr>
          <w:lang w:val="en-GB"/>
        </w:rPr>
        <w:noBreakHyphen/>
        <w:t>east and south</w:t>
      </w:r>
      <w:r>
        <w:rPr>
          <w:lang w:val="en-GB"/>
        </w:rPr>
        <w:noBreakHyphen/>
        <w:t>east, which account for 44.7 per cent and 33.28 per cent of the total housing deficit, respectively.</w:t>
      </w:r>
    </w:p>
    <w:p w:rsidR="00000000" w:rsidRDefault="00000000"/>
    <w:p w:rsidR="00000000" w:rsidRDefault="00000000">
      <w:pPr>
        <w:pStyle w:val="Heading1"/>
        <w:rPr>
          <w:kern w:val="20"/>
        </w:rPr>
      </w:pPr>
      <w:r>
        <w:rPr>
          <w:kern w:val="20"/>
        </w:rPr>
        <w:t>Table 58</w:t>
      </w:r>
    </w:p>
    <w:p w:rsidR="00000000" w:rsidRDefault="00000000">
      <w:pPr>
        <w:rPr>
          <w:kern w:val="20"/>
        </w:rPr>
      </w:pPr>
    </w:p>
    <w:p w:rsidR="00000000" w:rsidRDefault="00000000">
      <w:pPr>
        <w:pStyle w:val="Heading1"/>
        <w:rPr>
          <w:kern w:val="20"/>
        </w:rPr>
      </w:pPr>
      <w:r>
        <w:rPr>
          <w:kern w:val="20"/>
        </w:rPr>
        <w:t>Housing deficit by major regions in 1991</w:t>
      </w:r>
    </w:p>
    <w:p w:rsidR="00000000" w:rsidRDefault="00000000"/>
    <w:tbl>
      <w:tblPr>
        <w:tblW w:w="9214" w:type="dxa"/>
        <w:tblInd w:w="70" w:type="dxa"/>
        <w:tblBorders>
          <w:top w:val="single" w:sz="2" w:space="0" w:color="000000"/>
          <w:left w:val="single" w:sz="2" w:space="0" w:color="000000"/>
          <w:bottom w:val="single" w:sz="2" w:space="0" w:color="000000"/>
          <w:right w:val="single" w:sz="2" w:space="0" w:color="000000"/>
          <w:insideV w:val="single" w:sz="2" w:space="0" w:color="000000"/>
        </w:tblBorders>
        <w:tblLayout w:type="fixed"/>
        <w:tblCellMar>
          <w:left w:w="70" w:type="dxa"/>
          <w:right w:w="70" w:type="dxa"/>
        </w:tblCellMar>
        <w:tblLook w:val="0000" w:firstRow="0" w:lastRow="0" w:firstColumn="0" w:lastColumn="0" w:noHBand="0" w:noVBand="0"/>
      </w:tblPr>
      <w:tblGrid>
        <w:gridCol w:w="1134"/>
        <w:gridCol w:w="993"/>
        <w:gridCol w:w="992"/>
        <w:gridCol w:w="992"/>
        <w:gridCol w:w="1134"/>
        <w:gridCol w:w="1134"/>
        <w:gridCol w:w="992"/>
        <w:gridCol w:w="993"/>
        <w:gridCol w:w="850"/>
      </w:tblGrid>
      <w:tr w:rsidR="00000000">
        <w:tblPrEx>
          <w:tblCellMar>
            <w:top w:w="0" w:type="dxa"/>
            <w:bottom w:w="0" w:type="dxa"/>
          </w:tblCellMar>
        </w:tblPrEx>
        <w:trPr>
          <w:cantSplit/>
          <w:trHeight w:val="110"/>
        </w:trPr>
        <w:tc>
          <w:tcPr>
            <w:tcW w:w="1134" w:type="dxa"/>
            <w:vMerge w:val="restart"/>
            <w:vAlign w:val="center"/>
          </w:tcPr>
          <w:p w:rsidR="00000000" w:rsidRDefault="00000000">
            <w:pPr>
              <w:jc w:val="center"/>
              <w:rPr>
                <w:sz w:val="18"/>
              </w:rPr>
            </w:pPr>
            <w:r>
              <w:rPr>
                <w:sz w:val="18"/>
              </w:rPr>
              <w:t>Region</w:t>
            </w:r>
          </w:p>
        </w:tc>
        <w:tc>
          <w:tcPr>
            <w:tcW w:w="1985" w:type="dxa"/>
            <w:gridSpan w:val="2"/>
            <w:tcBorders>
              <w:top w:val="single" w:sz="2" w:space="0" w:color="000000"/>
              <w:bottom w:val="single" w:sz="2" w:space="0" w:color="000000"/>
            </w:tcBorders>
            <w:vAlign w:val="center"/>
          </w:tcPr>
          <w:p w:rsidR="00000000" w:rsidRDefault="00000000">
            <w:pPr>
              <w:jc w:val="center"/>
              <w:rPr>
                <w:sz w:val="18"/>
              </w:rPr>
            </w:pPr>
            <w:r>
              <w:rPr>
                <w:sz w:val="18"/>
              </w:rPr>
              <w:t>Housing units</w:t>
            </w:r>
          </w:p>
        </w:tc>
        <w:tc>
          <w:tcPr>
            <w:tcW w:w="992" w:type="dxa"/>
            <w:vMerge w:val="restart"/>
            <w:vAlign w:val="center"/>
          </w:tcPr>
          <w:p w:rsidR="00000000" w:rsidRDefault="00000000">
            <w:pPr>
              <w:jc w:val="center"/>
              <w:rPr>
                <w:sz w:val="18"/>
              </w:rPr>
            </w:pPr>
            <w:r>
              <w:rPr>
                <w:sz w:val="18"/>
              </w:rPr>
              <w:t>Family</w:t>
            </w:r>
            <w:r>
              <w:rPr>
                <w:sz w:val="18"/>
              </w:rPr>
              <w:noBreakHyphen/>
            </w:r>
          </w:p>
          <w:p w:rsidR="00000000" w:rsidRDefault="00000000">
            <w:pPr>
              <w:jc w:val="center"/>
              <w:rPr>
                <w:sz w:val="18"/>
              </w:rPr>
            </w:pPr>
            <w:r>
              <w:rPr>
                <w:sz w:val="18"/>
              </w:rPr>
              <w:t>shared housing</w:t>
            </w:r>
          </w:p>
        </w:tc>
        <w:tc>
          <w:tcPr>
            <w:tcW w:w="4253" w:type="dxa"/>
            <w:gridSpan w:val="4"/>
            <w:tcBorders>
              <w:top w:val="single" w:sz="2" w:space="0" w:color="000000"/>
              <w:bottom w:val="single" w:sz="2" w:space="0" w:color="000000"/>
            </w:tcBorders>
            <w:vAlign w:val="center"/>
          </w:tcPr>
          <w:p w:rsidR="00000000" w:rsidRDefault="00000000">
            <w:pPr>
              <w:jc w:val="center"/>
              <w:rPr>
                <w:sz w:val="18"/>
              </w:rPr>
            </w:pPr>
            <w:r>
              <w:rPr>
                <w:sz w:val="18"/>
              </w:rPr>
              <w:t>Grand total</w:t>
            </w:r>
          </w:p>
        </w:tc>
        <w:tc>
          <w:tcPr>
            <w:tcW w:w="850" w:type="dxa"/>
            <w:vMerge w:val="restart"/>
            <w:vAlign w:val="center"/>
          </w:tcPr>
          <w:p w:rsidR="00000000" w:rsidRDefault="00000000">
            <w:pPr>
              <w:jc w:val="center"/>
              <w:rPr>
                <w:sz w:val="18"/>
              </w:rPr>
            </w:pPr>
            <w:r>
              <w:rPr>
                <w:sz w:val="18"/>
              </w:rPr>
              <w:t>%</w:t>
            </w:r>
          </w:p>
        </w:tc>
      </w:tr>
      <w:tr w:rsidR="00000000">
        <w:tblPrEx>
          <w:tblCellMar>
            <w:top w:w="0" w:type="dxa"/>
            <w:bottom w:w="0" w:type="dxa"/>
          </w:tblCellMar>
        </w:tblPrEx>
        <w:trPr>
          <w:cantSplit/>
          <w:trHeight w:val="110"/>
        </w:trPr>
        <w:tc>
          <w:tcPr>
            <w:tcW w:w="1134" w:type="dxa"/>
            <w:vMerge/>
            <w:tcBorders>
              <w:bottom w:val="single" w:sz="2" w:space="0" w:color="000000"/>
            </w:tcBorders>
            <w:vAlign w:val="center"/>
          </w:tcPr>
          <w:p w:rsidR="00000000" w:rsidRDefault="00000000">
            <w:pPr>
              <w:jc w:val="center"/>
              <w:rPr>
                <w:sz w:val="18"/>
              </w:rPr>
            </w:pPr>
          </w:p>
        </w:tc>
        <w:tc>
          <w:tcPr>
            <w:tcW w:w="993" w:type="dxa"/>
            <w:tcBorders>
              <w:top w:val="single" w:sz="2" w:space="0" w:color="000000"/>
              <w:bottom w:val="single" w:sz="2" w:space="0" w:color="000000"/>
            </w:tcBorders>
            <w:vAlign w:val="center"/>
          </w:tcPr>
          <w:p w:rsidR="00000000" w:rsidRDefault="00000000">
            <w:pPr>
              <w:jc w:val="center"/>
              <w:rPr>
                <w:sz w:val="18"/>
              </w:rPr>
            </w:pPr>
            <w:r>
              <w:rPr>
                <w:sz w:val="18"/>
              </w:rPr>
              <w:t>Improvised</w:t>
            </w:r>
          </w:p>
        </w:tc>
        <w:tc>
          <w:tcPr>
            <w:tcW w:w="992" w:type="dxa"/>
            <w:tcBorders>
              <w:top w:val="single" w:sz="2" w:space="0" w:color="000000"/>
              <w:bottom w:val="single" w:sz="2" w:space="0" w:color="000000"/>
            </w:tcBorders>
            <w:vAlign w:val="center"/>
          </w:tcPr>
          <w:p w:rsidR="00000000" w:rsidRDefault="00000000">
            <w:pPr>
              <w:jc w:val="center"/>
              <w:rPr>
                <w:sz w:val="18"/>
              </w:rPr>
            </w:pPr>
            <w:r>
              <w:rPr>
                <w:sz w:val="18"/>
              </w:rPr>
              <w:t>Rustic</w:t>
            </w:r>
          </w:p>
        </w:tc>
        <w:tc>
          <w:tcPr>
            <w:tcW w:w="992" w:type="dxa"/>
            <w:vMerge/>
            <w:tcBorders>
              <w:bottom w:val="single" w:sz="2" w:space="0" w:color="000000"/>
            </w:tcBorders>
            <w:vAlign w:val="center"/>
          </w:tcPr>
          <w:p w:rsidR="00000000" w:rsidRDefault="00000000">
            <w:pPr>
              <w:jc w:val="right"/>
              <w:rPr>
                <w:sz w:val="18"/>
              </w:rPr>
            </w:pPr>
          </w:p>
        </w:tc>
        <w:tc>
          <w:tcPr>
            <w:tcW w:w="1134" w:type="dxa"/>
            <w:tcBorders>
              <w:top w:val="single" w:sz="2" w:space="0" w:color="000000"/>
              <w:bottom w:val="single" w:sz="2" w:space="0" w:color="000000"/>
            </w:tcBorders>
            <w:vAlign w:val="center"/>
          </w:tcPr>
          <w:p w:rsidR="00000000" w:rsidRDefault="00000000">
            <w:pPr>
              <w:jc w:val="center"/>
              <w:rPr>
                <w:sz w:val="18"/>
              </w:rPr>
            </w:pPr>
            <w:r>
              <w:rPr>
                <w:sz w:val="18"/>
              </w:rPr>
              <w:t>Metropolitan areas</w:t>
            </w:r>
          </w:p>
        </w:tc>
        <w:tc>
          <w:tcPr>
            <w:tcW w:w="1134" w:type="dxa"/>
            <w:tcBorders>
              <w:top w:val="single" w:sz="2" w:space="0" w:color="000000"/>
              <w:bottom w:val="single" w:sz="2" w:space="0" w:color="000000"/>
            </w:tcBorders>
            <w:vAlign w:val="center"/>
          </w:tcPr>
          <w:p w:rsidR="00000000" w:rsidRDefault="00000000">
            <w:pPr>
              <w:jc w:val="center"/>
              <w:rPr>
                <w:sz w:val="18"/>
              </w:rPr>
            </w:pPr>
            <w:r>
              <w:rPr>
                <w:sz w:val="18"/>
              </w:rPr>
              <w:t>Other urban areas</w:t>
            </w:r>
          </w:p>
        </w:tc>
        <w:tc>
          <w:tcPr>
            <w:tcW w:w="992" w:type="dxa"/>
            <w:tcBorders>
              <w:top w:val="single" w:sz="2" w:space="0" w:color="000000"/>
              <w:bottom w:val="single" w:sz="2" w:space="0" w:color="000000"/>
            </w:tcBorders>
            <w:vAlign w:val="center"/>
          </w:tcPr>
          <w:p w:rsidR="00000000" w:rsidRDefault="00000000">
            <w:pPr>
              <w:jc w:val="center"/>
              <w:rPr>
                <w:sz w:val="18"/>
              </w:rPr>
            </w:pPr>
            <w:r>
              <w:rPr>
                <w:sz w:val="18"/>
              </w:rPr>
              <w:t>Rural</w:t>
            </w:r>
          </w:p>
        </w:tc>
        <w:tc>
          <w:tcPr>
            <w:tcW w:w="993" w:type="dxa"/>
            <w:tcBorders>
              <w:top w:val="single" w:sz="2" w:space="0" w:color="000000"/>
              <w:bottom w:val="single" w:sz="2" w:space="0" w:color="000000"/>
            </w:tcBorders>
            <w:vAlign w:val="center"/>
          </w:tcPr>
          <w:p w:rsidR="00000000" w:rsidRDefault="00000000">
            <w:pPr>
              <w:jc w:val="center"/>
              <w:rPr>
                <w:sz w:val="18"/>
              </w:rPr>
            </w:pPr>
            <w:r>
              <w:rPr>
                <w:sz w:val="18"/>
              </w:rPr>
              <w:t>Total</w:t>
            </w:r>
          </w:p>
        </w:tc>
        <w:tc>
          <w:tcPr>
            <w:tcW w:w="850" w:type="dxa"/>
            <w:vMerge/>
            <w:tcBorders>
              <w:bottom w:val="single" w:sz="2" w:space="0" w:color="000000"/>
            </w:tcBorders>
            <w:vAlign w:val="center"/>
          </w:tcPr>
          <w:p w:rsidR="00000000" w:rsidRDefault="00000000">
            <w:pPr>
              <w:jc w:val="right"/>
              <w:rPr>
                <w:sz w:val="18"/>
              </w:rPr>
            </w:pPr>
          </w:p>
        </w:tc>
      </w:tr>
      <w:tr w:rsidR="00000000">
        <w:tblPrEx>
          <w:tblCellMar>
            <w:top w:w="0" w:type="dxa"/>
            <w:bottom w:w="0" w:type="dxa"/>
          </w:tblCellMar>
        </w:tblPrEx>
        <w:trPr>
          <w:cantSplit/>
          <w:trHeight w:val="110"/>
        </w:trPr>
        <w:tc>
          <w:tcPr>
            <w:tcW w:w="1134" w:type="dxa"/>
            <w:tcBorders>
              <w:top w:val="single" w:sz="2" w:space="0" w:color="000000"/>
              <w:bottom w:val="nil"/>
            </w:tcBorders>
            <w:vAlign w:val="center"/>
          </w:tcPr>
          <w:p w:rsidR="00000000" w:rsidRDefault="00000000">
            <w:pPr>
              <w:spacing w:line="360" w:lineRule="auto"/>
              <w:rPr>
                <w:sz w:val="18"/>
              </w:rPr>
            </w:pPr>
            <w:r>
              <w:rPr>
                <w:sz w:val="18"/>
              </w:rPr>
              <w:t>North</w:t>
            </w:r>
          </w:p>
        </w:tc>
        <w:tc>
          <w:tcPr>
            <w:tcW w:w="993" w:type="dxa"/>
            <w:tcBorders>
              <w:top w:val="single" w:sz="2" w:space="0" w:color="000000"/>
              <w:bottom w:val="nil"/>
            </w:tcBorders>
            <w:vAlign w:val="center"/>
          </w:tcPr>
          <w:p w:rsidR="00000000" w:rsidRDefault="00000000">
            <w:pPr>
              <w:spacing w:line="360" w:lineRule="auto"/>
              <w:ind w:right="170"/>
              <w:jc w:val="right"/>
              <w:rPr>
                <w:sz w:val="18"/>
              </w:rPr>
            </w:pPr>
            <w:r>
              <w:rPr>
                <w:sz w:val="18"/>
              </w:rPr>
              <w:t>23 696</w:t>
            </w:r>
          </w:p>
        </w:tc>
        <w:tc>
          <w:tcPr>
            <w:tcW w:w="992" w:type="dxa"/>
            <w:tcBorders>
              <w:top w:val="single" w:sz="2" w:space="0" w:color="000000"/>
              <w:bottom w:val="nil"/>
            </w:tcBorders>
            <w:vAlign w:val="center"/>
          </w:tcPr>
          <w:p w:rsidR="00000000" w:rsidRDefault="00000000">
            <w:pPr>
              <w:spacing w:line="360" w:lineRule="auto"/>
              <w:ind w:right="113"/>
              <w:jc w:val="right"/>
              <w:rPr>
                <w:sz w:val="18"/>
              </w:rPr>
            </w:pPr>
            <w:r>
              <w:rPr>
                <w:sz w:val="18"/>
              </w:rPr>
              <w:t>17 823</w:t>
            </w:r>
          </w:p>
        </w:tc>
        <w:tc>
          <w:tcPr>
            <w:tcW w:w="992" w:type="dxa"/>
            <w:tcBorders>
              <w:top w:val="single" w:sz="2" w:space="0" w:color="000000"/>
              <w:bottom w:val="nil"/>
            </w:tcBorders>
            <w:vAlign w:val="center"/>
          </w:tcPr>
          <w:p w:rsidR="00000000" w:rsidRDefault="00000000">
            <w:pPr>
              <w:spacing w:line="360" w:lineRule="auto"/>
              <w:ind w:right="57"/>
              <w:jc w:val="right"/>
              <w:rPr>
                <w:sz w:val="18"/>
              </w:rPr>
            </w:pPr>
            <w:r>
              <w:rPr>
                <w:sz w:val="18"/>
              </w:rPr>
              <w:t>196 281</w:t>
            </w:r>
          </w:p>
        </w:tc>
        <w:tc>
          <w:tcPr>
            <w:tcW w:w="1134" w:type="dxa"/>
            <w:tcBorders>
              <w:top w:val="single" w:sz="2" w:space="0" w:color="000000"/>
              <w:bottom w:val="nil"/>
            </w:tcBorders>
            <w:vAlign w:val="center"/>
          </w:tcPr>
          <w:p w:rsidR="00000000" w:rsidRDefault="00000000">
            <w:pPr>
              <w:spacing w:line="360" w:lineRule="auto"/>
              <w:ind w:right="170"/>
              <w:jc w:val="right"/>
              <w:rPr>
                <w:sz w:val="18"/>
              </w:rPr>
            </w:pPr>
            <w:r>
              <w:rPr>
                <w:sz w:val="18"/>
              </w:rPr>
              <w:t>67 042</w:t>
            </w:r>
          </w:p>
        </w:tc>
        <w:tc>
          <w:tcPr>
            <w:tcW w:w="1134" w:type="dxa"/>
            <w:tcBorders>
              <w:top w:val="single" w:sz="2" w:space="0" w:color="000000"/>
              <w:bottom w:val="nil"/>
            </w:tcBorders>
            <w:vAlign w:val="center"/>
          </w:tcPr>
          <w:p w:rsidR="00000000" w:rsidRDefault="00000000">
            <w:pPr>
              <w:spacing w:line="360" w:lineRule="auto"/>
              <w:ind w:right="170"/>
              <w:jc w:val="right"/>
              <w:rPr>
                <w:sz w:val="18"/>
              </w:rPr>
            </w:pPr>
            <w:r>
              <w:rPr>
                <w:sz w:val="18"/>
              </w:rPr>
              <w:t>15 5771</w:t>
            </w:r>
          </w:p>
        </w:tc>
        <w:tc>
          <w:tcPr>
            <w:tcW w:w="992" w:type="dxa"/>
            <w:tcBorders>
              <w:top w:val="single" w:sz="2" w:space="0" w:color="000000"/>
              <w:bottom w:val="nil"/>
            </w:tcBorders>
            <w:vAlign w:val="center"/>
          </w:tcPr>
          <w:p w:rsidR="00000000" w:rsidRDefault="00000000">
            <w:pPr>
              <w:spacing w:line="360" w:lineRule="auto"/>
              <w:ind w:right="113"/>
              <w:jc w:val="center"/>
              <w:rPr>
                <w:sz w:val="18"/>
              </w:rPr>
            </w:pPr>
            <w:r>
              <w:rPr>
                <w:sz w:val="18"/>
              </w:rPr>
              <w:noBreakHyphen/>
            </w:r>
          </w:p>
        </w:tc>
        <w:tc>
          <w:tcPr>
            <w:tcW w:w="993" w:type="dxa"/>
            <w:tcBorders>
              <w:top w:val="single" w:sz="2" w:space="0" w:color="000000"/>
              <w:bottom w:val="nil"/>
            </w:tcBorders>
            <w:vAlign w:val="center"/>
          </w:tcPr>
          <w:p w:rsidR="00000000" w:rsidRDefault="00000000">
            <w:pPr>
              <w:spacing w:line="360" w:lineRule="auto"/>
              <w:ind w:right="113"/>
              <w:jc w:val="right"/>
              <w:rPr>
                <w:sz w:val="18"/>
              </w:rPr>
            </w:pPr>
            <w:r>
              <w:rPr>
                <w:sz w:val="18"/>
              </w:rPr>
              <w:t>222 813</w:t>
            </w:r>
          </w:p>
        </w:tc>
        <w:tc>
          <w:tcPr>
            <w:tcW w:w="850" w:type="dxa"/>
            <w:tcBorders>
              <w:top w:val="single" w:sz="2" w:space="0" w:color="000000"/>
              <w:bottom w:val="nil"/>
            </w:tcBorders>
            <w:vAlign w:val="center"/>
          </w:tcPr>
          <w:p w:rsidR="00000000" w:rsidRDefault="00000000">
            <w:pPr>
              <w:spacing w:line="360" w:lineRule="auto"/>
              <w:ind w:right="113"/>
              <w:jc w:val="right"/>
              <w:rPr>
                <w:sz w:val="18"/>
              </w:rPr>
            </w:pPr>
            <w:r>
              <w:rPr>
                <w:sz w:val="18"/>
              </w:rPr>
              <w:t>4.47</w:t>
            </w:r>
          </w:p>
        </w:tc>
      </w:tr>
      <w:tr w:rsidR="00000000">
        <w:tblPrEx>
          <w:tblCellMar>
            <w:top w:w="0" w:type="dxa"/>
            <w:bottom w:w="0" w:type="dxa"/>
          </w:tblCellMar>
        </w:tblPrEx>
        <w:trPr>
          <w:cantSplit/>
          <w:trHeight w:val="110"/>
        </w:trPr>
        <w:tc>
          <w:tcPr>
            <w:tcW w:w="1134" w:type="dxa"/>
            <w:tcBorders>
              <w:top w:val="nil"/>
            </w:tcBorders>
            <w:vAlign w:val="center"/>
          </w:tcPr>
          <w:p w:rsidR="00000000" w:rsidRDefault="00000000">
            <w:pPr>
              <w:spacing w:line="360" w:lineRule="auto"/>
              <w:rPr>
                <w:sz w:val="18"/>
              </w:rPr>
            </w:pPr>
            <w:r>
              <w:rPr>
                <w:sz w:val="18"/>
              </w:rPr>
              <w:t>North</w:t>
            </w:r>
            <w:r>
              <w:rPr>
                <w:sz w:val="18"/>
              </w:rPr>
              <w:noBreakHyphen/>
              <w:t>east</w:t>
            </w:r>
          </w:p>
        </w:tc>
        <w:tc>
          <w:tcPr>
            <w:tcW w:w="993" w:type="dxa"/>
            <w:tcBorders>
              <w:top w:val="nil"/>
            </w:tcBorders>
            <w:vAlign w:val="center"/>
          </w:tcPr>
          <w:p w:rsidR="00000000" w:rsidRDefault="00000000">
            <w:pPr>
              <w:spacing w:line="360" w:lineRule="auto"/>
              <w:ind w:right="170"/>
              <w:jc w:val="right"/>
              <w:rPr>
                <w:sz w:val="18"/>
              </w:rPr>
            </w:pPr>
            <w:r>
              <w:rPr>
                <w:sz w:val="18"/>
              </w:rPr>
              <w:t>32 467</w:t>
            </w:r>
          </w:p>
        </w:tc>
        <w:tc>
          <w:tcPr>
            <w:tcW w:w="992" w:type="dxa"/>
            <w:tcBorders>
              <w:top w:val="nil"/>
            </w:tcBorders>
            <w:vAlign w:val="center"/>
          </w:tcPr>
          <w:p w:rsidR="00000000" w:rsidRDefault="00000000">
            <w:pPr>
              <w:spacing w:line="360" w:lineRule="auto"/>
              <w:ind w:right="113"/>
              <w:jc w:val="right"/>
              <w:rPr>
                <w:sz w:val="18"/>
              </w:rPr>
            </w:pPr>
            <w:r>
              <w:rPr>
                <w:sz w:val="18"/>
              </w:rPr>
              <w:t>1 268 434</w:t>
            </w:r>
          </w:p>
        </w:tc>
        <w:tc>
          <w:tcPr>
            <w:tcW w:w="992" w:type="dxa"/>
            <w:tcBorders>
              <w:top w:val="nil"/>
            </w:tcBorders>
            <w:vAlign w:val="center"/>
          </w:tcPr>
          <w:p w:rsidR="00000000" w:rsidRDefault="00000000">
            <w:pPr>
              <w:spacing w:line="360" w:lineRule="auto"/>
              <w:ind w:right="57"/>
              <w:jc w:val="right"/>
              <w:rPr>
                <w:sz w:val="18"/>
              </w:rPr>
            </w:pPr>
            <w:r>
              <w:rPr>
                <w:sz w:val="18"/>
              </w:rPr>
              <w:t>929 033</w:t>
            </w:r>
          </w:p>
        </w:tc>
        <w:tc>
          <w:tcPr>
            <w:tcW w:w="1134" w:type="dxa"/>
            <w:tcBorders>
              <w:top w:val="nil"/>
            </w:tcBorders>
            <w:vAlign w:val="center"/>
          </w:tcPr>
          <w:p w:rsidR="00000000" w:rsidRDefault="00000000">
            <w:pPr>
              <w:spacing w:line="360" w:lineRule="auto"/>
              <w:ind w:right="170"/>
              <w:jc w:val="right"/>
              <w:rPr>
                <w:sz w:val="18"/>
              </w:rPr>
            </w:pPr>
            <w:r>
              <w:rPr>
                <w:sz w:val="18"/>
              </w:rPr>
              <w:t>313 432</w:t>
            </w:r>
          </w:p>
        </w:tc>
        <w:tc>
          <w:tcPr>
            <w:tcW w:w="1134" w:type="dxa"/>
            <w:tcBorders>
              <w:top w:val="nil"/>
            </w:tcBorders>
            <w:vAlign w:val="center"/>
          </w:tcPr>
          <w:p w:rsidR="00000000" w:rsidRDefault="00000000">
            <w:pPr>
              <w:spacing w:line="360" w:lineRule="auto"/>
              <w:ind w:right="170"/>
              <w:jc w:val="right"/>
              <w:rPr>
                <w:sz w:val="18"/>
              </w:rPr>
            </w:pPr>
            <w:r>
              <w:rPr>
                <w:sz w:val="18"/>
              </w:rPr>
              <w:t>767 400</w:t>
            </w:r>
          </w:p>
        </w:tc>
        <w:tc>
          <w:tcPr>
            <w:tcW w:w="992" w:type="dxa"/>
            <w:tcBorders>
              <w:top w:val="nil"/>
            </w:tcBorders>
            <w:vAlign w:val="center"/>
          </w:tcPr>
          <w:p w:rsidR="00000000" w:rsidRDefault="00000000">
            <w:pPr>
              <w:spacing w:line="360" w:lineRule="auto"/>
              <w:ind w:right="113"/>
              <w:jc w:val="right"/>
              <w:rPr>
                <w:sz w:val="18"/>
              </w:rPr>
            </w:pPr>
            <w:r>
              <w:rPr>
                <w:sz w:val="18"/>
              </w:rPr>
              <w:t>1 148 991</w:t>
            </w:r>
          </w:p>
        </w:tc>
        <w:tc>
          <w:tcPr>
            <w:tcW w:w="993" w:type="dxa"/>
            <w:tcBorders>
              <w:top w:val="nil"/>
            </w:tcBorders>
            <w:vAlign w:val="center"/>
          </w:tcPr>
          <w:p w:rsidR="00000000" w:rsidRDefault="00000000">
            <w:pPr>
              <w:spacing w:line="360" w:lineRule="auto"/>
              <w:ind w:right="113"/>
              <w:jc w:val="right"/>
              <w:rPr>
                <w:sz w:val="18"/>
              </w:rPr>
            </w:pPr>
            <w:r>
              <w:rPr>
                <w:sz w:val="18"/>
              </w:rPr>
              <w:t>2 229 823</w:t>
            </w:r>
          </w:p>
        </w:tc>
        <w:tc>
          <w:tcPr>
            <w:tcW w:w="850" w:type="dxa"/>
            <w:tcBorders>
              <w:top w:val="nil"/>
            </w:tcBorders>
            <w:vAlign w:val="center"/>
          </w:tcPr>
          <w:p w:rsidR="00000000" w:rsidRDefault="00000000">
            <w:pPr>
              <w:spacing w:line="360" w:lineRule="auto"/>
              <w:ind w:right="113"/>
              <w:jc w:val="right"/>
              <w:rPr>
                <w:sz w:val="18"/>
              </w:rPr>
            </w:pPr>
            <w:r>
              <w:rPr>
                <w:sz w:val="18"/>
              </w:rPr>
              <w:t>44.70</w:t>
            </w:r>
          </w:p>
        </w:tc>
      </w:tr>
      <w:tr w:rsidR="00000000">
        <w:tblPrEx>
          <w:tblCellMar>
            <w:top w:w="0" w:type="dxa"/>
            <w:bottom w:w="0" w:type="dxa"/>
          </w:tblCellMar>
        </w:tblPrEx>
        <w:trPr>
          <w:cantSplit/>
          <w:trHeight w:val="110"/>
        </w:trPr>
        <w:tc>
          <w:tcPr>
            <w:tcW w:w="1134" w:type="dxa"/>
            <w:vAlign w:val="center"/>
          </w:tcPr>
          <w:p w:rsidR="00000000" w:rsidRDefault="00000000">
            <w:pPr>
              <w:spacing w:line="360" w:lineRule="auto"/>
              <w:rPr>
                <w:sz w:val="18"/>
              </w:rPr>
            </w:pPr>
            <w:r>
              <w:rPr>
                <w:sz w:val="18"/>
              </w:rPr>
              <w:t>South</w:t>
            </w:r>
            <w:r>
              <w:rPr>
                <w:sz w:val="18"/>
              </w:rPr>
              <w:noBreakHyphen/>
              <w:t>east</w:t>
            </w:r>
          </w:p>
        </w:tc>
        <w:tc>
          <w:tcPr>
            <w:tcW w:w="993" w:type="dxa"/>
            <w:vAlign w:val="center"/>
          </w:tcPr>
          <w:p w:rsidR="00000000" w:rsidRDefault="00000000">
            <w:pPr>
              <w:spacing w:line="360" w:lineRule="auto"/>
              <w:ind w:right="170"/>
              <w:jc w:val="right"/>
              <w:rPr>
                <w:sz w:val="18"/>
              </w:rPr>
            </w:pPr>
            <w:r>
              <w:rPr>
                <w:sz w:val="18"/>
              </w:rPr>
              <w:t>46 502</w:t>
            </w:r>
          </w:p>
        </w:tc>
        <w:tc>
          <w:tcPr>
            <w:tcW w:w="992" w:type="dxa"/>
            <w:vAlign w:val="center"/>
          </w:tcPr>
          <w:p w:rsidR="00000000" w:rsidRDefault="00000000">
            <w:pPr>
              <w:spacing w:line="360" w:lineRule="auto"/>
              <w:ind w:right="113"/>
              <w:jc w:val="right"/>
              <w:rPr>
                <w:sz w:val="18"/>
              </w:rPr>
            </w:pPr>
            <w:r>
              <w:rPr>
                <w:sz w:val="18"/>
              </w:rPr>
              <w:t>271 638</w:t>
            </w:r>
          </w:p>
        </w:tc>
        <w:tc>
          <w:tcPr>
            <w:tcW w:w="992" w:type="dxa"/>
            <w:vAlign w:val="center"/>
          </w:tcPr>
          <w:p w:rsidR="00000000" w:rsidRDefault="00000000">
            <w:pPr>
              <w:spacing w:line="360" w:lineRule="auto"/>
              <w:ind w:right="57"/>
              <w:jc w:val="right"/>
              <w:rPr>
                <w:sz w:val="18"/>
              </w:rPr>
            </w:pPr>
            <w:r>
              <w:rPr>
                <w:sz w:val="18"/>
              </w:rPr>
              <w:t>1 342 131</w:t>
            </w:r>
          </w:p>
        </w:tc>
        <w:tc>
          <w:tcPr>
            <w:tcW w:w="1134" w:type="dxa"/>
            <w:vAlign w:val="center"/>
          </w:tcPr>
          <w:p w:rsidR="00000000" w:rsidRDefault="00000000">
            <w:pPr>
              <w:spacing w:line="360" w:lineRule="auto"/>
              <w:ind w:right="170"/>
              <w:jc w:val="right"/>
              <w:rPr>
                <w:sz w:val="18"/>
              </w:rPr>
            </w:pPr>
            <w:r>
              <w:rPr>
                <w:sz w:val="18"/>
              </w:rPr>
              <w:t>752 925</w:t>
            </w:r>
          </w:p>
        </w:tc>
        <w:tc>
          <w:tcPr>
            <w:tcW w:w="1134" w:type="dxa"/>
            <w:vAlign w:val="center"/>
          </w:tcPr>
          <w:p w:rsidR="00000000" w:rsidRDefault="00000000">
            <w:pPr>
              <w:spacing w:line="360" w:lineRule="auto"/>
              <w:ind w:right="170"/>
              <w:jc w:val="right"/>
              <w:rPr>
                <w:sz w:val="18"/>
              </w:rPr>
            </w:pPr>
            <w:r>
              <w:rPr>
                <w:sz w:val="18"/>
              </w:rPr>
              <w:t>690 301</w:t>
            </w:r>
          </w:p>
        </w:tc>
        <w:tc>
          <w:tcPr>
            <w:tcW w:w="992" w:type="dxa"/>
            <w:vAlign w:val="center"/>
          </w:tcPr>
          <w:p w:rsidR="00000000" w:rsidRDefault="00000000">
            <w:pPr>
              <w:spacing w:line="360" w:lineRule="auto"/>
              <w:ind w:right="113"/>
              <w:jc w:val="right"/>
              <w:rPr>
                <w:sz w:val="18"/>
              </w:rPr>
            </w:pPr>
            <w:r>
              <w:rPr>
                <w:sz w:val="18"/>
              </w:rPr>
              <w:t>217 045</w:t>
            </w:r>
          </w:p>
        </w:tc>
        <w:tc>
          <w:tcPr>
            <w:tcW w:w="993" w:type="dxa"/>
            <w:vAlign w:val="center"/>
          </w:tcPr>
          <w:p w:rsidR="00000000" w:rsidRDefault="00000000">
            <w:pPr>
              <w:spacing w:line="360" w:lineRule="auto"/>
              <w:ind w:right="113"/>
              <w:jc w:val="right"/>
              <w:rPr>
                <w:sz w:val="18"/>
              </w:rPr>
            </w:pPr>
            <w:r>
              <w:rPr>
                <w:sz w:val="18"/>
              </w:rPr>
              <w:t>1 660 271</w:t>
            </w:r>
          </w:p>
        </w:tc>
        <w:tc>
          <w:tcPr>
            <w:tcW w:w="850" w:type="dxa"/>
            <w:vAlign w:val="center"/>
          </w:tcPr>
          <w:p w:rsidR="00000000" w:rsidRDefault="00000000">
            <w:pPr>
              <w:spacing w:line="360" w:lineRule="auto"/>
              <w:ind w:right="113"/>
              <w:jc w:val="right"/>
              <w:rPr>
                <w:sz w:val="18"/>
              </w:rPr>
            </w:pPr>
            <w:r>
              <w:rPr>
                <w:sz w:val="18"/>
              </w:rPr>
              <w:t>33.28</w:t>
            </w:r>
          </w:p>
        </w:tc>
      </w:tr>
      <w:tr w:rsidR="00000000">
        <w:tblPrEx>
          <w:tblCellMar>
            <w:top w:w="0" w:type="dxa"/>
            <w:bottom w:w="0" w:type="dxa"/>
          </w:tblCellMar>
        </w:tblPrEx>
        <w:trPr>
          <w:cantSplit/>
          <w:trHeight w:val="110"/>
        </w:trPr>
        <w:tc>
          <w:tcPr>
            <w:tcW w:w="1134" w:type="dxa"/>
            <w:vAlign w:val="center"/>
          </w:tcPr>
          <w:p w:rsidR="00000000" w:rsidRDefault="00000000">
            <w:pPr>
              <w:spacing w:line="360" w:lineRule="auto"/>
              <w:rPr>
                <w:sz w:val="18"/>
              </w:rPr>
            </w:pPr>
            <w:r>
              <w:rPr>
                <w:sz w:val="18"/>
              </w:rPr>
              <w:t>South</w:t>
            </w:r>
          </w:p>
        </w:tc>
        <w:tc>
          <w:tcPr>
            <w:tcW w:w="993" w:type="dxa"/>
            <w:vAlign w:val="center"/>
          </w:tcPr>
          <w:p w:rsidR="00000000" w:rsidRDefault="00000000">
            <w:pPr>
              <w:spacing w:line="360" w:lineRule="auto"/>
              <w:ind w:right="170"/>
              <w:jc w:val="right"/>
              <w:rPr>
                <w:sz w:val="18"/>
              </w:rPr>
            </w:pPr>
            <w:r>
              <w:rPr>
                <w:sz w:val="18"/>
              </w:rPr>
              <w:t>23 233</w:t>
            </w:r>
          </w:p>
        </w:tc>
        <w:tc>
          <w:tcPr>
            <w:tcW w:w="992" w:type="dxa"/>
            <w:vAlign w:val="center"/>
          </w:tcPr>
          <w:p w:rsidR="00000000" w:rsidRDefault="00000000">
            <w:pPr>
              <w:spacing w:line="360" w:lineRule="auto"/>
              <w:ind w:right="113"/>
              <w:jc w:val="right"/>
              <w:rPr>
                <w:sz w:val="18"/>
              </w:rPr>
            </w:pPr>
            <w:r>
              <w:rPr>
                <w:sz w:val="18"/>
              </w:rPr>
              <w:t>79 497</w:t>
            </w:r>
          </w:p>
        </w:tc>
        <w:tc>
          <w:tcPr>
            <w:tcW w:w="992" w:type="dxa"/>
            <w:vAlign w:val="center"/>
          </w:tcPr>
          <w:p w:rsidR="00000000" w:rsidRDefault="00000000">
            <w:pPr>
              <w:spacing w:line="360" w:lineRule="auto"/>
              <w:ind w:right="57"/>
              <w:jc w:val="right"/>
              <w:rPr>
                <w:sz w:val="18"/>
              </w:rPr>
            </w:pPr>
            <w:r>
              <w:rPr>
                <w:sz w:val="18"/>
              </w:rPr>
              <w:t>408 286</w:t>
            </w:r>
          </w:p>
        </w:tc>
        <w:tc>
          <w:tcPr>
            <w:tcW w:w="1134" w:type="dxa"/>
            <w:vAlign w:val="center"/>
          </w:tcPr>
          <w:p w:rsidR="00000000" w:rsidRDefault="00000000">
            <w:pPr>
              <w:spacing w:line="360" w:lineRule="auto"/>
              <w:ind w:right="170"/>
              <w:jc w:val="right"/>
              <w:rPr>
                <w:sz w:val="18"/>
              </w:rPr>
            </w:pPr>
            <w:r>
              <w:rPr>
                <w:sz w:val="18"/>
              </w:rPr>
              <w:t>109 916</w:t>
            </w:r>
          </w:p>
        </w:tc>
        <w:tc>
          <w:tcPr>
            <w:tcW w:w="1134" w:type="dxa"/>
            <w:vAlign w:val="center"/>
          </w:tcPr>
          <w:p w:rsidR="00000000" w:rsidRDefault="00000000">
            <w:pPr>
              <w:spacing w:line="360" w:lineRule="auto"/>
              <w:ind w:right="170"/>
              <w:jc w:val="right"/>
              <w:rPr>
                <w:sz w:val="18"/>
              </w:rPr>
            </w:pPr>
            <w:r>
              <w:rPr>
                <w:sz w:val="18"/>
              </w:rPr>
              <w:t>243 549</w:t>
            </w:r>
          </w:p>
        </w:tc>
        <w:tc>
          <w:tcPr>
            <w:tcW w:w="992" w:type="dxa"/>
            <w:vAlign w:val="center"/>
          </w:tcPr>
          <w:p w:rsidR="00000000" w:rsidRDefault="00000000">
            <w:pPr>
              <w:spacing w:line="360" w:lineRule="auto"/>
              <w:ind w:right="113"/>
              <w:jc w:val="right"/>
              <w:rPr>
                <w:sz w:val="18"/>
              </w:rPr>
            </w:pPr>
            <w:r>
              <w:rPr>
                <w:sz w:val="18"/>
              </w:rPr>
              <w:t>157 823</w:t>
            </w:r>
          </w:p>
        </w:tc>
        <w:tc>
          <w:tcPr>
            <w:tcW w:w="993" w:type="dxa"/>
            <w:vAlign w:val="center"/>
          </w:tcPr>
          <w:p w:rsidR="00000000" w:rsidRDefault="00000000">
            <w:pPr>
              <w:spacing w:line="360" w:lineRule="auto"/>
              <w:ind w:right="113"/>
              <w:jc w:val="right"/>
              <w:rPr>
                <w:sz w:val="18"/>
              </w:rPr>
            </w:pPr>
            <w:r>
              <w:rPr>
                <w:sz w:val="18"/>
              </w:rPr>
              <w:t>511 288</w:t>
            </w:r>
          </w:p>
        </w:tc>
        <w:tc>
          <w:tcPr>
            <w:tcW w:w="850" w:type="dxa"/>
            <w:vAlign w:val="center"/>
          </w:tcPr>
          <w:p w:rsidR="00000000" w:rsidRDefault="00000000">
            <w:pPr>
              <w:spacing w:line="360" w:lineRule="auto"/>
              <w:ind w:right="113"/>
              <w:jc w:val="right"/>
              <w:rPr>
                <w:sz w:val="18"/>
              </w:rPr>
            </w:pPr>
            <w:r>
              <w:rPr>
                <w:sz w:val="18"/>
              </w:rPr>
              <w:t>10.25</w:t>
            </w:r>
          </w:p>
        </w:tc>
      </w:tr>
      <w:tr w:rsidR="00000000">
        <w:tblPrEx>
          <w:tblCellMar>
            <w:top w:w="0" w:type="dxa"/>
            <w:bottom w:w="0" w:type="dxa"/>
          </w:tblCellMar>
        </w:tblPrEx>
        <w:trPr>
          <w:cantSplit/>
          <w:trHeight w:val="110"/>
        </w:trPr>
        <w:tc>
          <w:tcPr>
            <w:tcW w:w="1134" w:type="dxa"/>
            <w:vAlign w:val="center"/>
          </w:tcPr>
          <w:p w:rsidR="00000000" w:rsidRDefault="00000000">
            <w:pPr>
              <w:spacing w:line="360" w:lineRule="auto"/>
              <w:rPr>
                <w:sz w:val="18"/>
              </w:rPr>
            </w:pPr>
            <w:r>
              <w:rPr>
                <w:sz w:val="18"/>
              </w:rPr>
              <w:t>Centre-West</w:t>
            </w:r>
          </w:p>
        </w:tc>
        <w:tc>
          <w:tcPr>
            <w:tcW w:w="993" w:type="dxa"/>
            <w:vAlign w:val="center"/>
          </w:tcPr>
          <w:p w:rsidR="00000000" w:rsidRDefault="00000000">
            <w:pPr>
              <w:spacing w:line="360" w:lineRule="auto"/>
              <w:ind w:right="170"/>
              <w:jc w:val="right"/>
              <w:rPr>
                <w:sz w:val="18"/>
              </w:rPr>
            </w:pPr>
            <w:r>
              <w:rPr>
                <w:sz w:val="18"/>
              </w:rPr>
              <w:t>20 637</w:t>
            </w:r>
          </w:p>
        </w:tc>
        <w:tc>
          <w:tcPr>
            <w:tcW w:w="992" w:type="dxa"/>
            <w:vAlign w:val="center"/>
          </w:tcPr>
          <w:p w:rsidR="00000000" w:rsidRDefault="00000000">
            <w:pPr>
              <w:spacing w:line="360" w:lineRule="auto"/>
              <w:ind w:right="113"/>
              <w:jc w:val="right"/>
              <w:rPr>
                <w:sz w:val="18"/>
              </w:rPr>
            </w:pPr>
            <w:r>
              <w:rPr>
                <w:sz w:val="18"/>
              </w:rPr>
              <w:t>90 536</w:t>
            </w:r>
          </w:p>
        </w:tc>
        <w:tc>
          <w:tcPr>
            <w:tcW w:w="992" w:type="dxa"/>
            <w:vAlign w:val="center"/>
          </w:tcPr>
          <w:p w:rsidR="00000000" w:rsidRDefault="00000000">
            <w:pPr>
              <w:spacing w:line="360" w:lineRule="auto"/>
              <w:ind w:right="57"/>
              <w:jc w:val="right"/>
              <w:rPr>
                <w:sz w:val="18"/>
              </w:rPr>
            </w:pPr>
            <w:r>
              <w:rPr>
                <w:sz w:val="18"/>
              </w:rPr>
              <w:t>252 977</w:t>
            </w:r>
          </w:p>
        </w:tc>
        <w:tc>
          <w:tcPr>
            <w:tcW w:w="1134" w:type="dxa"/>
            <w:vAlign w:val="center"/>
          </w:tcPr>
          <w:p w:rsidR="00000000" w:rsidRDefault="00000000">
            <w:pPr>
              <w:spacing w:line="360" w:lineRule="auto"/>
              <w:ind w:right="170"/>
              <w:jc w:val="center"/>
              <w:rPr>
                <w:sz w:val="18"/>
              </w:rPr>
            </w:pPr>
            <w:r>
              <w:rPr>
                <w:sz w:val="18"/>
              </w:rPr>
              <w:noBreakHyphen/>
            </w:r>
          </w:p>
        </w:tc>
        <w:tc>
          <w:tcPr>
            <w:tcW w:w="1134" w:type="dxa"/>
            <w:vAlign w:val="center"/>
          </w:tcPr>
          <w:p w:rsidR="00000000" w:rsidRDefault="00000000">
            <w:pPr>
              <w:spacing w:line="360" w:lineRule="auto"/>
              <w:ind w:right="170"/>
              <w:jc w:val="right"/>
              <w:rPr>
                <w:sz w:val="18"/>
              </w:rPr>
            </w:pPr>
            <w:r>
              <w:rPr>
                <w:sz w:val="18"/>
              </w:rPr>
              <w:t>2572 47</w:t>
            </w:r>
          </w:p>
        </w:tc>
        <w:tc>
          <w:tcPr>
            <w:tcW w:w="992" w:type="dxa"/>
            <w:vAlign w:val="center"/>
          </w:tcPr>
          <w:p w:rsidR="00000000" w:rsidRDefault="00000000">
            <w:pPr>
              <w:spacing w:line="360" w:lineRule="auto"/>
              <w:ind w:right="113"/>
              <w:jc w:val="right"/>
              <w:rPr>
                <w:sz w:val="18"/>
              </w:rPr>
            </w:pPr>
            <w:r>
              <w:rPr>
                <w:sz w:val="18"/>
              </w:rPr>
              <w:t>106 929</w:t>
            </w:r>
          </w:p>
        </w:tc>
        <w:tc>
          <w:tcPr>
            <w:tcW w:w="993" w:type="dxa"/>
            <w:vAlign w:val="center"/>
          </w:tcPr>
          <w:p w:rsidR="00000000" w:rsidRDefault="00000000">
            <w:pPr>
              <w:spacing w:line="360" w:lineRule="auto"/>
              <w:ind w:right="113"/>
              <w:jc w:val="right"/>
              <w:rPr>
                <w:sz w:val="18"/>
              </w:rPr>
            </w:pPr>
            <w:r>
              <w:rPr>
                <w:sz w:val="18"/>
              </w:rPr>
              <w:t>364 176</w:t>
            </w:r>
          </w:p>
        </w:tc>
        <w:tc>
          <w:tcPr>
            <w:tcW w:w="850" w:type="dxa"/>
            <w:vAlign w:val="center"/>
          </w:tcPr>
          <w:p w:rsidR="00000000" w:rsidRDefault="00000000">
            <w:pPr>
              <w:spacing w:line="360" w:lineRule="auto"/>
              <w:ind w:right="113"/>
              <w:jc w:val="right"/>
              <w:rPr>
                <w:sz w:val="18"/>
              </w:rPr>
            </w:pPr>
            <w:r>
              <w:rPr>
                <w:sz w:val="18"/>
              </w:rPr>
              <w:t>7.30</w:t>
            </w:r>
          </w:p>
        </w:tc>
      </w:tr>
      <w:tr w:rsidR="00000000">
        <w:tblPrEx>
          <w:tblCellMar>
            <w:top w:w="0" w:type="dxa"/>
            <w:bottom w:w="0" w:type="dxa"/>
          </w:tblCellMar>
        </w:tblPrEx>
        <w:trPr>
          <w:cantSplit/>
          <w:trHeight w:val="110"/>
        </w:trPr>
        <w:tc>
          <w:tcPr>
            <w:tcW w:w="1134" w:type="dxa"/>
            <w:vAlign w:val="center"/>
          </w:tcPr>
          <w:p w:rsidR="00000000" w:rsidRDefault="00000000">
            <w:pPr>
              <w:spacing w:line="360" w:lineRule="auto"/>
              <w:rPr>
                <w:sz w:val="18"/>
              </w:rPr>
            </w:pPr>
            <w:r>
              <w:rPr>
                <w:sz w:val="18"/>
              </w:rPr>
              <w:t>Brazil</w:t>
            </w:r>
          </w:p>
        </w:tc>
        <w:tc>
          <w:tcPr>
            <w:tcW w:w="993" w:type="dxa"/>
            <w:vAlign w:val="center"/>
          </w:tcPr>
          <w:p w:rsidR="00000000" w:rsidRDefault="00000000">
            <w:pPr>
              <w:spacing w:line="360" w:lineRule="auto"/>
              <w:ind w:right="170"/>
              <w:jc w:val="right"/>
              <w:rPr>
                <w:sz w:val="18"/>
              </w:rPr>
            </w:pPr>
            <w:r>
              <w:rPr>
                <w:sz w:val="18"/>
              </w:rPr>
              <w:t>146 535</w:t>
            </w:r>
          </w:p>
        </w:tc>
        <w:tc>
          <w:tcPr>
            <w:tcW w:w="992" w:type="dxa"/>
            <w:vAlign w:val="center"/>
          </w:tcPr>
          <w:p w:rsidR="00000000" w:rsidRDefault="00000000">
            <w:pPr>
              <w:spacing w:line="360" w:lineRule="auto"/>
              <w:ind w:right="113"/>
              <w:jc w:val="right"/>
              <w:rPr>
                <w:sz w:val="18"/>
              </w:rPr>
            </w:pPr>
            <w:r>
              <w:rPr>
                <w:sz w:val="18"/>
              </w:rPr>
              <w:t>1 727 845</w:t>
            </w:r>
          </w:p>
        </w:tc>
        <w:tc>
          <w:tcPr>
            <w:tcW w:w="992" w:type="dxa"/>
            <w:vAlign w:val="center"/>
          </w:tcPr>
          <w:p w:rsidR="00000000" w:rsidRDefault="00000000">
            <w:pPr>
              <w:spacing w:line="360" w:lineRule="auto"/>
              <w:ind w:right="57"/>
              <w:jc w:val="right"/>
              <w:rPr>
                <w:sz w:val="18"/>
              </w:rPr>
            </w:pPr>
            <w:r>
              <w:rPr>
                <w:sz w:val="18"/>
              </w:rPr>
              <w:t>3 128 978</w:t>
            </w:r>
          </w:p>
        </w:tc>
        <w:tc>
          <w:tcPr>
            <w:tcW w:w="1134" w:type="dxa"/>
            <w:vAlign w:val="center"/>
          </w:tcPr>
          <w:p w:rsidR="00000000" w:rsidRDefault="00000000">
            <w:pPr>
              <w:spacing w:line="360" w:lineRule="auto"/>
              <w:ind w:right="170"/>
              <w:jc w:val="right"/>
              <w:rPr>
                <w:sz w:val="18"/>
              </w:rPr>
            </w:pPr>
            <w:r>
              <w:rPr>
                <w:sz w:val="18"/>
              </w:rPr>
              <w:t>1 243 315</w:t>
            </w:r>
          </w:p>
        </w:tc>
        <w:tc>
          <w:tcPr>
            <w:tcW w:w="1134" w:type="dxa"/>
            <w:vAlign w:val="center"/>
          </w:tcPr>
          <w:p w:rsidR="00000000" w:rsidRDefault="00000000">
            <w:pPr>
              <w:spacing w:line="360" w:lineRule="auto"/>
              <w:ind w:right="170"/>
              <w:jc w:val="right"/>
              <w:rPr>
                <w:sz w:val="18"/>
              </w:rPr>
            </w:pPr>
            <w:r>
              <w:rPr>
                <w:sz w:val="18"/>
              </w:rPr>
              <w:t>2 114 268</w:t>
            </w:r>
          </w:p>
        </w:tc>
        <w:tc>
          <w:tcPr>
            <w:tcW w:w="992" w:type="dxa"/>
            <w:vAlign w:val="center"/>
          </w:tcPr>
          <w:p w:rsidR="00000000" w:rsidRDefault="00000000">
            <w:pPr>
              <w:spacing w:line="360" w:lineRule="auto"/>
              <w:ind w:right="113"/>
              <w:jc w:val="right"/>
              <w:rPr>
                <w:sz w:val="18"/>
              </w:rPr>
            </w:pPr>
            <w:r>
              <w:rPr>
                <w:sz w:val="18"/>
              </w:rPr>
              <w:t>1 630 788</w:t>
            </w:r>
          </w:p>
        </w:tc>
        <w:tc>
          <w:tcPr>
            <w:tcW w:w="993" w:type="dxa"/>
            <w:vAlign w:val="center"/>
          </w:tcPr>
          <w:p w:rsidR="00000000" w:rsidRDefault="00000000">
            <w:pPr>
              <w:spacing w:line="360" w:lineRule="auto"/>
              <w:ind w:right="113"/>
              <w:jc w:val="right"/>
              <w:rPr>
                <w:sz w:val="18"/>
              </w:rPr>
            </w:pPr>
            <w:r>
              <w:rPr>
                <w:sz w:val="18"/>
              </w:rPr>
              <w:t>4 988 371</w:t>
            </w:r>
          </w:p>
        </w:tc>
        <w:tc>
          <w:tcPr>
            <w:tcW w:w="850" w:type="dxa"/>
            <w:vAlign w:val="center"/>
          </w:tcPr>
          <w:p w:rsidR="00000000" w:rsidRDefault="00000000">
            <w:pPr>
              <w:spacing w:line="360" w:lineRule="auto"/>
              <w:ind w:right="113"/>
              <w:jc w:val="right"/>
              <w:rPr>
                <w:sz w:val="18"/>
              </w:rPr>
            </w:pPr>
            <w:r>
              <w:rPr>
                <w:sz w:val="18"/>
              </w:rPr>
              <w:t>100.00</w:t>
            </w:r>
          </w:p>
        </w:tc>
      </w:tr>
    </w:tbl>
    <w:p w:rsidR="00000000" w:rsidRDefault="00000000">
      <w:pPr>
        <w:rPr>
          <w:kern w:val="16"/>
        </w:rPr>
      </w:pPr>
    </w:p>
    <w:p w:rsidR="00000000" w:rsidRDefault="00000000">
      <w:pPr>
        <w:rPr>
          <w:kern w:val="16"/>
        </w:rPr>
      </w:pPr>
      <w:r>
        <w:rPr>
          <w:kern w:val="16"/>
        </w:rPr>
        <w:tab/>
      </w:r>
      <w:r>
        <w:rPr>
          <w:kern w:val="16"/>
          <w:u w:val="single"/>
        </w:rPr>
        <w:t>Source</w:t>
      </w:r>
      <w:r>
        <w:rPr>
          <w:kern w:val="16"/>
        </w:rPr>
        <w:t>:  João Pinheiro Foundation, 1995.</w:t>
      </w:r>
    </w:p>
    <w:p w:rsidR="00000000" w:rsidRDefault="00000000">
      <w:pPr>
        <w:rPr>
          <w:kern w:val="16"/>
        </w:rPr>
      </w:pPr>
    </w:p>
    <w:p w:rsidR="00000000" w:rsidRDefault="00000000">
      <w:pPr>
        <w:pStyle w:val="ParaNo"/>
        <w:tabs>
          <w:tab w:val="clear" w:pos="360"/>
          <w:tab w:val="clear" w:pos="737"/>
        </w:tabs>
        <w:rPr>
          <w:kern w:val="20"/>
          <w:lang w:val="en-GB"/>
        </w:rPr>
      </w:pPr>
      <w:r>
        <w:rPr>
          <w:kern w:val="20"/>
          <w:lang w:val="en-GB"/>
        </w:rPr>
        <w:t>Finally, it should be noted that the official data on the Brazilian housing deficit are not the 1991 data but the 1991 data updated to 1994, as shown in the table below, which indicate an overall housing deficit of about 5.6 million new housing units, concentrated principally in urban areas.</w:t>
      </w:r>
    </w:p>
    <w:p w:rsidR="00000000" w:rsidRDefault="00000000">
      <w:pPr>
        <w:rPr>
          <w:kern w:val="20"/>
        </w:rPr>
      </w:pPr>
    </w:p>
    <w:p w:rsidR="00000000" w:rsidRDefault="00000000">
      <w:pPr>
        <w:pStyle w:val="Heading1"/>
        <w:rPr>
          <w:kern w:val="20"/>
        </w:rPr>
      </w:pPr>
      <w:r>
        <w:rPr>
          <w:kern w:val="20"/>
        </w:rPr>
        <w:t>Table 59</w:t>
      </w:r>
    </w:p>
    <w:p w:rsidR="00000000" w:rsidRDefault="00000000"/>
    <w:p w:rsidR="00000000" w:rsidRDefault="00000000">
      <w:pPr>
        <w:pStyle w:val="Heading1"/>
      </w:pPr>
      <w:r>
        <w:t>Official data on the Brazilian housing deficit in 1995</w:t>
      </w:r>
    </w:p>
    <w:p w:rsidR="00000000" w:rsidRDefault="00000000"/>
    <w:tbl>
      <w:tblPr>
        <w:tblW w:w="0" w:type="auto"/>
        <w:jc w:val="center"/>
        <w:tblInd w:w="-34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70" w:type="dxa"/>
          <w:right w:w="70" w:type="dxa"/>
        </w:tblCellMar>
        <w:tblLook w:val="0000" w:firstRow="0" w:lastRow="0" w:firstColumn="0" w:lastColumn="0" w:noHBand="0" w:noVBand="0"/>
      </w:tblPr>
      <w:tblGrid>
        <w:gridCol w:w="1847"/>
        <w:gridCol w:w="1848"/>
        <w:gridCol w:w="1848"/>
        <w:gridCol w:w="1848"/>
        <w:gridCol w:w="1848"/>
      </w:tblGrid>
      <w:tr w:rsidR="00000000">
        <w:tblPrEx>
          <w:tblCellMar>
            <w:top w:w="0" w:type="dxa"/>
            <w:bottom w:w="0" w:type="dxa"/>
          </w:tblCellMar>
        </w:tblPrEx>
        <w:trPr>
          <w:cantSplit/>
          <w:trHeight w:val="568"/>
          <w:jc w:val="center"/>
        </w:trPr>
        <w:tc>
          <w:tcPr>
            <w:tcW w:w="1847" w:type="dxa"/>
            <w:tcBorders>
              <w:bottom w:val="single" w:sz="2" w:space="0" w:color="000000"/>
            </w:tcBorders>
            <w:shd w:val="clear" w:color="auto" w:fill="FFFFFF"/>
            <w:vAlign w:val="center"/>
          </w:tcPr>
          <w:p w:rsidR="00000000" w:rsidRDefault="00000000">
            <w:pPr>
              <w:jc w:val="center"/>
            </w:pPr>
            <w:r>
              <w:t>Rural areas</w:t>
            </w:r>
          </w:p>
        </w:tc>
        <w:tc>
          <w:tcPr>
            <w:tcW w:w="1848" w:type="dxa"/>
            <w:tcBorders>
              <w:bottom w:val="single" w:sz="2" w:space="0" w:color="000000"/>
            </w:tcBorders>
            <w:shd w:val="clear" w:color="auto" w:fill="FFFFFF"/>
            <w:vAlign w:val="center"/>
          </w:tcPr>
          <w:p w:rsidR="00000000" w:rsidRDefault="00000000">
            <w:pPr>
              <w:jc w:val="center"/>
            </w:pPr>
            <w:r>
              <w:t>Metropolitan areas</w:t>
            </w:r>
          </w:p>
        </w:tc>
        <w:tc>
          <w:tcPr>
            <w:tcW w:w="1848" w:type="dxa"/>
            <w:tcBorders>
              <w:bottom w:val="single" w:sz="2" w:space="0" w:color="000000"/>
            </w:tcBorders>
            <w:shd w:val="clear" w:color="auto" w:fill="FFFFFF"/>
            <w:vAlign w:val="center"/>
          </w:tcPr>
          <w:p w:rsidR="00000000" w:rsidRDefault="00000000">
            <w:pPr>
              <w:jc w:val="center"/>
            </w:pPr>
            <w:r>
              <w:t>Other urban areas</w:t>
            </w:r>
          </w:p>
        </w:tc>
        <w:tc>
          <w:tcPr>
            <w:tcW w:w="1848" w:type="dxa"/>
            <w:tcBorders>
              <w:bottom w:val="single" w:sz="2" w:space="0" w:color="000000"/>
            </w:tcBorders>
            <w:shd w:val="clear" w:color="auto" w:fill="FFFFFF"/>
            <w:vAlign w:val="center"/>
          </w:tcPr>
          <w:p w:rsidR="00000000" w:rsidRDefault="00000000">
            <w:pPr>
              <w:jc w:val="center"/>
            </w:pPr>
            <w:r>
              <w:t>Total urban deficit</w:t>
            </w:r>
          </w:p>
        </w:tc>
        <w:tc>
          <w:tcPr>
            <w:tcW w:w="1848" w:type="dxa"/>
            <w:tcBorders>
              <w:bottom w:val="single" w:sz="2" w:space="0" w:color="000000"/>
            </w:tcBorders>
            <w:shd w:val="clear" w:color="auto" w:fill="FFFFFF"/>
            <w:vAlign w:val="center"/>
          </w:tcPr>
          <w:p w:rsidR="00000000" w:rsidRDefault="00000000">
            <w:pPr>
              <w:jc w:val="center"/>
            </w:pPr>
            <w:r>
              <w:t>Total housing deficit</w:t>
            </w:r>
          </w:p>
        </w:tc>
      </w:tr>
      <w:tr w:rsidR="00000000">
        <w:tblPrEx>
          <w:tblCellMar>
            <w:top w:w="0" w:type="dxa"/>
            <w:bottom w:w="0" w:type="dxa"/>
          </w:tblCellMar>
        </w:tblPrEx>
        <w:trPr>
          <w:cantSplit/>
          <w:trHeight w:val="568"/>
          <w:jc w:val="center"/>
        </w:trPr>
        <w:tc>
          <w:tcPr>
            <w:tcW w:w="1847" w:type="dxa"/>
            <w:tcBorders>
              <w:bottom w:val="single" w:sz="2" w:space="0" w:color="000000"/>
            </w:tcBorders>
            <w:shd w:val="clear" w:color="auto" w:fill="FFFFFF"/>
            <w:vAlign w:val="center"/>
          </w:tcPr>
          <w:p w:rsidR="00000000" w:rsidRDefault="00000000">
            <w:pPr>
              <w:jc w:val="center"/>
            </w:pPr>
            <w:r>
              <w:t>1 645 791</w:t>
            </w:r>
          </w:p>
        </w:tc>
        <w:tc>
          <w:tcPr>
            <w:tcW w:w="1848" w:type="dxa"/>
            <w:tcBorders>
              <w:bottom w:val="single" w:sz="2" w:space="0" w:color="000000"/>
            </w:tcBorders>
            <w:shd w:val="clear" w:color="auto" w:fill="FFFFFF"/>
            <w:vAlign w:val="center"/>
          </w:tcPr>
          <w:p w:rsidR="00000000" w:rsidRDefault="00000000">
            <w:pPr>
              <w:jc w:val="center"/>
            </w:pPr>
            <w:r>
              <w:t>1 431 558</w:t>
            </w:r>
          </w:p>
        </w:tc>
        <w:tc>
          <w:tcPr>
            <w:tcW w:w="1848" w:type="dxa"/>
            <w:tcBorders>
              <w:bottom w:val="single" w:sz="2" w:space="0" w:color="000000"/>
            </w:tcBorders>
            <w:shd w:val="clear" w:color="auto" w:fill="FFFFFF"/>
            <w:vAlign w:val="center"/>
          </w:tcPr>
          <w:p w:rsidR="00000000" w:rsidRDefault="00000000">
            <w:pPr>
              <w:jc w:val="center"/>
            </w:pPr>
            <w:r>
              <w:t>2 541 214</w:t>
            </w:r>
          </w:p>
        </w:tc>
        <w:tc>
          <w:tcPr>
            <w:tcW w:w="1848" w:type="dxa"/>
            <w:tcBorders>
              <w:bottom w:val="single" w:sz="2" w:space="0" w:color="000000"/>
            </w:tcBorders>
            <w:shd w:val="clear" w:color="auto" w:fill="FFFFFF"/>
            <w:vAlign w:val="center"/>
          </w:tcPr>
          <w:p w:rsidR="00000000" w:rsidRDefault="00000000">
            <w:pPr>
              <w:jc w:val="center"/>
            </w:pPr>
            <w:r>
              <w:t>3 972 772</w:t>
            </w:r>
          </w:p>
        </w:tc>
        <w:tc>
          <w:tcPr>
            <w:tcW w:w="1848" w:type="dxa"/>
            <w:tcBorders>
              <w:bottom w:val="single" w:sz="2" w:space="0" w:color="000000"/>
            </w:tcBorders>
            <w:shd w:val="clear" w:color="auto" w:fill="FFFFFF"/>
            <w:vAlign w:val="center"/>
          </w:tcPr>
          <w:p w:rsidR="00000000" w:rsidRDefault="00000000">
            <w:pPr>
              <w:jc w:val="center"/>
            </w:pPr>
            <w:r>
              <w:t>5 618 563</w:t>
            </w:r>
          </w:p>
        </w:tc>
      </w:tr>
    </w:tbl>
    <w:p w:rsidR="00000000" w:rsidRDefault="00000000"/>
    <w:p w:rsidR="00000000" w:rsidRDefault="00000000">
      <w:r>
        <w:tab/>
      </w:r>
      <w:r>
        <w:rPr>
          <w:u w:val="single"/>
        </w:rPr>
        <w:t>Source</w:t>
      </w:r>
      <w:r>
        <w:t>:  João Pinheiro Foundation, 1995.</w:t>
      </w:r>
    </w:p>
    <w:p w:rsidR="00000000" w:rsidRDefault="00000000"/>
    <w:p w:rsidR="00000000" w:rsidRDefault="00000000">
      <w:pPr>
        <w:pStyle w:val="ParaNo"/>
        <w:tabs>
          <w:tab w:val="clear" w:pos="360"/>
          <w:tab w:val="clear" w:pos="737"/>
        </w:tabs>
        <w:rPr>
          <w:kern w:val="20"/>
          <w:lang w:val="en-GB"/>
        </w:rPr>
      </w:pPr>
      <w:r>
        <w:rPr>
          <w:kern w:val="20"/>
          <w:lang w:val="en-GB"/>
        </w:rPr>
        <w:t>A breakdown taking into account the indicators of housing production and civil construction in general will preliminarily show that the IBGE indicators demonstrate that the stock of permanent urban housing units has risen by 5.6 million units from 1991 to 1997.</w:t>
      </w:r>
    </w:p>
    <w:p w:rsidR="00000000" w:rsidRDefault="00000000">
      <w:pPr>
        <w:rPr>
          <w:kern w:val="20"/>
        </w:rPr>
      </w:pPr>
    </w:p>
    <w:p w:rsidR="00000000" w:rsidRDefault="00000000">
      <w:pPr>
        <w:pStyle w:val="ParaNo"/>
        <w:tabs>
          <w:tab w:val="clear" w:pos="360"/>
          <w:tab w:val="clear" w:pos="737"/>
        </w:tabs>
        <w:rPr>
          <w:kern w:val="20"/>
          <w:lang w:val="en-GB"/>
        </w:rPr>
      </w:pPr>
      <w:r>
        <w:rPr>
          <w:kern w:val="20"/>
          <w:lang w:val="en-GB"/>
        </w:rPr>
        <w:t>Historically, most residential buildings in Brazil were built without recourse to official financing systems but nearly always with family savings.  According to Special Secretariat for Urban Development (SEDU), the Housing Financing System</w:t>
      </w:r>
      <w:r>
        <w:rPr>
          <w:kern w:val="20"/>
          <w:lang w:val="en-GB"/>
        </w:rPr>
        <w:noBreakHyphen/>
        <w:t xml:space="preserve">SFH built 5.6 million housing units in 30 years.  Although significant, this is a small number if compared with the 31.5 million permanent urban housing units built in the country in the same period.  In the last decade, the </w:t>
      </w:r>
    </w:p>
    <w:p w:rsidR="00000000" w:rsidRDefault="00000000">
      <w:pPr>
        <w:rPr>
          <w:kern w:val="20"/>
        </w:rPr>
      </w:pPr>
      <w:r>
        <w:rPr>
          <w:kern w:val="20"/>
        </w:rPr>
        <w:br w:type="page"/>
        <w:t>Housing Financing System</w:t>
      </w:r>
      <w:r>
        <w:rPr>
          <w:kern w:val="20"/>
        </w:rPr>
        <w:noBreakHyphen/>
        <w:t>SFH financed an average of 134,000 units per year, a significant, but not significant enough, number when compared with the country’s average yearly production of 1 million new housing units in 1991</w:t>
      </w:r>
      <w:r>
        <w:rPr>
          <w:kern w:val="20"/>
        </w:rPr>
        <w:noBreakHyphen/>
        <w:t>1996.</w:t>
      </w:r>
    </w:p>
    <w:p w:rsidR="00000000" w:rsidRDefault="00000000">
      <w:pPr>
        <w:rPr>
          <w:kern w:val="20"/>
        </w:rPr>
      </w:pPr>
    </w:p>
    <w:p w:rsidR="00000000" w:rsidRDefault="00000000">
      <w:pPr>
        <w:pStyle w:val="ParaNo"/>
        <w:tabs>
          <w:tab w:val="clear" w:pos="360"/>
          <w:tab w:val="clear" w:pos="737"/>
        </w:tabs>
        <w:rPr>
          <w:kern w:val="20"/>
          <w:lang w:val="en-GB"/>
        </w:rPr>
      </w:pPr>
      <w:r>
        <w:rPr>
          <w:kern w:val="20"/>
          <w:lang w:val="en-GB"/>
        </w:rPr>
        <w:t>IBGE data show that the number of permanent private homes rose by 15,433,984 in 1980</w:t>
      </w:r>
      <w:r>
        <w:rPr>
          <w:kern w:val="20"/>
          <w:lang w:val="en-GB"/>
        </w:rPr>
        <w:noBreakHyphen/>
        <w:t>1997, an increase due essentially to the larger number of urban homes (15,209,391).</w:t>
      </w:r>
    </w:p>
    <w:p w:rsidR="00000000" w:rsidRDefault="00000000">
      <w:pPr>
        <w:rPr>
          <w:kern w:val="20"/>
        </w:rPr>
      </w:pPr>
    </w:p>
    <w:p w:rsidR="00000000" w:rsidRDefault="00000000">
      <w:pPr>
        <w:pStyle w:val="Heading1"/>
        <w:rPr>
          <w:kern w:val="20"/>
        </w:rPr>
      </w:pPr>
      <w:r>
        <w:rPr>
          <w:kern w:val="20"/>
        </w:rPr>
        <w:t>Table 60</w:t>
      </w:r>
    </w:p>
    <w:p w:rsidR="00000000" w:rsidRDefault="00000000"/>
    <w:p w:rsidR="00000000" w:rsidRDefault="00000000">
      <w:pPr>
        <w:pStyle w:val="Heading1"/>
        <w:rPr>
          <w:kern w:val="20"/>
        </w:rPr>
      </w:pPr>
      <w:r>
        <w:rPr>
          <w:kern w:val="20"/>
        </w:rPr>
        <w:t>Permanent private homes by location, 1980</w:t>
      </w:r>
      <w:r>
        <w:rPr>
          <w:kern w:val="20"/>
        </w:rPr>
        <w:noBreakHyphen/>
        <w:t>1997</w:t>
      </w:r>
    </w:p>
    <w:p w:rsidR="00000000" w:rsidRDefault="00000000"/>
    <w:tbl>
      <w:tblPr>
        <w:tblW w:w="0" w:type="auto"/>
        <w:jc w:val="center"/>
        <w:tblLayout w:type="fixed"/>
        <w:tblCellMar>
          <w:left w:w="70" w:type="dxa"/>
          <w:right w:w="70" w:type="dxa"/>
        </w:tblCellMar>
        <w:tblLook w:val="0000" w:firstRow="0" w:lastRow="0" w:firstColumn="0" w:lastColumn="0" w:noHBand="0" w:noVBand="0"/>
      </w:tblPr>
      <w:tblGrid>
        <w:gridCol w:w="1211"/>
        <w:gridCol w:w="1620"/>
        <w:gridCol w:w="1620"/>
        <w:gridCol w:w="1530"/>
        <w:gridCol w:w="1587"/>
      </w:tblGrid>
      <w:tr w:rsidR="00000000">
        <w:tblPrEx>
          <w:tblCellMar>
            <w:top w:w="0" w:type="dxa"/>
            <w:bottom w:w="0" w:type="dxa"/>
          </w:tblCellMar>
        </w:tblPrEx>
        <w:trPr>
          <w:cantSplit/>
          <w:jc w:val="center"/>
        </w:trPr>
        <w:tc>
          <w:tcPr>
            <w:tcW w:w="1211"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pPr>
            <w:r>
              <w:t>Location</w:t>
            </w:r>
          </w:p>
        </w:tc>
        <w:tc>
          <w:tcPr>
            <w:tcW w:w="162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pPr>
            <w:r>
              <w:t>1980*</w:t>
            </w:r>
          </w:p>
        </w:tc>
        <w:tc>
          <w:tcPr>
            <w:tcW w:w="162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pPr>
            <w:r>
              <w:t>1991*</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pPr>
            <w:r>
              <w:t>1996*</w:t>
            </w:r>
          </w:p>
        </w:tc>
        <w:tc>
          <w:tcPr>
            <w:tcW w:w="1587"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pPr>
            <w:r>
              <w:t>1997**</w:t>
            </w:r>
          </w:p>
        </w:tc>
      </w:tr>
      <w:tr w:rsidR="00000000">
        <w:tblPrEx>
          <w:tblCellMar>
            <w:top w:w="0" w:type="dxa"/>
            <w:bottom w:w="0" w:type="dxa"/>
          </w:tblCellMar>
        </w:tblPrEx>
        <w:trPr>
          <w:cantSplit/>
          <w:jc w:val="center"/>
        </w:trPr>
        <w:tc>
          <w:tcPr>
            <w:tcW w:w="1211" w:type="dxa"/>
            <w:tcBorders>
              <w:top w:val="single" w:sz="6" w:space="0" w:color="auto"/>
              <w:left w:val="single" w:sz="6" w:space="0" w:color="auto"/>
              <w:right w:val="single" w:sz="6" w:space="0" w:color="auto"/>
            </w:tcBorders>
            <w:vAlign w:val="center"/>
          </w:tcPr>
          <w:p w:rsidR="00000000" w:rsidRDefault="00000000">
            <w:pPr>
              <w:spacing w:before="40" w:after="40"/>
            </w:pPr>
            <w:r>
              <w:t>Total</w:t>
            </w:r>
          </w:p>
        </w:tc>
        <w:tc>
          <w:tcPr>
            <w:tcW w:w="1620" w:type="dxa"/>
            <w:tcBorders>
              <w:top w:val="single" w:sz="6" w:space="0" w:color="auto"/>
              <w:left w:val="single" w:sz="6" w:space="0" w:color="auto"/>
              <w:right w:val="single" w:sz="6" w:space="0" w:color="auto"/>
            </w:tcBorders>
            <w:vAlign w:val="center"/>
          </w:tcPr>
          <w:p w:rsidR="00000000" w:rsidRDefault="00000000">
            <w:pPr>
              <w:spacing w:before="40" w:after="40"/>
              <w:ind w:right="284"/>
              <w:jc w:val="right"/>
            </w:pPr>
            <w:r>
              <w:t>25 210 639</w:t>
            </w:r>
          </w:p>
        </w:tc>
        <w:tc>
          <w:tcPr>
            <w:tcW w:w="1620" w:type="dxa"/>
            <w:tcBorders>
              <w:top w:val="single" w:sz="6" w:space="0" w:color="auto"/>
              <w:left w:val="single" w:sz="6" w:space="0" w:color="auto"/>
              <w:right w:val="single" w:sz="6" w:space="0" w:color="auto"/>
            </w:tcBorders>
            <w:vAlign w:val="center"/>
          </w:tcPr>
          <w:p w:rsidR="00000000" w:rsidRDefault="00000000">
            <w:pPr>
              <w:spacing w:before="40" w:after="40"/>
              <w:ind w:right="284"/>
              <w:jc w:val="right"/>
            </w:pPr>
            <w:r>
              <w:t>34 734 715</w:t>
            </w:r>
          </w:p>
        </w:tc>
        <w:tc>
          <w:tcPr>
            <w:tcW w:w="1530" w:type="dxa"/>
            <w:tcBorders>
              <w:top w:val="single" w:sz="6" w:space="0" w:color="auto"/>
              <w:left w:val="single" w:sz="6" w:space="0" w:color="auto"/>
              <w:right w:val="single" w:sz="6" w:space="0" w:color="auto"/>
            </w:tcBorders>
            <w:vAlign w:val="center"/>
          </w:tcPr>
          <w:p w:rsidR="00000000" w:rsidRDefault="00000000">
            <w:pPr>
              <w:spacing w:before="40" w:after="40"/>
              <w:ind w:right="284"/>
              <w:jc w:val="right"/>
            </w:pPr>
            <w:r>
              <w:t>39 745 768</w:t>
            </w:r>
          </w:p>
        </w:tc>
        <w:tc>
          <w:tcPr>
            <w:tcW w:w="1587" w:type="dxa"/>
            <w:tcBorders>
              <w:top w:val="single" w:sz="6" w:space="0" w:color="auto"/>
              <w:left w:val="single" w:sz="6" w:space="0" w:color="auto"/>
              <w:right w:val="single" w:sz="6" w:space="0" w:color="auto"/>
            </w:tcBorders>
            <w:vAlign w:val="center"/>
          </w:tcPr>
          <w:p w:rsidR="00000000" w:rsidRDefault="00000000">
            <w:pPr>
              <w:spacing w:before="40" w:after="40"/>
              <w:ind w:right="284"/>
              <w:jc w:val="right"/>
            </w:pPr>
            <w:r>
              <w:t>40 644623</w:t>
            </w:r>
          </w:p>
        </w:tc>
      </w:tr>
      <w:tr w:rsidR="00000000">
        <w:tblPrEx>
          <w:tblCellMar>
            <w:top w:w="0" w:type="dxa"/>
            <w:bottom w:w="0" w:type="dxa"/>
          </w:tblCellMar>
        </w:tblPrEx>
        <w:trPr>
          <w:cantSplit/>
          <w:jc w:val="center"/>
        </w:trPr>
        <w:tc>
          <w:tcPr>
            <w:tcW w:w="1211" w:type="dxa"/>
            <w:tcBorders>
              <w:left w:val="single" w:sz="6" w:space="0" w:color="auto"/>
              <w:right w:val="single" w:sz="6" w:space="0" w:color="auto"/>
            </w:tcBorders>
            <w:vAlign w:val="center"/>
          </w:tcPr>
          <w:p w:rsidR="00000000" w:rsidRDefault="00000000">
            <w:pPr>
              <w:spacing w:before="40" w:after="40"/>
            </w:pPr>
            <w:r>
              <w:t>Urban</w:t>
            </w:r>
          </w:p>
        </w:tc>
        <w:tc>
          <w:tcPr>
            <w:tcW w:w="1620" w:type="dxa"/>
            <w:tcBorders>
              <w:left w:val="single" w:sz="6" w:space="0" w:color="auto"/>
              <w:right w:val="single" w:sz="6" w:space="0" w:color="auto"/>
            </w:tcBorders>
            <w:vAlign w:val="center"/>
          </w:tcPr>
          <w:p w:rsidR="00000000" w:rsidRDefault="00000000">
            <w:pPr>
              <w:spacing w:before="40" w:after="40"/>
              <w:ind w:right="284"/>
              <w:jc w:val="right"/>
            </w:pPr>
            <w:r>
              <w:t>17 770 981</w:t>
            </w:r>
          </w:p>
        </w:tc>
        <w:tc>
          <w:tcPr>
            <w:tcW w:w="1620" w:type="dxa"/>
            <w:tcBorders>
              <w:left w:val="single" w:sz="6" w:space="0" w:color="auto"/>
              <w:right w:val="single" w:sz="6" w:space="0" w:color="auto"/>
            </w:tcBorders>
            <w:vAlign w:val="center"/>
          </w:tcPr>
          <w:p w:rsidR="00000000" w:rsidRDefault="00000000">
            <w:pPr>
              <w:spacing w:before="40" w:after="40"/>
              <w:ind w:right="284"/>
              <w:jc w:val="right"/>
            </w:pPr>
            <w:r>
              <w:t>27 157 268</w:t>
            </w:r>
          </w:p>
        </w:tc>
        <w:tc>
          <w:tcPr>
            <w:tcW w:w="1530" w:type="dxa"/>
            <w:tcBorders>
              <w:left w:val="single" w:sz="6" w:space="0" w:color="auto"/>
              <w:right w:val="single" w:sz="6" w:space="0" w:color="auto"/>
            </w:tcBorders>
            <w:vAlign w:val="center"/>
          </w:tcPr>
          <w:p w:rsidR="00000000" w:rsidRDefault="00000000">
            <w:pPr>
              <w:spacing w:before="40" w:after="40"/>
              <w:ind w:right="284"/>
              <w:jc w:val="right"/>
            </w:pPr>
            <w:r>
              <w:t>32 227 158</w:t>
            </w:r>
          </w:p>
        </w:tc>
        <w:tc>
          <w:tcPr>
            <w:tcW w:w="1587" w:type="dxa"/>
            <w:tcBorders>
              <w:left w:val="single" w:sz="6" w:space="0" w:color="auto"/>
              <w:right w:val="single" w:sz="6" w:space="0" w:color="auto"/>
            </w:tcBorders>
            <w:vAlign w:val="center"/>
          </w:tcPr>
          <w:p w:rsidR="00000000" w:rsidRDefault="00000000">
            <w:pPr>
              <w:spacing w:before="40" w:after="40"/>
              <w:ind w:right="284"/>
              <w:jc w:val="right"/>
            </w:pPr>
            <w:r>
              <w:t>32 980 372</w:t>
            </w:r>
          </w:p>
        </w:tc>
      </w:tr>
      <w:tr w:rsidR="00000000">
        <w:tblPrEx>
          <w:tblCellMar>
            <w:top w:w="0" w:type="dxa"/>
            <w:bottom w:w="0" w:type="dxa"/>
          </w:tblCellMar>
        </w:tblPrEx>
        <w:trPr>
          <w:cantSplit/>
          <w:jc w:val="center"/>
        </w:trPr>
        <w:tc>
          <w:tcPr>
            <w:tcW w:w="1211" w:type="dxa"/>
            <w:tcBorders>
              <w:left w:val="single" w:sz="6" w:space="0" w:color="auto"/>
              <w:bottom w:val="single" w:sz="6" w:space="0" w:color="auto"/>
              <w:right w:val="single" w:sz="6" w:space="0" w:color="auto"/>
            </w:tcBorders>
            <w:vAlign w:val="center"/>
          </w:tcPr>
          <w:p w:rsidR="00000000" w:rsidRDefault="00000000">
            <w:pPr>
              <w:spacing w:before="40" w:after="40"/>
            </w:pPr>
            <w:r>
              <w:t>Rural</w:t>
            </w:r>
          </w:p>
        </w:tc>
        <w:tc>
          <w:tcPr>
            <w:tcW w:w="1620" w:type="dxa"/>
            <w:tcBorders>
              <w:left w:val="single" w:sz="6" w:space="0" w:color="auto"/>
              <w:bottom w:val="single" w:sz="6" w:space="0" w:color="auto"/>
              <w:right w:val="single" w:sz="6" w:space="0" w:color="auto"/>
            </w:tcBorders>
            <w:vAlign w:val="center"/>
          </w:tcPr>
          <w:p w:rsidR="00000000" w:rsidRDefault="00000000">
            <w:pPr>
              <w:spacing w:before="40" w:after="40"/>
              <w:ind w:right="284"/>
              <w:jc w:val="right"/>
            </w:pPr>
            <w:r>
              <w:t>7 439 658</w:t>
            </w:r>
          </w:p>
        </w:tc>
        <w:tc>
          <w:tcPr>
            <w:tcW w:w="1620" w:type="dxa"/>
            <w:tcBorders>
              <w:left w:val="single" w:sz="6" w:space="0" w:color="auto"/>
              <w:bottom w:val="single" w:sz="6" w:space="0" w:color="auto"/>
              <w:right w:val="single" w:sz="6" w:space="0" w:color="auto"/>
            </w:tcBorders>
            <w:vAlign w:val="center"/>
          </w:tcPr>
          <w:p w:rsidR="00000000" w:rsidRDefault="00000000">
            <w:pPr>
              <w:spacing w:before="40" w:after="40"/>
              <w:ind w:right="284"/>
              <w:jc w:val="right"/>
            </w:pPr>
            <w:r>
              <w:t>7 577 447</w:t>
            </w:r>
          </w:p>
        </w:tc>
        <w:tc>
          <w:tcPr>
            <w:tcW w:w="1530" w:type="dxa"/>
            <w:tcBorders>
              <w:left w:val="single" w:sz="6" w:space="0" w:color="auto"/>
              <w:bottom w:val="single" w:sz="6" w:space="0" w:color="auto"/>
              <w:right w:val="single" w:sz="6" w:space="0" w:color="auto"/>
            </w:tcBorders>
            <w:vAlign w:val="center"/>
          </w:tcPr>
          <w:p w:rsidR="00000000" w:rsidRDefault="00000000">
            <w:pPr>
              <w:spacing w:before="40" w:after="40"/>
              <w:ind w:right="284"/>
              <w:jc w:val="right"/>
            </w:pPr>
            <w:r>
              <w:t>7 518 610</w:t>
            </w:r>
          </w:p>
        </w:tc>
        <w:tc>
          <w:tcPr>
            <w:tcW w:w="1587" w:type="dxa"/>
            <w:tcBorders>
              <w:left w:val="single" w:sz="6" w:space="0" w:color="auto"/>
              <w:bottom w:val="single" w:sz="6" w:space="0" w:color="auto"/>
              <w:right w:val="single" w:sz="6" w:space="0" w:color="auto"/>
            </w:tcBorders>
            <w:vAlign w:val="center"/>
          </w:tcPr>
          <w:p w:rsidR="00000000" w:rsidRDefault="00000000">
            <w:pPr>
              <w:spacing w:before="40" w:after="40"/>
              <w:ind w:right="284"/>
              <w:jc w:val="right"/>
            </w:pPr>
            <w:r>
              <w:t>7 664 251</w:t>
            </w:r>
          </w:p>
        </w:tc>
      </w:tr>
    </w:tbl>
    <w:p w:rsidR="00000000" w:rsidRDefault="00000000">
      <w:pPr>
        <w:rPr>
          <w:kern w:val="16"/>
        </w:rPr>
      </w:pPr>
    </w:p>
    <w:p w:rsidR="00000000" w:rsidRDefault="00000000">
      <w:pPr>
        <w:tabs>
          <w:tab w:val="right" w:pos="1701"/>
          <w:tab w:val="left" w:pos="1814"/>
        </w:tabs>
        <w:rPr>
          <w:kern w:val="16"/>
        </w:rPr>
      </w:pPr>
      <w:r>
        <w:rPr>
          <w:kern w:val="16"/>
        </w:rPr>
        <w:tab/>
      </w:r>
      <w:r>
        <w:rPr>
          <w:kern w:val="16"/>
          <w:u w:val="single"/>
        </w:rPr>
        <w:t>Source</w:t>
      </w:r>
      <w:r>
        <w:rPr>
          <w:kern w:val="16"/>
        </w:rPr>
        <w:t>:</w:t>
      </w:r>
      <w:r>
        <w:rPr>
          <w:kern w:val="16"/>
        </w:rPr>
        <w:tab/>
        <w:t xml:space="preserve">  *</w:t>
      </w:r>
      <w:r>
        <w:rPr>
          <w:kern w:val="16"/>
        </w:rPr>
        <w:tab/>
        <w:t xml:space="preserve">IBGE </w:t>
      </w:r>
      <w:r>
        <w:rPr>
          <w:kern w:val="16"/>
        </w:rPr>
        <w:noBreakHyphen/>
        <w:t xml:space="preserve"> 1997 Yearly Statistics.</w:t>
      </w:r>
    </w:p>
    <w:p w:rsidR="00000000" w:rsidRDefault="00000000">
      <w:pPr>
        <w:tabs>
          <w:tab w:val="right" w:pos="1701"/>
          <w:tab w:val="left" w:pos="1814"/>
        </w:tabs>
        <w:rPr>
          <w:kern w:val="16"/>
        </w:rPr>
      </w:pPr>
    </w:p>
    <w:p w:rsidR="00000000" w:rsidRDefault="00000000">
      <w:pPr>
        <w:tabs>
          <w:tab w:val="right" w:pos="1701"/>
          <w:tab w:val="left" w:pos="1814"/>
        </w:tabs>
        <w:rPr>
          <w:kern w:val="16"/>
        </w:rPr>
      </w:pPr>
      <w:r>
        <w:rPr>
          <w:kern w:val="16"/>
        </w:rPr>
        <w:tab/>
      </w:r>
      <w:r>
        <w:rPr>
          <w:kern w:val="16"/>
        </w:rPr>
        <w:tab/>
        <w:t>**</w:t>
      </w:r>
      <w:r>
        <w:rPr>
          <w:kern w:val="16"/>
        </w:rPr>
        <w:tab/>
        <w:t xml:space="preserve">IBGE </w:t>
      </w:r>
      <w:r>
        <w:rPr>
          <w:kern w:val="16"/>
        </w:rPr>
        <w:noBreakHyphen/>
        <w:t xml:space="preserve"> 1998 Social Indicators Summary.</w:t>
      </w:r>
    </w:p>
    <w:p w:rsidR="00000000" w:rsidRDefault="00000000">
      <w:pPr>
        <w:rPr>
          <w:spacing w:val="20"/>
          <w:kern w:val="16"/>
        </w:rPr>
      </w:pPr>
    </w:p>
    <w:p w:rsidR="00000000" w:rsidRDefault="00000000">
      <w:pPr>
        <w:pStyle w:val="ParaNo"/>
        <w:tabs>
          <w:tab w:val="clear" w:pos="360"/>
          <w:tab w:val="clear" w:pos="737"/>
        </w:tabs>
        <w:rPr>
          <w:kern w:val="20"/>
          <w:lang w:val="en-GB"/>
        </w:rPr>
      </w:pPr>
      <w:r>
        <w:rPr>
          <w:kern w:val="20"/>
          <w:lang w:val="en-GB"/>
        </w:rPr>
        <w:t>The housing indicators are a good measure of the population’s quality of life.  The indicator of crowding by housing unit has declined over the last decades, reflecting a reduction in the average family size as well as the increase in the number of single</w:t>
      </w:r>
      <w:r>
        <w:rPr>
          <w:kern w:val="20"/>
          <w:lang w:val="en-GB"/>
        </w:rPr>
        <w:noBreakHyphen/>
        <w:t>occupant housing units.  In 1997 the overall average housing unit density was 3.8 people while density per bedroom was 1.9.  It should be noted that these indicators are higher in rural areas, reflecting the larger size of families.</w:t>
      </w:r>
    </w:p>
    <w:p w:rsidR="00000000" w:rsidRDefault="00000000">
      <w:pPr>
        <w:rPr>
          <w:kern w:val="20"/>
        </w:rPr>
      </w:pPr>
    </w:p>
    <w:p w:rsidR="00000000" w:rsidRDefault="00000000">
      <w:pPr>
        <w:pStyle w:val="Heading1"/>
        <w:rPr>
          <w:kern w:val="20"/>
        </w:rPr>
      </w:pPr>
      <w:r>
        <w:rPr>
          <w:kern w:val="20"/>
        </w:rPr>
        <w:t>Table 61</w:t>
      </w:r>
    </w:p>
    <w:p w:rsidR="00000000" w:rsidRDefault="00000000"/>
    <w:p w:rsidR="00000000" w:rsidRDefault="00000000">
      <w:pPr>
        <w:pStyle w:val="Heading1"/>
        <w:rPr>
          <w:kern w:val="20"/>
        </w:rPr>
      </w:pPr>
      <w:r>
        <w:rPr>
          <w:kern w:val="20"/>
        </w:rPr>
        <w:t>Average number of people per household by major regions, 1991</w:t>
      </w:r>
    </w:p>
    <w:p w:rsidR="00000000" w:rsidRDefault="00000000"/>
    <w:tbl>
      <w:tblPr>
        <w:tblW w:w="0" w:type="auto"/>
        <w:jc w:val="center"/>
        <w:tblBorders>
          <w:top w:val="single" w:sz="2" w:space="0" w:color="000000"/>
          <w:left w:val="single" w:sz="2" w:space="0" w:color="000000"/>
          <w:bottom w:val="single" w:sz="2" w:space="0" w:color="000000"/>
          <w:right w:val="single" w:sz="2" w:space="0" w:color="000000"/>
          <w:insideV w:val="single" w:sz="2" w:space="0" w:color="000000"/>
        </w:tblBorders>
        <w:tblLayout w:type="fixed"/>
        <w:tblCellMar>
          <w:left w:w="70" w:type="dxa"/>
          <w:right w:w="70" w:type="dxa"/>
        </w:tblCellMar>
        <w:tblLook w:val="0000" w:firstRow="0" w:lastRow="0" w:firstColumn="0" w:lastColumn="0" w:noHBand="0" w:noVBand="0"/>
      </w:tblPr>
      <w:tblGrid>
        <w:gridCol w:w="1713"/>
        <w:gridCol w:w="1713"/>
        <w:gridCol w:w="1714"/>
      </w:tblGrid>
      <w:tr w:rsidR="00000000">
        <w:tblPrEx>
          <w:tblCellMar>
            <w:top w:w="0" w:type="dxa"/>
            <w:bottom w:w="0" w:type="dxa"/>
          </w:tblCellMar>
        </w:tblPrEx>
        <w:trPr>
          <w:cantSplit/>
          <w:jc w:val="center"/>
        </w:trPr>
        <w:tc>
          <w:tcPr>
            <w:tcW w:w="1713" w:type="dxa"/>
            <w:tcBorders>
              <w:top w:val="single" w:sz="2" w:space="0" w:color="000000"/>
              <w:bottom w:val="single" w:sz="2" w:space="0" w:color="000000"/>
            </w:tcBorders>
          </w:tcPr>
          <w:p w:rsidR="00000000" w:rsidRDefault="00000000">
            <w:pPr>
              <w:spacing w:before="40" w:after="40"/>
              <w:jc w:val="center"/>
            </w:pPr>
            <w:r>
              <w:t>Major regions</w:t>
            </w:r>
          </w:p>
        </w:tc>
        <w:tc>
          <w:tcPr>
            <w:tcW w:w="1713" w:type="dxa"/>
            <w:tcBorders>
              <w:top w:val="single" w:sz="2" w:space="0" w:color="000000"/>
              <w:bottom w:val="single" w:sz="2" w:space="0" w:color="000000"/>
            </w:tcBorders>
          </w:tcPr>
          <w:p w:rsidR="00000000" w:rsidRDefault="00000000">
            <w:pPr>
              <w:spacing w:before="40" w:after="40"/>
              <w:jc w:val="center"/>
            </w:pPr>
            <w:r>
              <w:t>Urban</w:t>
            </w:r>
          </w:p>
        </w:tc>
        <w:tc>
          <w:tcPr>
            <w:tcW w:w="1714" w:type="dxa"/>
            <w:tcBorders>
              <w:top w:val="single" w:sz="2" w:space="0" w:color="000000"/>
              <w:bottom w:val="single" w:sz="2" w:space="0" w:color="000000"/>
            </w:tcBorders>
          </w:tcPr>
          <w:p w:rsidR="00000000" w:rsidRDefault="00000000">
            <w:pPr>
              <w:spacing w:before="40" w:after="40"/>
              <w:jc w:val="center"/>
            </w:pPr>
            <w:r>
              <w:t>Rural</w:t>
            </w:r>
          </w:p>
        </w:tc>
      </w:tr>
      <w:tr w:rsidR="00000000">
        <w:tblPrEx>
          <w:tblCellMar>
            <w:top w:w="0" w:type="dxa"/>
            <w:bottom w:w="0" w:type="dxa"/>
          </w:tblCellMar>
        </w:tblPrEx>
        <w:trPr>
          <w:cantSplit/>
          <w:jc w:val="center"/>
        </w:trPr>
        <w:tc>
          <w:tcPr>
            <w:tcW w:w="1713" w:type="dxa"/>
            <w:tcBorders>
              <w:top w:val="single" w:sz="2" w:space="0" w:color="000000"/>
            </w:tcBorders>
          </w:tcPr>
          <w:p w:rsidR="00000000" w:rsidRDefault="00000000">
            <w:pPr>
              <w:spacing w:before="40" w:after="40"/>
            </w:pPr>
            <w:r>
              <w:t>Brazil</w:t>
            </w:r>
          </w:p>
        </w:tc>
        <w:tc>
          <w:tcPr>
            <w:tcW w:w="1713" w:type="dxa"/>
            <w:tcBorders>
              <w:top w:val="single" w:sz="2" w:space="0" w:color="000000"/>
            </w:tcBorders>
          </w:tcPr>
          <w:p w:rsidR="00000000" w:rsidRDefault="00000000">
            <w:pPr>
              <w:spacing w:before="40" w:after="40"/>
              <w:jc w:val="center"/>
            </w:pPr>
            <w:r>
              <w:t>4.06</w:t>
            </w:r>
          </w:p>
        </w:tc>
        <w:tc>
          <w:tcPr>
            <w:tcW w:w="1714" w:type="dxa"/>
            <w:tcBorders>
              <w:top w:val="single" w:sz="2" w:space="0" w:color="000000"/>
            </w:tcBorders>
          </w:tcPr>
          <w:p w:rsidR="00000000" w:rsidRDefault="00000000">
            <w:pPr>
              <w:spacing w:before="40" w:after="40"/>
              <w:jc w:val="center"/>
            </w:pPr>
            <w:r>
              <w:t>4.69</w:t>
            </w:r>
          </w:p>
        </w:tc>
      </w:tr>
      <w:tr w:rsidR="00000000">
        <w:tblPrEx>
          <w:tblCellMar>
            <w:top w:w="0" w:type="dxa"/>
            <w:bottom w:w="0" w:type="dxa"/>
          </w:tblCellMar>
        </w:tblPrEx>
        <w:trPr>
          <w:cantSplit/>
          <w:jc w:val="center"/>
        </w:trPr>
        <w:tc>
          <w:tcPr>
            <w:tcW w:w="1713" w:type="dxa"/>
          </w:tcPr>
          <w:p w:rsidR="00000000" w:rsidRDefault="00000000">
            <w:pPr>
              <w:spacing w:before="40" w:after="40"/>
            </w:pPr>
            <w:r>
              <w:t>North</w:t>
            </w:r>
          </w:p>
        </w:tc>
        <w:tc>
          <w:tcPr>
            <w:tcW w:w="1713" w:type="dxa"/>
          </w:tcPr>
          <w:p w:rsidR="00000000" w:rsidRDefault="00000000">
            <w:pPr>
              <w:spacing w:before="40" w:after="40"/>
              <w:jc w:val="center"/>
            </w:pPr>
            <w:r>
              <w:t>4.92</w:t>
            </w:r>
          </w:p>
        </w:tc>
        <w:tc>
          <w:tcPr>
            <w:tcW w:w="1714" w:type="dxa"/>
          </w:tcPr>
          <w:p w:rsidR="00000000" w:rsidRDefault="00000000">
            <w:pPr>
              <w:spacing w:before="40" w:after="40"/>
              <w:jc w:val="center"/>
            </w:pPr>
            <w:r>
              <w:t>5.26</w:t>
            </w:r>
          </w:p>
        </w:tc>
      </w:tr>
      <w:tr w:rsidR="00000000">
        <w:tblPrEx>
          <w:tblCellMar>
            <w:top w:w="0" w:type="dxa"/>
            <w:bottom w:w="0" w:type="dxa"/>
          </w:tblCellMar>
        </w:tblPrEx>
        <w:trPr>
          <w:cantSplit/>
          <w:jc w:val="center"/>
        </w:trPr>
        <w:tc>
          <w:tcPr>
            <w:tcW w:w="1713" w:type="dxa"/>
          </w:tcPr>
          <w:p w:rsidR="00000000" w:rsidRDefault="00000000">
            <w:pPr>
              <w:spacing w:before="40" w:after="40"/>
            </w:pPr>
            <w:r>
              <w:t>North</w:t>
            </w:r>
            <w:r>
              <w:noBreakHyphen/>
              <w:t>east</w:t>
            </w:r>
          </w:p>
        </w:tc>
        <w:tc>
          <w:tcPr>
            <w:tcW w:w="1713" w:type="dxa"/>
          </w:tcPr>
          <w:p w:rsidR="00000000" w:rsidRDefault="00000000">
            <w:pPr>
              <w:spacing w:before="40" w:after="40"/>
              <w:jc w:val="center"/>
            </w:pPr>
            <w:r>
              <w:t>4.53</w:t>
            </w:r>
          </w:p>
        </w:tc>
        <w:tc>
          <w:tcPr>
            <w:tcW w:w="1714" w:type="dxa"/>
          </w:tcPr>
          <w:p w:rsidR="00000000" w:rsidRDefault="00000000">
            <w:pPr>
              <w:spacing w:before="40" w:after="40"/>
              <w:jc w:val="center"/>
            </w:pPr>
            <w:r>
              <w:t>4.97</w:t>
            </w:r>
          </w:p>
        </w:tc>
      </w:tr>
      <w:tr w:rsidR="00000000">
        <w:tblPrEx>
          <w:tblCellMar>
            <w:top w:w="0" w:type="dxa"/>
            <w:bottom w:w="0" w:type="dxa"/>
          </w:tblCellMar>
        </w:tblPrEx>
        <w:trPr>
          <w:cantSplit/>
          <w:jc w:val="center"/>
        </w:trPr>
        <w:tc>
          <w:tcPr>
            <w:tcW w:w="1713" w:type="dxa"/>
          </w:tcPr>
          <w:p w:rsidR="00000000" w:rsidRDefault="00000000">
            <w:pPr>
              <w:spacing w:before="40" w:after="40"/>
            </w:pPr>
            <w:r>
              <w:t>South</w:t>
            </w:r>
            <w:r>
              <w:noBreakHyphen/>
              <w:t>east</w:t>
            </w:r>
          </w:p>
        </w:tc>
        <w:tc>
          <w:tcPr>
            <w:tcW w:w="1713" w:type="dxa"/>
          </w:tcPr>
          <w:p w:rsidR="00000000" w:rsidRDefault="00000000">
            <w:pPr>
              <w:spacing w:before="40" w:after="40"/>
              <w:jc w:val="center"/>
            </w:pPr>
            <w:r>
              <w:t>3.88</w:t>
            </w:r>
          </w:p>
        </w:tc>
        <w:tc>
          <w:tcPr>
            <w:tcW w:w="1714" w:type="dxa"/>
          </w:tcPr>
          <w:p w:rsidR="00000000" w:rsidRDefault="00000000">
            <w:pPr>
              <w:spacing w:before="40" w:after="40"/>
              <w:jc w:val="center"/>
            </w:pPr>
            <w:r>
              <w:t>4.41</w:t>
            </w:r>
          </w:p>
        </w:tc>
      </w:tr>
      <w:tr w:rsidR="00000000">
        <w:tblPrEx>
          <w:tblCellMar>
            <w:top w:w="0" w:type="dxa"/>
            <w:bottom w:w="0" w:type="dxa"/>
          </w:tblCellMar>
        </w:tblPrEx>
        <w:trPr>
          <w:cantSplit/>
          <w:jc w:val="center"/>
        </w:trPr>
        <w:tc>
          <w:tcPr>
            <w:tcW w:w="1713" w:type="dxa"/>
          </w:tcPr>
          <w:p w:rsidR="00000000" w:rsidRDefault="00000000">
            <w:pPr>
              <w:spacing w:before="40" w:after="40"/>
            </w:pPr>
            <w:r>
              <w:t>South</w:t>
            </w:r>
          </w:p>
        </w:tc>
        <w:tc>
          <w:tcPr>
            <w:tcW w:w="1713" w:type="dxa"/>
          </w:tcPr>
          <w:p w:rsidR="00000000" w:rsidRDefault="00000000">
            <w:pPr>
              <w:spacing w:before="40" w:after="40"/>
              <w:jc w:val="center"/>
            </w:pPr>
            <w:r>
              <w:t>3.75</w:t>
            </w:r>
          </w:p>
        </w:tc>
        <w:tc>
          <w:tcPr>
            <w:tcW w:w="1714" w:type="dxa"/>
          </w:tcPr>
          <w:p w:rsidR="00000000" w:rsidRDefault="00000000">
            <w:pPr>
              <w:spacing w:before="40" w:after="40"/>
              <w:jc w:val="center"/>
            </w:pPr>
            <w:r>
              <w:t>4.18</w:t>
            </w:r>
          </w:p>
        </w:tc>
      </w:tr>
      <w:tr w:rsidR="00000000">
        <w:tblPrEx>
          <w:tblCellMar>
            <w:top w:w="0" w:type="dxa"/>
            <w:bottom w:w="0" w:type="dxa"/>
          </w:tblCellMar>
        </w:tblPrEx>
        <w:trPr>
          <w:cantSplit/>
          <w:jc w:val="center"/>
        </w:trPr>
        <w:tc>
          <w:tcPr>
            <w:tcW w:w="1713" w:type="dxa"/>
          </w:tcPr>
          <w:p w:rsidR="00000000" w:rsidRDefault="00000000">
            <w:pPr>
              <w:spacing w:before="40" w:after="40"/>
            </w:pPr>
            <w:r>
              <w:t>Centre-west</w:t>
            </w:r>
          </w:p>
        </w:tc>
        <w:tc>
          <w:tcPr>
            <w:tcW w:w="1713" w:type="dxa"/>
          </w:tcPr>
          <w:p w:rsidR="00000000" w:rsidRDefault="00000000">
            <w:pPr>
              <w:spacing w:before="40" w:after="40"/>
              <w:jc w:val="center"/>
            </w:pPr>
            <w:r>
              <w:t>4.13</w:t>
            </w:r>
          </w:p>
        </w:tc>
        <w:tc>
          <w:tcPr>
            <w:tcW w:w="1714" w:type="dxa"/>
          </w:tcPr>
          <w:p w:rsidR="00000000" w:rsidRDefault="00000000">
            <w:pPr>
              <w:spacing w:before="40" w:after="40"/>
              <w:jc w:val="center"/>
            </w:pPr>
            <w:r>
              <w:t>4.17</w:t>
            </w:r>
          </w:p>
        </w:tc>
      </w:tr>
    </w:tbl>
    <w:p w:rsidR="00000000" w:rsidRDefault="00000000">
      <w:pPr>
        <w:rPr>
          <w:spacing w:val="20"/>
          <w:kern w:val="16"/>
        </w:rPr>
      </w:pPr>
    </w:p>
    <w:p w:rsidR="00000000" w:rsidRDefault="00000000">
      <w:pPr>
        <w:rPr>
          <w:kern w:val="16"/>
        </w:rPr>
      </w:pPr>
      <w:r>
        <w:rPr>
          <w:kern w:val="16"/>
        </w:rPr>
        <w:tab/>
      </w:r>
      <w:r>
        <w:rPr>
          <w:kern w:val="16"/>
        </w:rPr>
        <w:tab/>
      </w:r>
      <w:r>
        <w:rPr>
          <w:kern w:val="16"/>
        </w:rPr>
        <w:tab/>
        <w:t xml:space="preserve">      </w:t>
      </w:r>
      <w:r>
        <w:rPr>
          <w:kern w:val="16"/>
          <w:u w:val="single"/>
        </w:rPr>
        <w:t>Source</w:t>
      </w:r>
      <w:r>
        <w:rPr>
          <w:kern w:val="16"/>
        </w:rPr>
        <w:t xml:space="preserve">:  IBGE </w:t>
      </w:r>
      <w:r>
        <w:rPr>
          <w:kern w:val="16"/>
        </w:rPr>
        <w:noBreakHyphen/>
        <w:t xml:space="preserve"> 1991 Demographic Census.</w:t>
      </w:r>
    </w:p>
    <w:p w:rsidR="00000000" w:rsidRDefault="00000000">
      <w:pPr>
        <w:rPr>
          <w:spacing w:val="20"/>
          <w:kern w:val="16"/>
        </w:rPr>
      </w:pPr>
    </w:p>
    <w:p w:rsidR="00000000" w:rsidRDefault="00000000">
      <w:pPr>
        <w:pStyle w:val="Heading1"/>
        <w:rPr>
          <w:kern w:val="20"/>
        </w:rPr>
      </w:pPr>
      <w:r>
        <w:rPr>
          <w:kern w:val="20"/>
          <w:sz w:val="22"/>
        </w:rPr>
        <w:br w:type="page"/>
      </w:r>
      <w:r>
        <w:rPr>
          <w:kern w:val="20"/>
        </w:rPr>
        <w:t>Table 62</w:t>
      </w:r>
    </w:p>
    <w:p w:rsidR="00000000" w:rsidRDefault="00000000"/>
    <w:p w:rsidR="00000000" w:rsidRDefault="00000000">
      <w:pPr>
        <w:pStyle w:val="Heading1"/>
        <w:rPr>
          <w:kern w:val="20"/>
        </w:rPr>
      </w:pPr>
      <w:r>
        <w:rPr>
          <w:kern w:val="20"/>
        </w:rPr>
        <w:t>Average number of people by household and by bedroom, 1997</w:t>
      </w:r>
    </w:p>
    <w:p w:rsidR="00000000" w:rsidRDefault="00000000">
      <w:pPr>
        <w:spacing w:before="40" w:after="40"/>
        <w:rPr>
          <w:spacing w:val="20"/>
          <w:kern w:val="20"/>
        </w:rPr>
      </w:pPr>
    </w:p>
    <w:tbl>
      <w:tblPr>
        <w:tblW w:w="0" w:type="auto"/>
        <w:jc w:val="center"/>
        <w:tblBorders>
          <w:top w:val="single" w:sz="2" w:space="0" w:color="000000"/>
          <w:left w:val="single" w:sz="2" w:space="0" w:color="000000"/>
          <w:bottom w:val="single" w:sz="2" w:space="0" w:color="000000"/>
          <w:right w:val="single" w:sz="2" w:space="0" w:color="000000"/>
          <w:insideV w:val="single" w:sz="2" w:space="0" w:color="000000"/>
        </w:tblBorders>
        <w:tblLayout w:type="fixed"/>
        <w:tblCellMar>
          <w:left w:w="70" w:type="dxa"/>
          <w:right w:w="70" w:type="dxa"/>
        </w:tblCellMar>
        <w:tblLook w:val="0000" w:firstRow="0" w:lastRow="0" w:firstColumn="0" w:lastColumn="0" w:noHBand="0" w:noVBand="0"/>
      </w:tblPr>
      <w:tblGrid>
        <w:gridCol w:w="1521"/>
        <w:gridCol w:w="1346"/>
        <w:gridCol w:w="1347"/>
        <w:gridCol w:w="843"/>
        <w:gridCol w:w="844"/>
        <w:gridCol w:w="864"/>
        <w:gridCol w:w="823"/>
        <w:gridCol w:w="844"/>
        <w:gridCol w:w="844"/>
      </w:tblGrid>
      <w:tr w:rsidR="00000000">
        <w:tblPrEx>
          <w:tblCellMar>
            <w:top w:w="0" w:type="dxa"/>
            <w:bottom w:w="0" w:type="dxa"/>
          </w:tblCellMar>
        </w:tblPrEx>
        <w:trPr>
          <w:cantSplit/>
          <w:jc w:val="center"/>
        </w:trPr>
        <w:tc>
          <w:tcPr>
            <w:tcW w:w="1521" w:type="dxa"/>
            <w:vMerge w:val="restart"/>
          </w:tcPr>
          <w:p w:rsidR="00000000" w:rsidRDefault="00000000">
            <w:pPr>
              <w:jc w:val="center"/>
            </w:pPr>
            <w:r>
              <w:t>Location</w:t>
            </w:r>
          </w:p>
        </w:tc>
        <w:tc>
          <w:tcPr>
            <w:tcW w:w="1346" w:type="dxa"/>
            <w:vMerge w:val="restart"/>
          </w:tcPr>
          <w:p w:rsidR="00000000" w:rsidRDefault="00000000">
            <w:pPr>
              <w:jc w:val="center"/>
            </w:pPr>
            <w:r>
              <w:t>Total No. of households</w:t>
            </w:r>
          </w:p>
        </w:tc>
        <w:tc>
          <w:tcPr>
            <w:tcW w:w="1347" w:type="dxa"/>
            <w:vMerge w:val="restart"/>
          </w:tcPr>
          <w:p w:rsidR="00000000" w:rsidRDefault="00000000">
            <w:pPr>
              <w:jc w:val="center"/>
            </w:pPr>
            <w:r>
              <w:t>Total No. of people</w:t>
            </w:r>
          </w:p>
        </w:tc>
        <w:tc>
          <w:tcPr>
            <w:tcW w:w="2551" w:type="dxa"/>
            <w:gridSpan w:val="3"/>
            <w:tcBorders>
              <w:bottom w:val="single" w:sz="2" w:space="0" w:color="000000"/>
            </w:tcBorders>
          </w:tcPr>
          <w:p w:rsidR="00000000" w:rsidRDefault="00000000">
            <w:pPr>
              <w:jc w:val="center"/>
            </w:pPr>
            <w:r>
              <w:t>Average No. of people per household</w:t>
            </w:r>
          </w:p>
        </w:tc>
        <w:tc>
          <w:tcPr>
            <w:tcW w:w="2511" w:type="dxa"/>
            <w:gridSpan w:val="3"/>
            <w:tcBorders>
              <w:bottom w:val="single" w:sz="2" w:space="0" w:color="000000"/>
            </w:tcBorders>
          </w:tcPr>
          <w:p w:rsidR="00000000" w:rsidRDefault="00000000">
            <w:pPr>
              <w:jc w:val="center"/>
            </w:pPr>
            <w:r>
              <w:t>Average No. of people per bedroom</w:t>
            </w:r>
          </w:p>
        </w:tc>
      </w:tr>
      <w:tr w:rsidR="00000000">
        <w:tblPrEx>
          <w:tblCellMar>
            <w:top w:w="0" w:type="dxa"/>
            <w:bottom w:w="0" w:type="dxa"/>
          </w:tblCellMar>
        </w:tblPrEx>
        <w:trPr>
          <w:cantSplit/>
          <w:jc w:val="center"/>
        </w:trPr>
        <w:tc>
          <w:tcPr>
            <w:tcW w:w="1521" w:type="dxa"/>
            <w:vMerge/>
            <w:tcBorders>
              <w:bottom w:val="single" w:sz="2" w:space="0" w:color="000000"/>
            </w:tcBorders>
            <w:vAlign w:val="center"/>
          </w:tcPr>
          <w:p w:rsidR="00000000" w:rsidRDefault="00000000"/>
        </w:tc>
        <w:tc>
          <w:tcPr>
            <w:tcW w:w="1346" w:type="dxa"/>
            <w:vMerge/>
            <w:tcBorders>
              <w:bottom w:val="single" w:sz="2" w:space="0" w:color="000000"/>
            </w:tcBorders>
            <w:vAlign w:val="center"/>
          </w:tcPr>
          <w:p w:rsidR="00000000" w:rsidRDefault="00000000"/>
        </w:tc>
        <w:tc>
          <w:tcPr>
            <w:tcW w:w="1347" w:type="dxa"/>
            <w:vMerge/>
            <w:tcBorders>
              <w:bottom w:val="single" w:sz="2" w:space="0" w:color="000000"/>
            </w:tcBorders>
            <w:vAlign w:val="center"/>
          </w:tcPr>
          <w:p w:rsidR="00000000" w:rsidRDefault="00000000"/>
        </w:tc>
        <w:tc>
          <w:tcPr>
            <w:tcW w:w="843" w:type="dxa"/>
            <w:tcBorders>
              <w:top w:val="single" w:sz="2" w:space="0" w:color="000000"/>
              <w:bottom w:val="single" w:sz="2" w:space="0" w:color="000000"/>
            </w:tcBorders>
            <w:vAlign w:val="center"/>
          </w:tcPr>
          <w:p w:rsidR="00000000" w:rsidRDefault="00000000">
            <w:r>
              <w:t>Total</w:t>
            </w:r>
          </w:p>
        </w:tc>
        <w:tc>
          <w:tcPr>
            <w:tcW w:w="844" w:type="dxa"/>
            <w:tcBorders>
              <w:top w:val="single" w:sz="2" w:space="0" w:color="000000"/>
              <w:bottom w:val="single" w:sz="2" w:space="0" w:color="000000"/>
            </w:tcBorders>
            <w:vAlign w:val="center"/>
          </w:tcPr>
          <w:p w:rsidR="00000000" w:rsidRDefault="00000000">
            <w:r>
              <w:t>Urban</w:t>
            </w:r>
          </w:p>
        </w:tc>
        <w:tc>
          <w:tcPr>
            <w:tcW w:w="864" w:type="dxa"/>
            <w:tcBorders>
              <w:top w:val="single" w:sz="2" w:space="0" w:color="000000"/>
              <w:bottom w:val="single" w:sz="2" w:space="0" w:color="000000"/>
            </w:tcBorders>
            <w:vAlign w:val="center"/>
          </w:tcPr>
          <w:p w:rsidR="00000000" w:rsidRDefault="00000000">
            <w:r>
              <w:t>Rural</w:t>
            </w:r>
          </w:p>
        </w:tc>
        <w:tc>
          <w:tcPr>
            <w:tcW w:w="823" w:type="dxa"/>
            <w:tcBorders>
              <w:top w:val="single" w:sz="2" w:space="0" w:color="000000"/>
              <w:bottom w:val="single" w:sz="2" w:space="0" w:color="000000"/>
            </w:tcBorders>
            <w:vAlign w:val="center"/>
          </w:tcPr>
          <w:p w:rsidR="00000000" w:rsidRDefault="00000000">
            <w:r>
              <w:t>Total</w:t>
            </w:r>
          </w:p>
        </w:tc>
        <w:tc>
          <w:tcPr>
            <w:tcW w:w="844" w:type="dxa"/>
            <w:tcBorders>
              <w:top w:val="single" w:sz="2" w:space="0" w:color="000000"/>
              <w:bottom w:val="single" w:sz="2" w:space="0" w:color="000000"/>
            </w:tcBorders>
            <w:vAlign w:val="center"/>
          </w:tcPr>
          <w:p w:rsidR="00000000" w:rsidRDefault="00000000">
            <w:r>
              <w:t>Urban</w:t>
            </w:r>
          </w:p>
        </w:tc>
        <w:tc>
          <w:tcPr>
            <w:tcW w:w="844" w:type="dxa"/>
            <w:tcBorders>
              <w:top w:val="single" w:sz="2" w:space="0" w:color="000000"/>
              <w:bottom w:val="single" w:sz="2" w:space="0" w:color="000000"/>
            </w:tcBorders>
            <w:vAlign w:val="center"/>
          </w:tcPr>
          <w:p w:rsidR="00000000" w:rsidRDefault="00000000">
            <w:r>
              <w:t>Rural</w:t>
            </w:r>
          </w:p>
        </w:tc>
      </w:tr>
      <w:tr w:rsidR="00000000">
        <w:tblPrEx>
          <w:tblCellMar>
            <w:top w:w="0" w:type="dxa"/>
            <w:bottom w:w="0" w:type="dxa"/>
          </w:tblCellMar>
        </w:tblPrEx>
        <w:trPr>
          <w:cantSplit/>
          <w:jc w:val="center"/>
        </w:trPr>
        <w:tc>
          <w:tcPr>
            <w:tcW w:w="1521" w:type="dxa"/>
            <w:tcBorders>
              <w:top w:val="single" w:sz="2" w:space="0" w:color="000000"/>
              <w:bottom w:val="nil"/>
            </w:tcBorders>
            <w:vAlign w:val="center"/>
          </w:tcPr>
          <w:p w:rsidR="00000000" w:rsidRDefault="00000000">
            <w:r>
              <w:t>Brazil</w:t>
            </w:r>
          </w:p>
        </w:tc>
        <w:tc>
          <w:tcPr>
            <w:tcW w:w="1346" w:type="dxa"/>
            <w:tcBorders>
              <w:top w:val="single" w:sz="2" w:space="0" w:color="000000"/>
              <w:bottom w:val="nil"/>
            </w:tcBorders>
            <w:vAlign w:val="center"/>
          </w:tcPr>
          <w:p w:rsidR="00000000" w:rsidRDefault="00000000">
            <w:pPr>
              <w:jc w:val="right"/>
            </w:pPr>
            <w:r>
              <w:t>40 644 623</w:t>
            </w:r>
          </w:p>
        </w:tc>
        <w:tc>
          <w:tcPr>
            <w:tcW w:w="1347" w:type="dxa"/>
            <w:tcBorders>
              <w:top w:val="single" w:sz="2" w:space="0" w:color="000000"/>
              <w:bottom w:val="nil"/>
            </w:tcBorders>
            <w:vAlign w:val="center"/>
          </w:tcPr>
          <w:p w:rsidR="00000000" w:rsidRDefault="00000000">
            <w:pPr>
              <w:jc w:val="right"/>
            </w:pPr>
            <w:r>
              <w:t>155 881 331</w:t>
            </w:r>
          </w:p>
        </w:tc>
        <w:tc>
          <w:tcPr>
            <w:tcW w:w="843" w:type="dxa"/>
            <w:tcBorders>
              <w:top w:val="single" w:sz="2" w:space="0" w:color="000000"/>
              <w:bottom w:val="nil"/>
            </w:tcBorders>
            <w:vAlign w:val="center"/>
          </w:tcPr>
          <w:p w:rsidR="00000000" w:rsidRDefault="00000000">
            <w:pPr>
              <w:ind w:right="170"/>
              <w:jc w:val="right"/>
            </w:pPr>
            <w:r>
              <w:t>3.8</w:t>
            </w:r>
          </w:p>
        </w:tc>
        <w:tc>
          <w:tcPr>
            <w:tcW w:w="844" w:type="dxa"/>
            <w:tcBorders>
              <w:top w:val="single" w:sz="2" w:space="0" w:color="000000"/>
              <w:bottom w:val="nil"/>
            </w:tcBorders>
            <w:vAlign w:val="center"/>
          </w:tcPr>
          <w:p w:rsidR="00000000" w:rsidRDefault="00000000">
            <w:pPr>
              <w:ind w:right="170"/>
              <w:jc w:val="right"/>
            </w:pPr>
            <w:r>
              <w:t>3.8</w:t>
            </w:r>
          </w:p>
        </w:tc>
        <w:tc>
          <w:tcPr>
            <w:tcW w:w="864" w:type="dxa"/>
            <w:tcBorders>
              <w:top w:val="single" w:sz="2" w:space="0" w:color="000000"/>
              <w:bottom w:val="nil"/>
            </w:tcBorders>
            <w:vAlign w:val="center"/>
          </w:tcPr>
          <w:p w:rsidR="00000000" w:rsidRDefault="00000000">
            <w:pPr>
              <w:ind w:right="170"/>
              <w:jc w:val="right"/>
            </w:pPr>
            <w:r>
              <w:t>4.1</w:t>
            </w:r>
          </w:p>
        </w:tc>
        <w:tc>
          <w:tcPr>
            <w:tcW w:w="823" w:type="dxa"/>
            <w:tcBorders>
              <w:top w:val="single" w:sz="2" w:space="0" w:color="000000"/>
              <w:bottom w:val="nil"/>
            </w:tcBorders>
            <w:vAlign w:val="center"/>
          </w:tcPr>
          <w:p w:rsidR="00000000" w:rsidRDefault="00000000">
            <w:pPr>
              <w:ind w:right="170"/>
              <w:jc w:val="right"/>
            </w:pPr>
            <w:r>
              <w:t>1.9</w:t>
            </w:r>
          </w:p>
        </w:tc>
        <w:tc>
          <w:tcPr>
            <w:tcW w:w="844" w:type="dxa"/>
            <w:tcBorders>
              <w:top w:val="single" w:sz="2" w:space="0" w:color="000000"/>
              <w:bottom w:val="nil"/>
            </w:tcBorders>
            <w:vAlign w:val="center"/>
          </w:tcPr>
          <w:p w:rsidR="00000000" w:rsidRDefault="00000000">
            <w:pPr>
              <w:ind w:right="170"/>
              <w:jc w:val="right"/>
            </w:pPr>
            <w:r>
              <w:t>1.9</w:t>
            </w:r>
          </w:p>
        </w:tc>
        <w:tc>
          <w:tcPr>
            <w:tcW w:w="844" w:type="dxa"/>
            <w:tcBorders>
              <w:top w:val="single" w:sz="2" w:space="0" w:color="000000"/>
              <w:bottom w:val="nil"/>
            </w:tcBorders>
            <w:vAlign w:val="center"/>
          </w:tcPr>
          <w:p w:rsidR="00000000" w:rsidRDefault="00000000">
            <w:pPr>
              <w:ind w:right="170"/>
              <w:jc w:val="right"/>
            </w:pPr>
            <w:r>
              <w:t>2.1</w:t>
            </w:r>
          </w:p>
        </w:tc>
      </w:tr>
      <w:tr w:rsidR="00000000">
        <w:tblPrEx>
          <w:tblCellMar>
            <w:top w:w="0" w:type="dxa"/>
            <w:bottom w:w="0" w:type="dxa"/>
          </w:tblCellMar>
        </w:tblPrEx>
        <w:trPr>
          <w:cantSplit/>
          <w:jc w:val="center"/>
        </w:trPr>
        <w:tc>
          <w:tcPr>
            <w:tcW w:w="1521" w:type="dxa"/>
            <w:tcBorders>
              <w:top w:val="nil"/>
            </w:tcBorders>
            <w:vAlign w:val="center"/>
          </w:tcPr>
          <w:p w:rsidR="00000000" w:rsidRDefault="00000000">
            <w:r>
              <w:t>North</w:t>
            </w:r>
          </w:p>
        </w:tc>
        <w:tc>
          <w:tcPr>
            <w:tcW w:w="1346" w:type="dxa"/>
            <w:tcBorders>
              <w:top w:val="nil"/>
            </w:tcBorders>
            <w:vAlign w:val="center"/>
          </w:tcPr>
          <w:p w:rsidR="00000000" w:rsidRDefault="00000000">
            <w:pPr>
              <w:jc w:val="right"/>
            </w:pPr>
            <w:r>
              <w:t>1 625 591</w:t>
            </w:r>
          </w:p>
        </w:tc>
        <w:tc>
          <w:tcPr>
            <w:tcW w:w="1347" w:type="dxa"/>
            <w:tcBorders>
              <w:top w:val="nil"/>
            </w:tcBorders>
            <w:vAlign w:val="center"/>
          </w:tcPr>
          <w:p w:rsidR="00000000" w:rsidRDefault="00000000">
            <w:pPr>
              <w:jc w:val="right"/>
            </w:pPr>
            <w:r>
              <w:t>7 345 161</w:t>
            </w:r>
          </w:p>
        </w:tc>
        <w:tc>
          <w:tcPr>
            <w:tcW w:w="843" w:type="dxa"/>
            <w:tcBorders>
              <w:top w:val="nil"/>
            </w:tcBorders>
            <w:vAlign w:val="center"/>
          </w:tcPr>
          <w:p w:rsidR="00000000" w:rsidRDefault="00000000">
            <w:pPr>
              <w:ind w:right="170"/>
              <w:jc w:val="right"/>
            </w:pPr>
            <w:r>
              <w:t>4.5</w:t>
            </w:r>
          </w:p>
        </w:tc>
        <w:tc>
          <w:tcPr>
            <w:tcW w:w="844" w:type="dxa"/>
            <w:tcBorders>
              <w:top w:val="nil"/>
            </w:tcBorders>
            <w:vAlign w:val="center"/>
          </w:tcPr>
          <w:p w:rsidR="00000000" w:rsidRDefault="00000000">
            <w:pPr>
              <w:ind w:right="170"/>
              <w:jc w:val="right"/>
            </w:pPr>
            <w:r>
              <w:t>4.5</w:t>
            </w:r>
          </w:p>
        </w:tc>
        <w:tc>
          <w:tcPr>
            <w:tcW w:w="864" w:type="dxa"/>
            <w:tcBorders>
              <w:top w:val="nil"/>
            </w:tcBorders>
            <w:vAlign w:val="center"/>
          </w:tcPr>
          <w:p w:rsidR="00000000" w:rsidRDefault="00000000">
            <w:pPr>
              <w:ind w:right="170"/>
              <w:jc w:val="right"/>
            </w:pPr>
            <w:r>
              <w:noBreakHyphen/>
            </w:r>
          </w:p>
        </w:tc>
        <w:tc>
          <w:tcPr>
            <w:tcW w:w="823" w:type="dxa"/>
            <w:tcBorders>
              <w:top w:val="nil"/>
            </w:tcBorders>
            <w:vAlign w:val="center"/>
          </w:tcPr>
          <w:p w:rsidR="00000000" w:rsidRDefault="00000000">
            <w:pPr>
              <w:ind w:right="170"/>
              <w:jc w:val="right"/>
            </w:pPr>
            <w:r>
              <w:t>2.2</w:t>
            </w:r>
          </w:p>
        </w:tc>
        <w:tc>
          <w:tcPr>
            <w:tcW w:w="844" w:type="dxa"/>
            <w:tcBorders>
              <w:top w:val="nil"/>
            </w:tcBorders>
            <w:vAlign w:val="center"/>
          </w:tcPr>
          <w:p w:rsidR="00000000" w:rsidRDefault="00000000">
            <w:pPr>
              <w:ind w:right="170"/>
              <w:jc w:val="right"/>
            </w:pPr>
            <w:r>
              <w:t>2.2</w:t>
            </w:r>
          </w:p>
        </w:tc>
        <w:tc>
          <w:tcPr>
            <w:tcW w:w="844" w:type="dxa"/>
            <w:tcBorders>
              <w:top w:val="nil"/>
            </w:tcBorders>
            <w:vAlign w:val="center"/>
          </w:tcPr>
          <w:p w:rsidR="00000000" w:rsidRDefault="00000000">
            <w:pPr>
              <w:ind w:right="170"/>
              <w:jc w:val="right"/>
            </w:pPr>
            <w:r>
              <w:noBreakHyphen/>
            </w:r>
          </w:p>
        </w:tc>
      </w:tr>
      <w:tr w:rsidR="00000000">
        <w:tblPrEx>
          <w:tblCellMar>
            <w:top w:w="0" w:type="dxa"/>
            <w:bottom w:w="0" w:type="dxa"/>
          </w:tblCellMar>
        </w:tblPrEx>
        <w:trPr>
          <w:cantSplit/>
          <w:jc w:val="center"/>
        </w:trPr>
        <w:tc>
          <w:tcPr>
            <w:tcW w:w="1521" w:type="dxa"/>
            <w:vAlign w:val="center"/>
          </w:tcPr>
          <w:p w:rsidR="00000000" w:rsidRDefault="00000000">
            <w:r>
              <w:t>North</w:t>
            </w:r>
            <w:r>
              <w:noBreakHyphen/>
              <w:t>east</w:t>
            </w:r>
          </w:p>
        </w:tc>
        <w:tc>
          <w:tcPr>
            <w:tcW w:w="1346" w:type="dxa"/>
            <w:vAlign w:val="center"/>
          </w:tcPr>
          <w:p w:rsidR="00000000" w:rsidRDefault="00000000">
            <w:pPr>
              <w:jc w:val="right"/>
            </w:pPr>
            <w:r>
              <w:t>10 762 430</w:t>
            </w:r>
          </w:p>
        </w:tc>
        <w:tc>
          <w:tcPr>
            <w:tcW w:w="1347" w:type="dxa"/>
            <w:vAlign w:val="center"/>
          </w:tcPr>
          <w:p w:rsidR="00000000" w:rsidRDefault="00000000">
            <w:pPr>
              <w:jc w:val="right"/>
            </w:pPr>
            <w:r>
              <w:t>45 378 328</w:t>
            </w:r>
          </w:p>
        </w:tc>
        <w:tc>
          <w:tcPr>
            <w:tcW w:w="843" w:type="dxa"/>
            <w:vAlign w:val="center"/>
          </w:tcPr>
          <w:p w:rsidR="00000000" w:rsidRDefault="00000000">
            <w:pPr>
              <w:ind w:right="170"/>
              <w:jc w:val="right"/>
            </w:pPr>
            <w:r>
              <w:t>4.2</w:t>
            </w:r>
          </w:p>
        </w:tc>
        <w:tc>
          <w:tcPr>
            <w:tcW w:w="844" w:type="dxa"/>
            <w:vAlign w:val="center"/>
          </w:tcPr>
          <w:p w:rsidR="00000000" w:rsidRDefault="00000000">
            <w:pPr>
              <w:ind w:right="170"/>
              <w:jc w:val="right"/>
            </w:pPr>
            <w:r>
              <w:t>4.1</w:t>
            </w:r>
          </w:p>
        </w:tc>
        <w:tc>
          <w:tcPr>
            <w:tcW w:w="864" w:type="dxa"/>
            <w:vAlign w:val="center"/>
          </w:tcPr>
          <w:p w:rsidR="00000000" w:rsidRDefault="00000000">
            <w:pPr>
              <w:ind w:right="170"/>
              <w:jc w:val="right"/>
            </w:pPr>
            <w:r>
              <w:t>4.4</w:t>
            </w:r>
          </w:p>
        </w:tc>
        <w:tc>
          <w:tcPr>
            <w:tcW w:w="823" w:type="dxa"/>
            <w:vAlign w:val="center"/>
          </w:tcPr>
          <w:p w:rsidR="00000000" w:rsidRDefault="00000000">
            <w:pPr>
              <w:ind w:right="170"/>
              <w:jc w:val="right"/>
            </w:pPr>
            <w:r>
              <w:t>2.0</w:t>
            </w:r>
          </w:p>
        </w:tc>
        <w:tc>
          <w:tcPr>
            <w:tcW w:w="844" w:type="dxa"/>
            <w:vAlign w:val="center"/>
          </w:tcPr>
          <w:p w:rsidR="00000000" w:rsidRDefault="00000000">
            <w:pPr>
              <w:ind w:right="170"/>
              <w:jc w:val="right"/>
            </w:pPr>
            <w:r>
              <w:t>2.0</w:t>
            </w:r>
          </w:p>
        </w:tc>
        <w:tc>
          <w:tcPr>
            <w:tcW w:w="844" w:type="dxa"/>
            <w:vAlign w:val="center"/>
          </w:tcPr>
          <w:p w:rsidR="00000000" w:rsidRDefault="00000000">
            <w:pPr>
              <w:ind w:right="170"/>
              <w:jc w:val="right"/>
            </w:pPr>
            <w:r>
              <w:t>2.3</w:t>
            </w:r>
          </w:p>
        </w:tc>
      </w:tr>
      <w:tr w:rsidR="00000000">
        <w:tblPrEx>
          <w:tblCellMar>
            <w:top w:w="0" w:type="dxa"/>
            <w:bottom w:w="0" w:type="dxa"/>
          </w:tblCellMar>
        </w:tblPrEx>
        <w:trPr>
          <w:cantSplit/>
          <w:jc w:val="center"/>
        </w:trPr>
        <w:tc>
          <w:tcPr>
            <w:tcW w:w="1521" w:type="dxa"/>
            <w:vAlign w:val="center"/>
          </w:tcPr>
          <w:p w:rsidR="00000000" w:rsidRDefault="00000000">
            <w:r>
              <w:t>South</w:t>
            </w:r>
            <w:r>
              <w:noBreakHyphen/>
              <w:t>east</w:t>
            </w:r>
          </w:p>
        </w:tc>
        <w:tc>
          <w:tcPr>
            <w:tcW w:w="1346" w:type="dxa"/>
            <w:vAlign w:val="center"/>
          </w:tcPr>
          <w:p w:rsidR="00000000" w:rsidRDefault="00000000">
            <w:pPr>
              <w:jc w:val="right"/>
            </w:pPr>
            <w:r>
              <w:t>18 603 231</w:t>
            </w:r>
          </w:p>
        </w:tc>
        <w:tc>
          <w:tcPr>
            <w:tcW w:w="1347" w:type="dxa"/>
            <w:vAlign w:val="center"/>
          </w:tcPr>
          <w:p w:rsidR="00000000" w:rsidRDefault="00000000">
            <w:pPr>
              <w:jc w:val="right"/>
            </w:pPr>
            <w:r>
              <w:t>68 182 339</w:t>
            </w:r>
          </w:p>
        </w:tc>
        <w:tc>
          <w:tcPr>
            <w:tcW w:w="843" w:type="dxa"/>
            <w:vAlign w:val="center"/>
          </w:tcPr>
          <w:p w:rsidR="00000000" w:rsidRDefault="00000000">
            <w:pPr>
              <w:ind w:right="170"/>
              <w:jc w:val="right"/>
            </w:pPr>
            <w:r>
              <w:t>3.7</w:t>
            </w:r>
          </w:p>
        </w:tc>
        <w:tc>
          <w:tcPr>
            <w:tcW w:w="844" w:type="dxa"/>
            <w:vAlign w:val="center"/>
          </w:tcPr>
          <w:p w:rsidR="00000000" w:rsidRDefault="00000000">
            <w:pPr>
              <w:ind w:right="170"/>
              <w:jc w:val="right"/>
            </w:pPr>
            <w:r>
              <w:t>3.6</w:t>
            </w:r>
          </w:p>
        </w:tc>
        <w:tc>
          <w:tcPr>
            <w:tcW w:w="864" w:type="dxa"/>
            <w:vAlign w:val="center"/>
          </w:tcPr>
          <w:p w:rsidR="00000000" w:rsidRDefault="00000000">
            <w:pPr>
              <w:ind w:right="170"/>
              <w:jc w:val="right"/>
            </w:pPr>
            <w:r>
              <w:t>4.0</w:t>
            </w:r>
          </w:p>
        </w:tc>
        <w:tc>
          <w:tcPr>
            <w:tcW w:w="823" w:type="dxa"/>
            <w:vAlign w:val="center"/>
          </w:tcPr>
          <w:p w:rsidR="00000000" w:rsidRDefault="00000000">
            <w:pPr>
              <w:ind w:right="170"/>
              <w:jc w:val="right"/>
            </w:pPr>
            <w:r>
              <w:t>1.9</w:t>
            </w:r>
          </w:p>
        </w:tc>
        <w:tc>
          <w:tcPr>
            <w:tcW w:w="844" w:type="dxa"/>
            <w:vAlign w:val="center"/>
          </w:tcPr>
          <w:p w:rsidR="00000000" w:rsidRDefault="00000000">
            <w:pPr>
              <w:ind w:right="170"/>
              <w:jc w:val="right"/>
            </w:pPr>
            <w:r>
              <w:t>1.9</w:t>
            </w:r>
          </w:p>
        </w:tc>
        <w:tc>
          <w:tcPr>
            <w:tcW w:w="844" w:type="dxa"/>
            <w:vAlign w:val="center"/>
          </w:tcPr>
          <w:p w:rsidR="00000000" w:rsidRDefault="00000000">
            <w:pPr>
              <w:ind w:right="170"/>
              <w:jc w:val="right"/>
            </w:pPr>
            <w:r>
              <w:t>2.0</w:t>
            </w:r>
          </w:p>
        </w:tc>
      </w:tr>
      <w:tr w:rsidR="00000000">
        <w:tblPrEx>
          <w:tblCellMar>
            <w:top w:w="0" w:type="dxa"/>
            <w:bottom w:w="0" w:type="dxa"/>
          </w:tblCellMar>
        </w:tblPrEx>
        <w:trPr>
          <w:cantSplit/>
          <w:jc w:val="center"/>
        </w:trPr>
        <w:tc>
          <w:tcPr>
            <w:tcW w:w="1521" w:type="dxa"/>
            <w:vAlign w:val="center"/>
          </w:tcPr>
          <w:p w:rsidR="00000000" w:rsidRDefault="00000000">
            <w:r>
              <w:t>South</w:t>
            </w:r>
          </w:p>
        </w:tc>
        <w:tc>
          <w:tcPr>
            <w:tcW w:w="1346" w:type="dxa"/>
            <w:vAlign w:val="center"/>
          </w:tcPr>
          <w:p w:rsidR="00000000" w:rsidRDefault="00000000">
            <w:pPr>
              <w:jc w:val="right"/>
            </w:pPr>
            <w:r>
              <w:t>6 704 609</w:t>
            </w:r>
          </w:p>
        </w:tc>
        <w:tc>
          <w:tcPr>
            <w:tcW w:w="1347" w:type="dxa"/>
            <w:vAlign w:val="center"/>
          </w:tcPr>
          <w:p w:rsidR="00000000" w:rsidRDefault="00000000">
            <w:pPr>
              <w:jc w:val="right"/>
            </w:pPr>
            <w:r>
              <w:t>23 901 925</w:t>
            </w:r>
          </w:p>
        </w:tc>
        <w:tc>
          <w:tcPr>
            <w:tcW w:w="843" w:type="dxa"/>
            <w:vAlign w:val="center"/>
          </w:tcPr>
          <w:p w:rsidR="00000000" w:rsidRDefault="00000000">
            <w:pPr>
              <w:ind w:right="170"/>
              <w:jc w:val="right"/>
            </w:pPr>
            <w:r>
              <w:t>3.6</w:t>
            </w:r>
          </w:p>
        </w:tc>
        <w:tc>
          <w:tcPr>
            <w:tcW w:w="844" w:type="dxa"/>
            <w:vAlign w:val="center"/>
          </w:tcPr>
          <w:p w:rsidR="00000000" w:rsidRDefault="00000000">
            <w:pPr>
              <w:ind w:right="170"/>
              <w:jc w:val="right"/>
            </w:pPr>
            <w:r>
              <w:t>3.5</w:t>
            </w:r>
          </w:p>
        </w:tc>
        <w:tc>
          <w:tcPr>
            <w:tcW w:w="864" w:type="dxa"/>
            <w:vAlign w:val="center"/>
          </w:tcPr>
          <w:p w:rsidR="00000000" w:rsidRDefault="00000000">
            <w:pPr>
              <w:ind w:right="170"/>
              <w:jc w:val="right"/>
            </w:pPr>
            <w:r>
              <w:t>3.8</w:t>
            </w:r>
          </w:p>
        </w:tc>
        <w:tc>
          <w:tcPr>
            <w:tcW w:w="823" w:type="dxa"/>
            <w:vAlign w:val="center"/>
          </w:tcPr>
          <w:p w:rsidR="00000000" w:rsidRDefault="00000000">
            <w:pPr>
              <w:ind w:right="170"/>
              <w:jc w:val="right"/>
            </w:pPr>
            <w:r>
              <w:t>1.8</w:t>
            </w:r>
          </w:p>
        </w:tc>
        <w:tc>
          <w:tcPr>
            <w:tcW w:w="844" w:type="dxa"/>
            <w:vAlign w:val="center"/>
          </w:tcPr>
          <w:p w:rsidR="00000000" w:rsidRDefault="00000000">
            <w:pPr>
              <w:ind w:right="170"/>
              <w:jc w:val="right"/>
            </w:pPr>
            <w:r>
              <w:t>1.8</w:t>
            </w:r>
          </w:p>
        </w:tc>
        <w:tc>
          <w:tcPr>
            <w:tcW w:w="844" w:type="dxa"/>
            <w:vAlign w:val="center"/>
          </w:tcPr>
          <w:p w:rsidR="00000000" w:rsidRDefault="00000000">
            <w:pPr>
              <w:ind w:right="170"/>
              <w:jc w:val="right"/>
            </w:pPr>
            <w:r>
              <w:t>1.9</w:t>
            </w:r>
          </w:p>
        </w:tc>
      </w:tr>
      <w:tr w:rsidR="00000000">
        <w:tblPrEx>
          <w:tblCellMar>
            <w:top w:w="0" w:type="dxa"/>
            <w:bottom w:w="0" w:type="dxa"/>
          </w:tblCellMar>
        </w:tblPrEx>
        <w:trPr>
          <w:cantSplit/>
          <w:jc w:val="center"/>
        </w:trPr>
        <w:tc>
          <w:tcPr>
            <w:tcW w:w="1521" w:type="dxa"/>
            <w:vAlign w:val="center"/>
          </w:tcPr>
          <w:p w:rsidR="00000000" w:rsidRDefault="00000000">
            <w:r>
              <w:t>Centre-west</w:t>
            </w:r>
          </w:p>
        </w:tc>
        <w:tc>
          <w:tcPr>
            <w:tcW w:w="1346" w:type="dxa"/>
            <w:vAlign w:val="center"/>
          </w:tcPr>
          <w:p w:rsidR="00000000" w:rsidRDefault="00000000">
            <w:pPr>
              <w:jc w:val="right"/>
            </w:pPr>
            <w:r>
              <w:t>2 883 800</w:t>
            </w:r>
          </w:p>
        </w:tc>
        <w:tc>
          <w:tcPr>
            <w:tcW w:w="1347" w:type="dxa"/>
            <w:vAlign w:val="center"/>
          </w:tcPr>
          <w:p w:rsidR="00000000" w:rsidRDefault="00000000">
            <w:pPr>
              <w:jc w:val="right"/>
            </w:pPr>
            <w:r>
              <w:t>10 790 899</w:t>
            </w:r>
          </w:p>
        </w:tc>
        <w:tc>
          <w:tcPr>
            <w:tcW w:w="843" w:type="dxa"/>
            <w:vAlign w:val="center"/>
          </w:tcPr>
          <w:p w:rsidR="00000000" w:rsidRDefault="00000000">
            <w:pPr>
              <w:ind w:right="170"/>
              <w:jc w:val="right"/>
            </w:pPr>
            <w:r>
              <w:t>3.7</w:t>
            </w:r>
          </w:p>
        </w:tc>
        <w:tc>
          <w:tcPr>
            <w:tcW w:w="844" w:type="dxa"/>
            <w:vAlign w:val="center"/>
          </w:tcPr>
          <w:p w:rsidR="00000000" w:rsidRDefault="00000000">
            <w:pPr>
              <w:ind w:right="170"/>
              <w:jc w:val="right"/>
            </w:pPr>
            <w:r>
              <w:t>3.8</w:t>
            </w:r>
          </w:p>
        </w:tc>
        <w:tc>
          <w:tcPr>
            <w:tcW w:w="864" w:type="dxa"/>
            <w:vAlign w:val="center"/>
          </w:tcPr>
          <w:p w:rsidR="00000000" w:rsidRDefault="00000000">
            <w:pPr>
              <w:ind w:right="170"/>
              <w:jc w:val="right"/>
            </w:pPr>
            <w:r>
              <w:t>3.6</w:t>
            </w:r>
          </w:p>
        </w:tc>
        <w:tc>
          <w:tcPr>
            <w:tcW w:w="823" w:type="dxa"/>
            <w:vAlign w:val="center"/>
          </w:tcPr>
          <w:p w:rsidR="00000000" w:rsidRDefault="00000000">
            <w:pPr>
              <w:ind w:right="170"/>
              <w:jc w:val="right"/>
            </w:pPr>
            <w:r>
              <w:t>1.9</w:t>
            </w:r>
          </w:p>
        </w:tc>
        <w:tc>
          <w:tcPr>
            <w:tcW w:w="844" w:type="dxa"/>
            <w:vAlign w:val="center"/>
          </w:tcPr>
          <w:p w:rsidR="00000000" w:rsidRDefault="00000000">
            <w:pPr>
              <w:ind w:right="170"/>
              <w:jc w:val="right"/>
            </w:pPr>
            <w:r>
              <w:t>1.9</w:t>
            </w:r>
          </w:p>
        </w:tc>
        <w:tc>
          <w:tcPr>
            <w:tcW w:w="844" w:type="dxa"/>
            <w:vAlign w:val="center"/>
          </w:tcPr>
          <w:p w:rsidR="00000000" w:rsidRDefault="00000000">
            <w:pPr>
              <w:ind w:right="170"/>
              <w:jc w:val="right"/>
            </w:pPr>
            <w:r>
              <w:t>2.0</w:t>
            </w:r>
          </w:p>
        </w:tc>
      </w:tr>
    </w:tbl>
    <w:p w:rsidR="00000000" w:rsidRDefault="00000000">
      <w:pPr>
        <w:rPr>
          <w:spacing w:val="20"/>
          <w:kern w:val="16"/>
        </w:rPr>
      </w:pPr>
    </w:p>
    <w:p w:rsidR="00000000" w:rsidRDefault="00000000">
      <w:pPr>
        <w:rPr>
          <w:kern w:val="16"/>
        </w:rPr>
      </w:pPr>
      <w:r>
        <w:rPr>
          <w:kern w:val="16"/>
        </w:rPr>
        <w:tab/>
      </w:r>
      <w:r>
        <w:rPr>
          <w:kern w:val="16"/>
          <w:u w:val="single"/>
        </w:rPr>
        <w:t>Source</w:t>
      </w:r>
      <w:r>
        <w:rPr>
          <w:kern w:val="16"/>
        </w:rPr>
        <w:t xml:space="preserve">:  IBGE </w:t>
      </w:r>
      <w:r>
        <w:rPr>
          <w:kern w:val="16"/>
        </w:rPr>
        <w:noBreakHyphen/>
        <w:t xml:space="preserve"> 1998 Social Indicators Summary (based on the 1997 PNAD).</w:t>
      </w:r>
    </w:p>
    <w:p w:rsidR="00000000" w:rsidRDefault="00000000">
      <w:pPr>
        <w:rPr>
          <w:spacing w:val="20"/>
          <w:kern w:val="16"/>
        </w:rPr>
      </w:pPr>
    </w:p>
    <w:p w:rsidR="00000000" w:rsidRDefault="00000000">
      <w:pPr>
        <w:pStyle w:val="ParaNo"/>
        <w:tabs>
          <w:tab w:val="clear" w:pos="360"/>
          <w:tab w:val="clear" w:pos="737"/>
        </w:tabs>
        <w:rPr>
          <w:lang w:val="en-GB"/>
        </w:rPr>
      </w:pPr>
      <w:r>
        <w:rPr>
          <w:lang w:val="en-GB"/>
        </w:rPr>
        <w:t>The period 1980</w:t>
      </w:r>
      <w:r>
        <w:rPr>
          <w:lang w:val="en-GB"/>
        </w:rPr>
        <w:noBreakHyphen/>
        <w:t>1997 saw a rising tendency towards home ownership and a relative decline in rented and borrowed property, as shown in the table below.</w:t>
      </w:r>
    </w:p>
    <w:p w:rsidR="00000000" w:rsidRDefault="00000000"/>
    <w:p w:rsidR="00000000" w:rsidRDefault="00000000">
      <w:pPr>
        <w:pStyle w:val="Heading1"/>
        <w:rPr>
          <w:kern w:val="20"/>
        </w:rPr>
      </w:pPr>
      <w:r>
        <w:rPr>
          <w:kern w:val="20"/>
        </w:rPr>
        <w:t>Table 63</w:t>
      </w:r>
    </w:p>
    <w:p w:rsidR="00000000" w:rsidRDefault="00000000"/>
    <w:p w:rsidR="00000000" w:rsidRDefault="00000000">
      <w:pPr>
        <w:pStyle w:val="Heading1"/>
        <w:rPr>
          <w:kern w:val="20"/>
        </w:rPr>
      </w:pPr>
      <w:r>
        <w:rPr>
          <w:kern w:val="20"/>
        </w:rPr>
        <w:t>Permanent private homes by type of ownership, 1980</w:t>
      </w:r>
      <w:r>
        <w:rPr>
          <w:kern w:val="20"/>
        </w:rPr>
        <w:noBreakHyphen/>
        <w:t>1997</w:t>
      </w:r>
    </w:p>
    <w:p w:rsidR="00000000" w:rsidRDefault="00000000">
      <w:pPr>
        <w:rPr>
          <w:spacing w:val="20"/>
          <w:kern w:val="20"/>
        </w:rPr>
      </w:pPr>
    </w:p>
    <w:tbl>
      <w:tblPr>
        <w:tblW w:w="0" w:type="auto"/>
        <w:jc w:val="center"/>
        <w:tblLayout w:type="fixed"/>
        <w:tblCellMar>
          <w:left w:w="70" w:type="dxa"/>
          <w:right w:w="70" w:type="dxa"/>
        </w:tblCellMar>
        <w:tblLook w:val="0000" w:firstRow="0" w:lastRow="0" w:firstColumn="0" w:lastColumn="0" w:noHBand="0" w:noVBand="0"/>
      </w:tblPr>
      <w:tblGrid>
        <w:gridCol w:w="1927"/>
        <w:gridCol w:w="1544"/>
        <w:gridCol w:w="1545"/>
        <w:gridCol w:w="1544"/>
        <w:gridCol w:w="1545"/>
      </w:tblGrid>
      <w:tr w:rsidR="00000000">
        <w:tblPrEx>
          <w:tblCellMar>
            <w:top w:w="0" w:type="dxa"/>
            <w:bottom w:w="0" w:type="dxa"/>
          </w:tblCellMar>
        </w:tblPrEx>
        <w:trPr>
          <w:cantSplit/>
          <w:jc w:val="center"/>
        </w:trPr>
        <w:tc>
          <w:tcPr>
            <w:tcW w:w="1927"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auto"/>
              <w:jc w:val="center"/>
            </w:pPr>
            <w:r>
              <w:t>Property status</w:t>
            </w:r>
          </w:p>
        </w:tc>
        <w:tc>
          <w:tcPr>
            <w:tcW w:w="1544"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auto"/>
              <w:jc w:val="center"/>
            </w:pPr>
            <w:r>
              <w:t>1980*</w:t>
            </w:r>
          </w:p>
        </w:tc>
        <w:tc>
          <w:tcPr>
            <w:tcW w:w="1545"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auto"/>
              <w:jc w:val="center"/>
            </w:pPr>
            <w:r>
              <w:t>1991*</w:t>
            </w:r>
          </w:p>
        </w:tc>
        <w:tc>
          <w:tcPr>
            <w:tcW w:w="1544"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auto"/>
              <w:jc w:val="center"/>
            </w:pPr>
            <w:r>
              <w:t>1996**</w:t>
            </w:r>
          </w:p>
        </w:tc>
        <w:tc>
          <w:tcPr>
            <w:tcW w:w="1545"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auto"/>
              <w:jc w:val="center"/>
            </w:pPr>
            <w:r>
              <w:t>1997***</w:t>
            </w:r>
          </w:p>
        </w:tc>
      </w:tr>
      <w:tr w:rsidR="00000000">
        <w:tblPrEx>
          <w:tblCellMar>
            <w:top w:w="0" w:type="dxa"/>
            <w:bottom w:w="0" w:type="dxa"/>
          </w:tblCellMar>
        </w:tblPrEx>
        <w:trPr>
          <w:cantSplit/>
          <w:jc w:val="center"/>
        </w:trPr>
        <w:tc>
          <w:tcPr>
            <w:tcW w:w="1927" w:type="dxa"/>
            <w:tcBorders>
              <w:top w:val="single" w:sz="6" w:space="0" w:color="auto"/>
              <w:left w:val="single" w:sz="6" w:space="0" w:color="auto"/>
              <w:right w:val="single" w:sz="6" w:space="0" w:color="auto"/>
            </w:tcBorders>
            <w:vAlign w:val="center"/>
          </w:tcPr>
          <w:p w:rsidR="00000000" w:rsidRDefault="00000000">
            <w:pPr>
              <w:spacing w:line="360" w:lineRule="auto"/>
            </w:pPr>
            <w:r>
              <w:t>Own</w:t>
            </w:r>
          </w:p>
        </w:tc>
        <w:tc>
          <w:tcPr>
            <w:tcW w:w="1544" w:type="dxa"/>
            <w:tcBorders>
              <w:top w:val="single" w:sz="6" w:space="0" w:color="auto"/>
              <w:left w:val="single" w:sz="6" w:space="0" w:color="auto"/>
              <w:right w:val="single" w:sz="6" w:space="0" w:color="auto"/>
            </w:tcBorders>
            <w:vAlign w:val="center"/>
          </w:tcPr>
          <w:p w:rsidR="00000000" w:rsidRDefault="00000000">
            <w:pPr>
              <w:spacing w:line="360" w:lineRule="auto"/>
              <w:ind w:right="170"/>
              <w:jc w:val="right"/>
            </w:pPr>
            <w:r>
              <w:t>15 546 151</w:t>
            </w:r>
          </w:p>
        </w:tc>
        <w:tc>
          <w:tcPr>
            <w:tcW w:w="1545" w:type="dxa"/>
            <w:tcBorders>
              <w:top w:val="single" w:sz="6" w:space="0" w:color="auto"/>
              <w:left w:val="single" w:sz="6" w:space="0" w:color="auto"/>
              <w:right w:val="single" w:sz="6" w:space="0" w:color="auto"/>
            </w:tcBorders>
            <w:vAlign w:val="center"/>
          </w:tcPr>
          <w:p w:rsidR="00000000" w:rsidRDefault="00000000">
            <w:pPr>
              <w:spacing w:line="360" w:lineRule="auto"/>
              <w:ind w:right="170"/>
              <w:jc w:val="right"/>
            </w:pPr>
            <w:r>
              <w:t>24 261 954</w:t>
            </w:r>
          </w:p>
        </w:tc>
        <w:tc>
          <w:tcPr>
            <w:tcW w:w="1544" w:type="dxa"/>
            <w:tcBorders>
              <w:top w:val="single" w:sz="6" w:space="0" w:color="auto"/>
              <w:left w:val="single" w:sz="6" w:space="0" w:color="auto"/>
              <w:right w:val="single" w:sz="6" w:space="0" w:color="auto"/>
            </w:tcBorders>
            <w:vAlign w:val="center"/>
          </w:tcPr>
          <w:p w:rsidR="00000000" w:rsidRDefault="00000000">
            <w:pPr>
              <w:spacing w:line="360" w:lineRule="auto"/>
              <w:ind w:right="170"/>
              <w:jc w:val="right"/>
            </w:pPr>
            <w:r>
              <w:t>29 260 733</w:t>
            </w:r>
          </w:p>
        </w:tc>
        <w:tc>
          <w:tcPr>
            <w:tcW w:w="1545" w:type="dxa"/>
            <w:tcBorders>
              <w:top w:val="single" w:sz="6" w:space="0" w:color="auto"/>
              <w:left w:val="single" w:sz="6" w:space="0" w:color="auto"/>
              <w:right w:val="single" w:sz="6" w:space="0" w:color="auto"/>
            </w:tcBorders>
            <w:vAlign w:val="center"/>
          </w:tcPr>
          <w:p w:rsidR="00000000" w:rsidRDefault="00000000">
            <w:pPr>
              <w:spacing w:line="360" w:lineRule="auto"/>
              <w:ind w:right="170"/>
              <w:jc w:val="right"/>
            </w:pPr>
            <w:r>
              <w:t>29 969 039</w:t>
            </w:r>
          </w:p>
        </w:tc>
      </w:tr>
      <w:tr w:rsidR="00000000">
        <w:tblPrEx>
          <w:tblCellMar>
            <w:top w:w="0" w:type="dxa"/>
            <w:bottom w:w="0" w:type="dxa"/>
          </w:tblCellMar>
        </w:tblPrEx>
        <w:trPr>
          <w:cantSplit/>
          <w:jc w:val="center"/>
        </w:trPr>
        <w:tc>
          <w:tcPr>
            <w:tcW w:w="1927" w:type="dxa"/>
            <w:tcBorders>
              <w:left w:val="single" w:sz="6" w:space="0" w:color="auto"/>
              <w:right w:val="single" w:sz="6" w:space="0" w:color="auto"/>
            </w:tcBorders>
            <w:vAlign w:val="center"/>
          </w:tcPr>
          <w:p w:rsidR="00000000" w:rsidRDefault="00000000">
            <w:pPr>
              <w:spacing w:line="360" w:lineRule="auto"/>
            </w:pPr>
            <w:r>
              <w:t>Rented</w:t>
            </w:r>
          </w:p>
        </w:tc>
        <w:tc>
          <w:tcPr>
            <w:tcW w:w="1544" w:type="dxa"/>
            <w:tcBorders>
              <w:left w:val="single" w:sz="6" w:space="0" w:color="auto"/>
              <w:right w:val="single" w:sz="6" w:space="0" w:color="auto"/>
            </w:tcBorders>
            <w:vAlign w:val="center"/>
          </w:tcPr>
          <w:p w:rsidR="00000000" w:rsidRDefault="00000000">
            <w:pPr>
              <w:spacing w:line="360" w:lineRule="auto"/>
              <w:ind w:right="170"/>
              <w:jc w:val="right"/>
            </w:pPr>
            <w:r>
              <w:t>5 682 173</w:t>
            </w:r>
          </w:p>
        </w:tc>
        <w:tc>
          <w:tcPr>
            <w:tcW w:w="1545" w:type="dxa"/>
            <w:tcBorders>
              <w:left w:val="single" w:sz="6" w:space="0" w:color="auto"/>
              <w:right w:val="single" w:sz="6" w:space="0" w:color="auto"/>
            </w:tcBorders>
            <w:vAlign w:val="center"/>
          </w:tcPr>
          <w:p w:rsidR="00000000" w:rsidRDefault="00000000">
            <w:pPr>
              <w:spacing w:line="360" w:lineRule="auto"/>
              <w:ind w:right="170"/>
              <w:jc w:val="right"/>
            </w:pPr>
            <w:r>
              <w:t>5 689 170</w:t>
            </w:r>
          </w:p>
        </w:tc>
        <w:tc>
          <w:tcPr>
            <w:tcW w:w="1544" w:type="dxa"/>
            <w:tcBorders>
              <w:left w:val="single" w:sz="6" w:space="0" w:color="auto"/>
              <w:right w:val="single" w:sz="6" w:space="0" w:color="auto"/>
            </w:tcBorders>
            <w:vAlign w:val="center"/>
          </w:tcPr>
          <w:p w:rsidR="00000000" w:rsidRDefault="00000000">
            <w:pPr>
              <w:spacing w:line="360" w:lineRule="auto"/>
              <w:ind w:right="170"/>
              <w:jc w:val="right"/>
            </w:pPr>
            <w:r>
              <w:t>5 407 991</w:t>
            </w:r>
          </w:p>
        </w:tc>
        <w:tc>
          <w:tcPr>
            <w:tcW w:w="1545" w:type="dxa"/>
            <w:tcBorders>
              <w:left w:val="single" w:sz="6" w:space="0" w:color="auto"/>
              <w:right w:val="single" w:sz="6" w:space="0" w:color="auto"/>
            </w:tcBorders>
            <w:vAlign w:val="center"/>
          </w:tcPr>
          <w:p w:rsidR="00000000" w:rsidRDefault="00000000">
            <w:pPr>
              <w:spacing w:line="360" w:lineRule="auto"/>
              <w:ind w:right="170"/>
              <w:jc w:val="right"/>
            </w:pPr>
            <w:r>
              <w:t>5 561 748</w:t>
            </w:r>
          </w:p>
        </w:tc>
      </w:tr>
      <w:tr w:rsidR="00000000">
        <w:tblPrEx>
          <w:tblCellMar>
            <w:top w:w="0" w:type="dxa"/>
            <w:bottom w:w="0" w:type="dxa"/>
          </w:tblCellMar>
        </w:tblPrEx>
        <w:trPr>
          <w:cantSplit/>
          <w:jc w:val="center"/>
        </w:trPr>
        <w:tc>
          <w:tcPr>
            <w:tcW w:w="1927" w:type="dxa"/>
            <w:tcBorders>
              <w:left w:val="single" w:sz="6" w:space="0" w:color="auto"/>
              <w:right w:val="single" w:sz="6" w:space="0" w:color="auto"/>
            </w:tcBorders>
            <w:vAlign w:val="center"/>
          </w:tcPr>
          <w:p w:rsidR="00000000" w:rsidRDefault="00000000">
            <w:pPr>
              <w:spacing w:line="360" w:lineRule="auto"/>
            </w:pPr>
            <w:r>
              <w:t>Borrowed</w:t>
            </w:r>
          </w:p>
        </w:tc>
        <w:tc>
          <w:tcPr>
            <w:tcW w:w="1544" w:type="dxa"/>
            <w:tcBorders>
              <w:left w:val="single" w:sz="6" w:space="0" w:color="auto"/>
              <w:right w:val="single" w:sz="6" w:space="0" w:color="auto"/>
            </w:tcBorders>
            <w:vAlign w:val="center"/>
          </w:tcPr>
          <w:p w:rsidR="00000000" w:rsidRDefault="00000000">
            <w:pPr>
              <w:spacing w:line="360" w:lineRule="auto"/>
              <w:ind w:right="170"/>
              <w:jc w:val="right"/>
            </w:pPr>
            <w:r>
              <w:t>3 572 004</w:t>
            </w:r>
          </w:p>
        </w:tc>
        <w:tc>
          <w:tcPr>
            <w:tcW w:w="1545" w:type="dxa"/>
            <w:tcBorders>
              <w:left w:val="single" w:sz="6" w:space="0" w:color="auto"/>
              <w:right w:val="single" w:sz="6" w:space="0" w:color="auto"/>
            </w:tcBorders>
            <w:vAlign w:val="center"/>
          </w:tcPr>
          <w:p w:rsidR="00000000" w:rsidRDefault="00000000">
            <w:pPr>
              <w:spacing w:line="360" w:lineRule="auto"/>
              <w:ind w:right="170"/>
              <w:jc w:val="right"/>
            </w:pPr>
            <w:r>
              <w:t>4 546 025</w:t>
            </w:r>
          </w:p>
        </w:tc>
        <w:tc>
          <w:tcPr>
            <w:tcW w:w="1544" w:type="dxa"/>
            <w:tcBorders>
              <w:left w:val="single" w:sz="6" w:space="0" w:color="auto"/>
              <w:right w:val="single" w:sz="6" w:space="0" w:color="auto"/>
            </w:tcBorders>
            <w:vAlign w:val="center"/>
          </w:tcPr>
          <w:p w:rsidR="00000000" w:rsidRDefault="00000000">
            <w:pPr>
              <w:spacing w:line="360" w:lineRule="auto"/>
              <w:ind w:right="170"/>
              <w:jc w:val="right"/>
            </w:pPr>
            <w:r>
              <w:t>4 888 506</w:t>
            </w:r>
          </w:p>
        </w:tc>
        <w:tc>
          <w:tcPr>
            <w:tcW w:w="1545" w:type="dxa"/>
            <w:tcBorders>
              <w:left w:val="single" w:sz="6" w:space="0" w:color="auto"/>
              <w:right w:val="single" w:sz="6" w:space="0" w:color="auto"/>
            </w:tcBorders>
            <w:vAlign w:val="center"/>
          </w:tcPr>
          <w:p w:rsidR="00000000" w:rsidRDefault="00000000">
            <w:pPr>
              <w:spacing w:line="360" w:lineRule="auto"/>
              <w:ind w:right="170"/>
              <w:jc w:val="right"/>
            </w:pPr>
            <w:r>
              <w:t>4 929 006</w:t>
            </w:r>
          </w:p>
        </w:tc>
      </w:tr>
      <w:tr w:rsidR="00000000">
        <w:tblPrEx>
          <w:tblCellMar>
            <w:top w:w="0" w:type="dxa"/>
            <w:bottom w:w="0" w:type="dxa"/>
          </w:tblCellMar>
        </w:tblPrEx>
        <w:trPr>
          <w:cantSplit/>
          <w:jc w:val="center"/>
        </w:trPr>
        <w:tc>
          <w:tcPr>
            <w:tcW w:w="1927" w:type="dxa"/>
            <w:tcBorders>
              <w:left w:val="single" w:sz="6" w:space="0" w:color="auto"/>
              <w:right w:val="single" w:sz="6" w:space="0" w:color="auto"/>
            </w:tcBorders>
            <w:vAlign w:val="center"/>
          </w:tcPr>
          <w:p w:rsidR="00000000" w:rsidRDefault="00000000">
            <w:pPr>
              <w:spacing w:line="360" w:lineRule="auto"/>
            </w:pPr>
            <w:r>
              <w:t>Other</w:t>
            </w:r>
          </w:p>
        </w:tc>
        <w:tc>
          <w:tcPr>
            <w:tcW w:w="1544" w:type="dxa"/>
            <w:tcBorders>
              <w:left w:val="single" w:sz="6" w:space="0" w:color="auto"/>
              <w:right w:val="single" w:sz="6" w:space="0" w:color="auto"/>
            </w:tcBorders>
            <w:vAlign w:val="center"/>
          </w:tcPr>
          <w:p w:rsidR="00000000" w:rsidRDefault="00000000">
            <w:pPr>
              <w:spacing w:line="360" w:lineRule="auto"/>
              <w:ind w:right="170"/>
              <w:jc w:val="right"/>
            </w:pPr>
            <w:r>
              <w:t>373 842</w:t>
            </w:r>
          </w:p>
        </w:tc>
        <w:tc>
          <w:tcPr>
            <w:tcW w:w="1545" w:type="dxa"/>
            <w:tcBorders>
              <w:left w:val="single" w:sz="6" w:space="0" w:color="auto"/>
              <w:right w:val="single" w:sz="6" w:space="0" w:color="auto"/>
            </w:tcBorders>
            <w:vAlign w:val="center"/>
          </w:tcPr>
          <w:p w:rsidR="00000000" w:rsidRDefault="00000000">
            <w:pPr>
              <w:spacing w:line="360" w:lineRule="auto"/>
              <w:ind w:right="170"/>
              <w:jc w:val="right"/>
            </w:pPr>
            <w:r>
              <w:t>237 566</w:t>
            </w:r>
          </w:p>
        </w:tc>
        <w:tc>
          <w:tcPr>
            <w:tcW w:w="1544" w:type="dxa"/>
            <w:tcBorders>
              <w:left w:val="single" w:sz="6" w:space="0" w:color="auto"/>
              <w:right w:val="single" w:sz="6" w:space="0" w:color="auto"/>
            </w:tcBorders>
            <w:vAlign w:val="center"/>
          </w:tcPr>
          <w:p w:rsidR="00000000" w:rsidRDefault="00000000">
            <w:pPr>
              <w:spacing w:line="360" w:lineRule="auto"/>
              <w:ind w:right="170"/>
              <w:jc w:val="right"/>
            </w:pPr>
            <w:r>
              <w:t>188 293</w:t>
            </w:r>
          </w:p>
        </w:tc>
        <w:tc>
          <w:tcPr>
            <w:tcW w:w="1545" w:type="dxa"/>
            <w:tcBorders>
              <w:left w:val="single" w:sz="6" w:space="0" w:color="auto"/>
              <w:right w:val="single" w:sz="6" w:space="0" w:color="auto"/>
            </w:tcBorders>
            <w:vAlign w:val="center"/>
          </w:tcPr>
          <w:p w:rsidR="00000000" w:rsidRDefault="00000000">
            <w:pPr>
              <w:spacing w:line="360" w:lineRule="auto"/>
              <w:ind w:right="170"/>
              <w:jc w:val="right"/>
            </w:pPr>
            <w:r>
              <w:t>184 264</w:t>
            </w:r>
          </w:p>
        </w:tc>
      </w:tr>
      <w:tr w:rsidR="00000000">
        <w:tblPrEx>
          <w:tblCellMar>
            <w:top w:w="0" w:type="dxa"/>
            <w:bottom w:w="0" w:type="dxa"/>
          </w:tblCellMar>
        </w:tblPrEx>
        <w:trPr>
          <w:cantSplit/>
          <w:jc w:val="center"/>
        </w:trPr>
        <w:tc>
          <w:tcPr>
            <w:tcW w:w="1927" w:type="dxa"/>
            <w:tcBorders>
              <w:left w:val="single" w:sz="6" w:space="0" w:color="auto"/>
              <w:bottom w:val="single" w:sz="6" w:space="0" w:color="auto"/>
              <w:right w:val="single" w:sz="6" w:space="0" w:color="auto"/>
            </w:tcBorders>
            <w:vAlign w:val="center"/>
          </w:tcPr>
          <w:p w:rsidR="00000000" w:rsidRDefault="00000000">
            <w:pPr>
              <w:spacing w:line="360" w:lineRule="auto"/>
            </w:pPr>
            <w:r>
              <w:t>Undeclared</w:t>
            </w:r>
          </w:p>
        </w:tc>
        <w:tc>
          <w:tcPr>
            <w:tcW w:w="1544" w:type="dxa"/>
            <w:tcBorders>
              <w:left w:val="single" w:sz="6" w:space="0" w:color="auto"/>
              <w:bottom w:val="single" w:sz="6" w:space="0" w:color="auto"/>
              <w:right w:val="single" w:sz="6" w:space="0" w:color="auto"/>
            </w:tcBorders>
            <w:vAlign w:val="center"/>
          </w:tcPr>
          <w:p w:rsidR="00000000" w:rsidRDefault="00000000">
            <w:pPr>
              <w:spacing w:line="360" w:lineRule="auto"/>
              <w:ind w:right="170"/>
              <w:jc w:val="right"/>
            </w:pPr>
            <w:r>
              <w:t>36 469</w:t>
            </w:r>
          </w:p>
        </w:tc>
        <w:tc>
          <w:tcPr>
            <w:tcW w:w="1545" w:type="dxa"/>
            <w:tcBorders>
              <w:left w:val="single" w:sz="6" w:space="0" w:color="auto"/>
              <w:bottom w:val="single" w:sz="6" w:space="0" w:color="auto"/>
              <w:right w:val="single" w:sz="6" w:space="0" w:color="auto"/>
            </w:tcBorders>
            <w:vAlign w:val="center"/>
          </w:tcPr>
          <w:p w:rsidR="00000000" w:rsidRDefault="00000000">
            <w:pPr>
              <w:spacing w:line="360" w:lineRule="auto"/>
              <w:ind w:right="170"/>
              <w:jc w:val="center"/>
            </w:pPr>
            <w:r>
              <w:noBreakHyphen/>
            </w:r>
          </w:p>
        </w:tc>
        <w:tc>
          <w:tcPr>
            <w:tcW w:w="1544" w:type="dxa"/>
            <w:tcBorders>
              <w:left w:val="single" w:sz="6" w:space="0" w:color="auto"/>
              <w:bottom w:val="single" w:sz="6" w:space="0" w:color="auto"/>
              <w:right w:val="single" w:sz="6" w:space="0" w:color="auto"/>
            </w:tcBorders>
            <w:vAlign w:val="center"/>
          </w:tcPr>
          <w:p w:rsidR="00000000" w:rsidRDefault="00000000">
            <w:pPr>
              <w:spacing w:line="360" w:lineRule="auto"/>
              <w:ind w:right="170"/>
              <w:jc w:val="right"/>
            </w:pPr>
            <w:r>
              <w:t>245</w:t>
            </w:r>
          </w:p>
        </w:tc>
        <w:tc>
          <w:tcPr>
            <w:tcW w:w="1545" w:type="dxa"/>
            <w:tcBorders>
              <w:left w:val="single" w:sz="6" w:space="0" w:color="auto"/>
              <w:bottom w:val="single" w:sz="6" w:space="0" w:color="auto"/>
              <w:right w:val="single" w:sz="6" w:space="0" w:color="auto"/>
            </w:tcBorders>
            <w:vAlign w:val="center"/>
          </w:tcPr>
          <w:p w:rsidR="00000000" w:rsidRDefault="00000000">
            <w:pPr>
              <w:spacing w:line="360" w:lineRule="auto"/>
              <w:ind w:right="170"/>
              <w:jc w:val="right"/>
            </w:pPr>
            <w:r>
              <w:t>566</w:t>
            </w:r>
          </w:p>
        </w:tc>
      </w:tr>
      <w:tr w:rsidR="00000000">
        <w:tblPrEx>
          <w:tblCellMar>
            <w:top w:w="0" w:type="dxa"/>
            <w:bottom w:w="0" w:type="dxa"/>
          </w:tblCellMar>
        </w:tblPrEx>
        <w:trPr>
          <w:cantSplit/>
          <w:jc w:val="center"/>
        </w:trPr>
        <w:tc>
          <w:tcPr>
            <w:tcW w:w="1927"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298"/>
              </w:tabs>
              <w:spacing w:line="360" w:lineRule="auto"/>
            </w:pPr>
            <w:r>
              <w:tab/>
              <w:t>Total</w:t>
            </w:r>
          </w:p>
        </w:tc>
        <w:tc>
          <w:tcPr>
            <w:tcW w:w="1544"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auto"/>
              <w:ind w:right="170"/>
              <w:jc w:val="right"/>
            </w:pPr>
            <w:r>
              <w:t>25 210 639</w:t>
            </w:r>
          </w:p>
        </w:tc>
        <w:tc>
          <w:tcPr>
            <w:tcW w:w="1545"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auto"/>
              <w:ind w:right="170"/>
              <w:jc w:val="right"/>
            </w:pPr>
            <w:r>
              <w:t>34 734 715</w:t>
            </w:r>
          </w:p>
        </w:tc>
        <w:tc>
          <w:tcPr>
            <w:tcW w:w="1544"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auto"/>
              <w:ind w:right="170"/>
              <w:jc w:val="right"/>
            </w:pPr>
            <w:r>
              <w:t>39 745 523</w:t>
            </w:r>
          </w:p>
        </w:tc>
        <w:tc>
          <w:tcPr>
            <w:tcW w:w="1545"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auto"/>
              <w:ind w:right="170"/>
              <w:jc w:val="right"/>
            </w:pPr>
            <w:r>
              <w:t>40 644 623</w:t>
            </w:r>
          </w:p>
        </w:tc>
      </w:tr>
    </w:tbl>
    <w:p w:rsidR="00000000" w:rsidRDefault="00000000">
      <w:pPr>
        <w:rPr>
          <w:spacing w:val="20"/>
        </w:rPr>
      </w:pPr>
    </w:p>
    <w:p w:rsidR="00000000" w:rsidRDefault="00000000">
      <w:pPr>
        <w:tabs>
          <w:tab w:val="right" w:pos="1701"/>
          <w:tab w:val="left" w:pos="1814"/>
        </w:tabs>
      </w:pPr>
      <w:r>
        <w:tab/>
      </w:r>
      <w:r>
        <w:rPr>
          <w:u w:val="single"/>
        </w:rPr>
        <w:t>Source</w:t>
      </w:r>
      <w:r>
        <w:t>:</w:t>
      </w:r>
      <w:r>
        <w:tab/>
        <w:t xml:space="preserve">    *  </w:t>
      </w:r>
      <w:r>
        <w:rPr>
          <w:kern w:val="16"/>
        </w:rPr>
        <w:t xml:space="preserve">IBGE </w:t>
      </w:r>
      <w:r>
        <w:noBreakHyphen/>
        <w:t xml:space="preserve"> 1998 Yearly Statistics.</w:t>
      </w:r>
    </w:p>
    <w:p w:rsidR="00000000" w:rsidRDefault="00000000">
      <w:pPr>
        <w:tabs>
          <w:tab w:val="right" w:pos="1701"/>
          <w:tab w:val="left" w:pos="1814"/>
        </w:tabs>
      </w:pPr>
    </w:p>
    <w:p w:rsidR="00000000" w:rsidRDefault="00000000">
      <w:pPr>
        <w:tabs>
          <w:tab w:val="right" w:pos="1701"/>
          <w:tab w:val="left" w:pos="1814"/>
        </w:tabs>
      </w:pPr>
      <w:r>
        <w:tab/>
      </w:r>
      <w:r>
        <w:tab/>
        <w:t xml:space="preserve">  **  IBGE </w:t>
      </w:r>
      <w:r>
        <w:noBreakHyphen/>
        <w:t xml:space="preserve"> 1996 </w:t>
      </w:r>
      <w:r>
        <w:rPr>
          <w:kern w:val="16"/>
        </w:rPr>
        <w:t>PNAD</w:t>
      </w:r>
      <w:r>
        <w:t xml:space="preserve"> Indicators Summary 1996.</w:t>
      </w:r>
    </w:p>
    <w:p w:rsidR="00000000" w:rsidRDefault="00000000">
      <w:pPr>
        <w:tabs>
          <w:tab w:val="right" w:pos="1701"/>
          <w:tab w:val="left" w:pos="1814"/>
        </w:tabs>
      </w:pPr>
    </w:p>
    <w:p w:rsidR="00000000" w:rsidRDefault="00000000">
      <w:pPr>
        <w:tabs>
          <w:tab w:val="right" w:pos="1701"/>
          <w:tab w:val="left" w:pos="1814"/>
        </w:tabs>
      </w:pPr>
      <w:r>
        <w:tab/>
      </w:r>
      <w:r>
        <w:tab/>
        <w:t>***  Preliminary computation by IPEA/DIRUR based on the 1997 PNAD.</w:t>
      </w:r>
    </w:p>
    <w:p w:rsidR="00000000" w:rsidRDefault="00000000">
      <w:pPr>
        <w:tabs>
          <w:tab w:val="right" w:pos="1701"/>
          <w:tab w:val="right" w:pos="1928"/>
        </w:tabs>
        <w:rPr>
          <w:spacing w:val="20"/>
        </w:rPr>
      </w:pPr>
    </w:p>
    <w:p w:rsidR="00000000" w:rsidRDefault="00000000">
      <w:pPr>
        <w:pStyle w:val="Heading1"/>
        <w:rPr>
          <w:kern w:val="20"/>
        </w:rPr>
      </w:pPr>
      <w:r>
        <w:rPr>
          <w:kern w:val="20"/>
        </w:rPr>
        <w:br w:type="page"/>
        <w:t>Table 64</w:t>
      </w:r>
    </w:p>
    <w:p w:rsidR="00000000" w:rsidRDefault="00000000"/>
    <w:p w:rsidR="00000000" w:rsidRDefault="00000000">
      <w:pPr>
        <w:pStyle w:val="Heading1"/>
        <w:rPr>
          <w:kern w:val="20"/>
        </w:rPr>
      </w:pPr>
      <w:r>
        <w:rPr>
          <w:kern w:val="20"/>
        </w:rPr>
        <w:t>Permanent private homes by type of ownership, 1980</w:t>
      </w:r>
      <w:r>
        <w:rPr>
          <w:kern w:val="20"/>
        </w:rPr>
        <w:noBreakHyphen/>
        <w:t>1997 (%)</w:t>
      </w:r>
    </w:p>
    <w:p w:rsidR="00000000" w:rsidRDefault="00000000">
      <w:pPr>
        <w:rPr>
          <w:spacing w:val="20"/>
          <w:kern w:val="20"/>
        </w:rPr>
      </w:pPr>
    </w:p>
    <w:tbl>
      <w:tblPr>
        <w:tblW w:w="0" w:type="auto"/>
        <w:jc w:val="center"/>
        <w:tblInd w:w="-784" w:type="dxa"/>
        <w:tblBorders>
          <w:top w:val="single" w:sz="2" w:space="0" w:color="000000"/>
          <w:left w:val="single" w:sz="2" w:space="0" w:color="000000"/>
          <w:bottom w:val="single" w:sz="2" w:space="0" w:color="000000"/>
          <w:right w:val="single" w:sz="2" w:space="0" w:color="000000"/>
          <w:insideV w:val="single" w:sz="2" w:space="0" w:color="000000"/>
        </w:tblBorders>
        <w:tblLayout w:type="fixed"/>
        <w:tblCellMar>
          <w:left w:w="70" w:type="dxa"/>
          <w:right w:w="70" w:type="dxa"/>
        </w:tblCellMar>
        <w:tblLook w:val="0000" w:firstRow="0" w:lastRow="0" w:firstColumn="0" w:lastColumn="0" w:noHBand="0" w:noVBand="0"/>
      </w:tblPr>
      <w:tblGrid>
        <w:gridCol w:w="2563"/>
        <w:gridCol w:w="1365"/>
        <w:gridCol w:w="1155"/>
        <w:gridCol w:w="1155"/>
        <w:gridCol w:w="1286"/>
      </w:tblGrid>
      <w:tr w:rsidR="00000000">
        <w:tblPrEx>
          <w:tblCellMar>
            <w:top w:w="0" w:type="dxa"/>
            <w:bottom w:w="0" w:type="dxa"/>
          </w:tblCellMar>
        </w:tblPrEx>
        <w:trPr>
          <w:cantSplit/>
          <w:jc w:val="center"/>
        </w:trPr>
        <w:tc>
          <w:tcPr>
            <w:tcW w:w="2563" w:type="dxa"/>
            <w:tcBorders>
              <w:top w:val="single" w:sz="2" w:space="0" w:color="000000"/>
              <w:bottom w:val="single" w:sz="2" w:space="0" w:color="000000"/>
            </w:tcBorders>
            <w:vAlign w:val="center"/>
          </w:tcPr>
          <w:p w:rsidR="00000000" w:rsidRDefault="00000000">
            <w:pPr>
              <w:spacing w:before="40" w:after="40"/>
              <w:jc w:val="center"/>
            </w:pPr>
            <w:r>
              <w:t>Property status</w:t>
            </w:r>
          </w:p>
        </w:tc>
        <w:tc>
          <w:tcPr>
            <w:tcW w:w="1365" w:type="dxa"/>
            <w:tcBorders>
              <w:top w:val="single" w:sz="2" w:space="0" w:color="000000"/>
              <w:bottom w:val="single" w:sz="2" w:space="0" w:color="000000"/>
            </w:tcBorders>
            <w:vAlign w:val="center"/>
          </w:tcPr>
          <w:p w:rsidR="00000000" w:rsidRDefault="00000000">
            <w:pPr>
              <w:spacing w:before="40" w:after="40"/>
              <w:jc w:val="center"/>
            </w:pPr>
            <w:r>
              <w:t>1980*</w:t>
            </w:r>
          </w:p>
        </w:tc>
        <w:tc>
          <w:tcPr>
            <w:tcW w:w="1155" w:type="dxa"/>
            <w:tcBorders>
              <w:top w:val="single" w:sz="2" w:space="0" w:color="000000"/>
              <w:bottom w:val="single" w:sz="2" w:space="0" w:color="000000"/>
            </w:tcBorders>
            <w:vAlign w:val="center"/>
          </w:tcPr>
          <w:p w:rsidR="00000000" w:rsidRDefault="00000000">
            <w:pPr>
              <w:spacing w:before="40" w:after="40"/>
              <w:jc w:val="center"/>
            </w:pPr>
            <w:r>
              <w:t>1991*</w:t>
            </w:r>
          </w:p>
        </w:tc>
        <w:tc>
          <w:tcPr>
            <w:tcW w:w="1155" w:type="dxa"/>
            <w:tcBorders>
              <w:top w:val="single" w:sz="2" w:space="0" w:color="000000"/>
              <w:bottom w:val="single" w:sz="2" w:space="0" w:color="000000"/>
            </w:tcBorders>
            <w:vAlign w:val="center"/>
          </w:tcPr>
          <w:p w:rsidR="00000000" w:rsidRDefault="00000000">
            <w:pPr>
              <w:spacing w:before="40" w:after="40"/>
              <w:jc w:val="center"/>
            </w:pPr>
            <w:r>
              <w:t>1996**</w:t>
            </w:r>
          </w:p>
        </w:tc>
        <w:tc>
          <w:tcPr>
            <w:tcW w:w="1286" w:type="dxa"/>
            <w:tcBorders>
              <w:top w:val="single" w:sz="2" w:space="0" w:color="000000"/>
              <w:bottom w:val="single" w:sz="2" w:space="0" w:color="000000"/>
            </w:tcBorders>
            <w:vAlign w:val="center"/>
          </w:tcPr>
          <w:p w:rsidR="00000000" w:rsidRDefault="00000000">
            <w:pPr>
              <w:spacing w:before="40" w:after="40"/>
              <w:jc w:val="center"/>
            </w:pPr>
            <w:r>
              <w:t>1997***</w:t>
            </w:r>
          </w:p>
        </w:tc>
      </w:tr>
      <w:tr w:rsidR="00000000">
        <w:tblPrEx>
          <w:tblCellMar>
            <w:top w:w="0" w:type="dxa"/>
            <w:bottom w:w="0" w:type="dxa"/>
          </w:tblCellMar>
        </w:tblPrEx>
        <w:trPr>
          <w:cantSplit/>
          <w:jc w:val="center"/>
        </w:trPr>
        <w:tc>
          <w:tcPr>
            <w:tcW w:w="2563" w:type="dxa"/>
            <w:tcBorders>
              <w:top w:val="single" w:sz="2" w:space="0" w:color="000000"/>
            </w:tcBorders>
            <w:vAlign w:val="center"/>
          </w:tcPr>
          <w:p w:rsidR="00000000" w:rsidRDefault="00000000">
            <w:pPr>
              <w:spacing w:before="40" w:after="40"/>
            </w:pPr>
            <w:r>
              <w:t>Own</w:t>
            </w:r>
          </w:p>
        </w:tc>
        <w:tc>
          <w:tcPr>
            <w:tcW w:w="1365" w:type="dxa"/>
            <w:tcBorders>
              <w:top w:val="single" w:sz="2" w:space="0" w:color="000000"/>
            </w:tcBorders>
            <w:vAlign w:val="center"/>
          </w:tcPr>
          <w:p w:rsidR="00000000" w:rsidRDefault="00000000">
            <w:pPr>
              <w:spacing w:before="40" w:after="40"/>
              <w:ind w:right="227"/>
              <w:jc w:val="right"/>
            </w:pPr>
            <w:r>
              <w:t>61.67</w:t>
            </w:r>
          </w:p>
        </w:tc>
        <w:tc>
          <w:tcPr>
            <w:tcW w:w="1155" w:type="dxa"/>
            <w:tcBorders>
              <w:top w:val="single" w:sz="2" w:space="0" w:color="000000"/>
            </w:tcBorders>
            <w:vAlign w:val="center"/>
          </w:tcPr>
          <w:p w:rsidR="00000000" w:rsidRDefault="00000000">
            <w:pPr>
              <w:spacing w:before="40" w:after="40"/>
              <w:ind w:right="227"/>
              <w:jc w:val="right"/>
            </w:pPr>
            <w:r>
              <w:t>69.85</w:t>
            </w:r>
          </w:p>
        </w:tc>
        <w:tc>
          <w:tcPr>
            <w:tcW w:w="1155" w:type="dxa"/>
            <w:tcBorders>
              <w:top w:val="single" w:sz="2" w:space="0" w:color="000000"/>
            </w:tcBorders>
            <w:vAlign w:val="center"/>
          </w:tcPr>
          <w:p w:rsidR="00000000" w:rsidRDefault="00000000">
            <w:pPr>
              <w:spacing w:before="40" w:after="40"/>
              <w:ind w:right="227"/>
              <w:jc w:val="right"/>
            </w:pPr>
            <w:r>
              <w:t xml:space="preserve">73.62 </w:t>
            </w:r>
          </w:p>
        </w:tc>
        <w:tc>
          <w:tcPr>
            <w:tcW w:w="1286" w:type="dxa"/>
            <w:tcBorders>
              <w:top w:val="single" w:sz="2" w:space="0" w:color="000000"/>
            </w:tcBorders>
            <w:vAlign w:val="center"/>
          </w:tcPr>
          <w:p w:rsidR="00000000" w:rsidRDefault="00000000">
            <w:pPr>
              <w:spacing w:before="40" w:after="40"/>
              <w:ind w:right="227"/>
              <w:jc w:val="right"/>
            </w:pPr>
            <w:r>
              <w:t>73.73</w:t>
            </w:r>
          </w:p>
        </w:tc>
      </w:tr>
      <w:tr w:rsidR="00000000">
        <w:tblPrEx>
          <w:tblCellMar>
            <w:top w:w="0" w:type="dxa"/>
            <w:bottom w:w="0" w:type="dxa"/>
          </w:tblCellMar>
        </w:tblPrEx>
        <w:trPr>
          <w:cantSplit/>
          <w:jc w:val="center"/>
        </w:trPr>
        <w:tc>
          <w:tcPr>
            <w:tcW w:w="2563" w:type="dxa"/>
            <w:vAlign w:val="center"/>
          </w:tcPr>
          <w:p w:rsidR="00000000" w:rsidRDefault="00000000">
            <w:pPr>
              <w:spacing w:before="40" w:after="40"/>
            </w:pPr>
            <w:r>
              <w:t>Rented</w:t>
            </w:r>
          </w:p>
        </w:tc>
        <w:tc>
          <w:tcPr>
            <w:tcW w:w="1365" w:type="dxa"/>
            <w:vAlign w:val="center"/>
          </w:tcPr>
          <w:p w:rsidR="00000000" w:rsidRDefault="00000000">
            <w:pPr>
              <w:spacing w:before="40" w:after="40"/>
              <w:ind w:right="227"/>
              <w:jc w:val="right"/>
            </w:pPr>
            <w:r>
              <w:t>22.54</w:t>
            </w:r>
          </w:p>
        </w:tc>
        <w:tc>
          <w:tcPr>
            <w:tcW w:w="1155" w:type="dxa"/>
            <w:vAlign w:val="center"/>
          </w:tcPr>
          <w:p w:rsidR="00000000" w:rsidRDefault="00000000">
            <w:pPr>
              <w:spacing w:before="40" w:after="40"/>
              <w:ind w:right="227"/>
              <w:jc w:val="right"/>
            </w:pPr>
            <w:r>
              <w:t>16.38</w:t>
            </w:r>
          </w:p>
        </w:tc>
        <w:tc>
          <w:tcPr>
            <w:tcW w:w="1155" w:type="dxa"/>
            <w:vAlign w:val="center"/>
          </w:tcPr>
          <w:p w:rsidR="00000000" w:rsidRDefault="00000000">
            <w:pPr>
              <w:spacing w:before="40" w:after="40"/>
              <w:ind w:right="227"/>
              <w:jc w:val="right"/>
            </w:pPr>
            <w:r>
              <w:t>13.61</w:t>
            </w:r>
          </w:p>
        </w:tc>
        <w:tc>
          <w:tcPr>
            <w:tcW w:w="1286" w:type="dxa"/>
            <w:vAlign w:val="center"/>
          </w:tcPr>
          <w:p w:rsidR="00000000" w:rsidRDefault="00000000">
            <w:pPr>
              <w:spacing w:before="40" w:after="40"/>
              <w:ind w:right="227"/>
              <w:jc w:val="right"/>
            </w:pPr>
            <w:r>
              <w:t>13.68</w:t>
            </w:r>
          </w:p>
        </w:tc>
      </w:tr>
      <w:tr w:rsidR="00000000">
        <w:tblPrEx>
          <w:tblCellMar>
            <w:top w:w="0" w:type="dxa"/>
            <w:bottom w:w="0" w:type="dxa"/>
          </w:tblCellMar>
        </w:tblPrEx>
        <w:trPr>
          <w:cantSplit/>
          <w:jc w:val="center"/>
        </w:trPr>
        <w:tc>
          <w:tcPr>
            <w:tcW w:w="2563" w:type="dxa"/>
            <w:vAlign w:val="center"/>
          </w:tcPr>
          <w:p w:rsidR="00000000" w:rsidRDefault="00000000">
            <w:pPr>
              <w:spacing w:before="40" w:after="40"/>
            </w:pPr>
            <w:r>
              <w:t>Loaned</w:t>
            </w:r>
          </w:p>
        </w:tc>
        <w:tc>
          <w:tcPr>
            <w:tcW w:w="1365" w:type="dxa"/>
            <w:vAlign w:val="center"/>
          </w:tcPr>
          <w:p w:rsidR="00000000" w:rsidRDefault="00000000">
            <w:pPr>
              <w:spacing w:before="40" w:after="40"/>
              <w:ind w:right="227"/>
              <w:jc w:val="right"/>
            </w:pPr>
            <w:r>
              <w:t>14.17</w:t>
            </w:r>
          </w:p>
        </w:tc>
        <w:tc>
          <w:tcPr>
            <w:tcW w:w="1155" w:type="dxa"/>
            <w:vAlign w:val="center"/>
          </w:tcPr>
          <w:p w:rsidR="00000000" w:rsidRDefault="00000000">
            <w:pPr>
              <w:spacing w:before="40" w:after="40"/>
              <w:ind w:right="227"/>
              <w:jc w:val="right"/>
            </w:pPr>
            <w:r>
              <w:t>13.09</w:t>
            </w:r>
          </w:p>
        </w:tc>
        <w:tc>
          <w:tcPr>
            <w:tcW w:w="1155" w:type="dxa"/>
            <w:vAlign w:val="center"/>
          </w:tcPr>
          <w:p w:rsidR="00000000" w:rsidRDefault="00000000">
            <w:pPr>
              <w:spacing w:before="40" w:after="40"/>
              <w:ind w:right="227"/>
              <w:jc w:val="right"/>
            </w:pPr>
            <w:r>
              <w:t>12.30</w:t>
            </w:r>
          </w:p>
        </w:tc>
        <w:tc>
          <w:tcPr>
            <w:tcW w:w="1286" w:type="dxa"/>
            <w:vAlign w:val="center"/>
          </w:tcPr>
          <w:p w:rsidR="00000000" w:rsidRDefault="00000000">
            <w:pPr>
              <w:spacing w:before="40" w:after="40"/>
              <w:ind w:right="227"/>
              <w:jc w:val="right"/>
            </w:pPr>
            <w:r>
              <w:t>12.13</w:t>
            </w:r>
          </w:p>
        </w:tc>
      </w:tr>
      <w:tr w:rsidR="00000000">
        <w:tblPrEx>
          <w:tblCellMar>
            <w:top w:w="0" w:type="dxa"/>
            <w:bottom w:w="0" w:type="dxa"/>
          </w:tblCellMar>
        </w:tblPrEx>
        <w:trPr>
          <w:cantSplit/>
          <w:jc w:val="center"/>
        </w:trPr>
        <w:tc>
          <w:tcPr>
            <w:tcW w:w="2563" w:type="dxa"/>
            <w:vAlign w:val="center"/>
          </w:tcPr>
          <w:p w:rsidR="00000000" w:rsidRDefault="00000000">
            <w:pPr>
              <w:spacing w:before="40" w:after="40"/>
            </w:pPr>
            <w:r>
              <w:t>Other</w:t>
            </w:r>
          </w:p>
        </w:tc>
        <w:tc>
          <w:tcPr>
            <w:tcW w:w="1365" w:type="dxa"/>
            <w:vAlign w:val="center"/>
          </w:tcPr>
          <w:p w:rsidR="00000000" w:rsidRDefault="00000000">
            <w:pPr>
              <w:spacing w:before="40" w:after="40"/>
              <w:ind w:right="227"/>
              <w:jc w:val="right"/>
            </w:pPr>
            <w:r>
              <w:t>1.48</w:t>
            </w:r>
          </w:p>
        </w:tc>
        <w:tc>
          <w:tcPr>
            <w:tcW w:w="1155" w:type="dxa"/>
            <w:vAlign w:val="center"/>
          </w:tcPr>
          <w:p w:rsidR="00000000" w:rsidRDefault="00000000">
            <w:pPr>
              <w:spacing w:before="40" w:after="40"/>
              <w:ind w:right="227"/>
              <w:jc w:val="right"/>
            </w:pPr>
            <w:r>
              <w:t>0.68</w:t>
            </w:r>
          </w:p>
        </w:tc>
        <w:tc>
          <w:tcPr>
            <w:tcW w:w="1155" w:type="dxa"/>
            <w:vAlign w:val="center"/>
          </w:tcPr>
          <w:p w:rsidR="00000000" w:rsidRDefault="00000000">
            <w:pPr>
              <w:spacing w:before="40" w:after="40"/>
              <w:ind w:right="227"/>
              <w:jc w:val="right"/>
            </w:pPr>
            <w:r>
              <w:t>0.47</w:t>
            </w:r>
          </w:p>
        </w:tc>
        <w:tc>
          <w:tcPr>
            <w:tcW w:w="1286" w:type="dxa"/>
            <w:vAlign w:val="center"/>
          </w:tcPr>
          <w:p w:rsidR="00000000" w:rsidRDefault="00000000">
            <w:pPr>
              <w:spacing w:before="40" w:after="40"/>
              <w:ind w:right="227"/>
              <w:jc w:val="right"/>
            </w:pPr>
            <w:r>
              <w:t>0.45</w:t>
            </w:r>
          </w:p>
        </w:tc>
      </w:tr>
      <w:tr w:rsidR="00000000">
        <w:tblPrEx>
          <w:tblCellMar>
            <w:top w:w="0" w:type="dxa"/>
            <w:bottom w:w="0" w:type="dxa"/>
          </w:tblCellMar>
        </w:tblPrEx>
        <w:trPr>
          <w:cantSplit/>
          <w:jc w:val="center"/>
        </w:trPr>
        <w:tc>
          <w:tcPr>
            <w:tcW w:w="2563" w:type="dxa"/>
            <w:tcBorders>
              <w:bottom w:val="single" w:sz="2" w:space="0" w:color="000000"/>
            </w:tcBorders>
            <w:vAlign w:val="center"/>
          </w:tcPr>
          <w:p w:rsidR="00000000" w:rsidRDefault="00000000">
            <w:pPr>
              <w:spacing w:before="40" w:after="40"/>
            </w:pPr>
            <w:r>
              <w:t>Undeclared</w:t>
            </w:r>
          </w:p>
        </w:tc>
        <w:tc>
          <w:tcPr>
            <w:tcW w:w="1365" w:type="dxa"/>
            <w:tcBorders>
              <w:bottom w:val="single" w:sz="2" w:space="0" w:color="000000"/>
            </w:tcBorders>
            <w:vAlign w:val="center"/>
          </w:tcPr>
          <w:p w:rsidR="00000000" w:rsidRDefault="00000000">
            <w:pPr>
              <w:spacing w:before="40" w:after="40"/>
              <w:ind w:right="227"/>
              <w:jc w:val="right"/>
            </w:pPr>
            <w:r>
              <w:t>0.14</w:t>
            </w:r>
          </w:p>
        </w:tc>
        <w:tc>
          <w:tcPr>
            <w:tcW w:w="1155" w:type="dxa"/>
            <w:tcBorders>
              <w:bottom w:val="single" w:sz="2" w:space="0" w:color="000000"/>
            </w:tcBorders>
            <w:vAlign w:val="center"/>
          </w:tcPr>
          <w:p w:rsidR="00000000" w:rsidRDefault="00000000">
            <w:pPr>
              <w:spacing w:before="40" w:after="40"/>
              <w:ind w:right="454"/>
              <w:jc w:val="right"/>
            </w:pPr>
            <w:r>
              <w:noBreakHyphen/>
            </w:r>
          </w:p>
        </w:tc>
        <w:tc>
          <w:tcPr>
            <w:tcW w:w="1155" w:type="dxa"/>
            <w:tcBorders>
              <w:bottom w:val="single" w:sz="2" w:space="0" w:color="000000"/>
            </w:tcBorders>
            <w:vAlign w:val="center"/>
          </w:tcPr>
          <w:p w:rsidR="00000000" w:rsidRDefault="00000000">
            <w:pPr>
              <w:spacing w:before="40" w:after="40"/>
              <w:ind w:right="227"/>
              <w:jc w:val="right"/>
            </w:pPr>
            <w:r>
              <w:t>0.00</w:t>
            </w:r>
          </w:p>
        </w:tc>
        <w:tc>
          <w:tcPr>
            <w:tcW w:w="1286" w:type="dxa"/>
            <w:tcBorders>
              <w:bottom w:val="single" w:sz="2" w:space="0" w:color="000000"/>
            </w:tcBorders>
            <w:vAlign w:val="center"/>
          </w:tcPr>
          <w:p w:rsidR="00000000" w:rsidRDefault="00000000">
            <w:pPr>
              <w:spacing w:before="40" w:after="40"/>
              <w:ind w:right="227"/>
              <w:jc w:val="right"/>
            </w:pPr>
            <w:r>
              <w:t>0.00</w:t>
            </w:r>
          </w:p>
        </w:tc>
      </w:tr>
      <w:tr w:rsidR="00000000">
        <w:tblPrEx>
          <w:tblCellMar>
            <w:top w:w="0" w:type="dxa"/>
            <w:bottom w:w="0" w:type="dxa"/>
          </w:tblCellMar>
        </w:tblPrEx>
        <w:trPr>
          <w:cantSplit/>
          <w:jc w:val="center"/>
        </w:trPr>
        <w:tc>
          <w:tcPr>
            <w:tcW w:w="2563" w:type="dxa"/>
            <w:tcBorders>
              <w:top w:val="single" w:sz="2" w:space="0" w:color="000000"/>
              <w:bottom w:val="single" w:sz="2" w:space="0" w:color="000000"/>
            </w:tcBorders>
            <w:vAlign w:val="center"/>
          </w:tcPr>
          <w:p w:rsidR="00000000" w:rsidRDefault="00000000">
            <w:pPr>
              <w:tabs>
                <w:tab w:val="left" w:pos="400"/>
              </w:tabs>
              <w:spacing w:before="40" w:after="40"/>
            </w:pPr>
            <w:r>
              <w:tab/>
              <w:t>Total</w:t>
            </w:r>
          </w:p>
        </w:tc>
        <w:tc>
          <w:tcPr>
            <w:tcW w:w="1365" w:type="dxa"/>
            <w:tcBorders>
              <w:top w:val="single" w:sz="2" w:space="0" w:color="000000"/>
              <w:bottom w:val="single" w:sz="2" w:space="0" w:color="000000"/>
            </w:tcBorders>
            <w:vAlign w:val="center"/>
          </w:tcPr>
          <w:p w:rsidR="00000000" w:rsidRDefault="00000000">
            <w:pPr>
              <w:spacing w:before="40" w:after="40"/>
              <w:ind w:right="227"/>
              <w:jc w:val="right"/>
            </w:pPr>
            <w:r>
              <w:t>100.00</w:t>
            </w:r>
          </w:p>
        </w:tc>
        <w:tc>
          <w:tcPr>
            <w:tcW w:w="1155" w:type="dxa"/>
            <w:tcBorders>
              <w:top w:val="single" w:sz="2" w:space="0" w:color="000000"/>
              <w:bottom w:val="single" w:sz="2" w:space="0" w:color="000000"/>
            </w:tcBorders>
            <w:vAlign w:val="center"/>
          </w:tcPr>
          <w:p w:rsidR="00000000" w:rsidRDefault="00000000">
            <w:pPr>
              <w:spacing w:before="40" w:after="40"/>
              <w:ind w:right="227"/>
              <w:jc w:val="right"/>
            </w:pPr>
            <w:r>
              <w:t>100.00</w:t>
            </w:r>
          </w:p>
        </w:tc>
        <w:tc>
          <w:tcPr>
            <w:tcW w:w="1155" w:type="dxa"/>
            <w:tcBorders>
              <w:top w:val="single" w:sz="2" w:space="0" w:color="000000"/>
              <w:bottom w:val="single" w:sz="2" w:space="0" w:color="000000"/>
            </w:tcBorders>
            <w:vAlign w:val="center"/>
          </w:tcPr>
          <w:p w:rsidR="00000000" w:rsidRDefault="00000000">
            <w:pPr>
              <w:spacing w:before="40" w:after="40"/>
              <w:ind w:right="227"/>
              <w:jc w:val="right"/>
            </w:pPr>
            <w:r>
              <w:t>100.00</w:t>
            </w:r>
          </w:p>
        </w:tc>
        <w:tc>
          <w:tcPr>
            <w:tcW w:w="1286" w:type="dxa"/>
            <w:tcBorders>
              <w:top w:val="single" w:sz="2" w:space="0" w:color="000000"/>
              <w:bottom w:val="single" w:sz="2" w:space="0" w:color="000000"/>
            </w:tcBorders>
            <w:vAlign w:val="center"/>
          </w:tcPr>
          <w:p w:rsidR="00000000" w:rsidRDefault="00000000">
            <w:pPr>
              <w:spacing w:before="40" w:after="40"/>
              <w:ind w:right="227"/>
              <w:jc w:val="right"/>
            </w:pPr>
            <w:r>
              <w:t>100.00</w:t>
            </w:r>
          </w:p>
        </w:tc>
      </w:tr>
    </w:tbl>
    <w:p w:rsidR="00000000" w:rsidRDefault="00000000">
      <w:pPr>
        <w:rPr>
          <w:spacing w:val="20"/>
        </w:rPr>
      </w:pPr>
    </w:p>
    <w:p w:rsidR="00000000" w:rsidRDefault="00000000">
      <w:r>
        <w:tab/>
        <w:t xml:space="preserve"> </w:t>
      </w:r>
      <w:r>
        <w:tab/>
      </w:r>
      <w:r>
        <w:rPr>
          <w:u w:val="single"/>
        </w:rPr>
        <w:t>Source</w:t>
      </w:r>
      <w:r>
        <w:t xml:space="preserve">:      *  </w:t>
      </w:r>
      <w:r>
        <w:rPr>
          <w:kern w:val="16"/>
        </w:rPr>
        <w:t>IBGE</w:t>
      </w:r>
      <w:r>
        <w:t xml:space="preserve"> </w:t>
      </w:r>
      <w:r>
        <w:noBreakHyphen/>
        <w:t xml:space="preserve"> 1998 Yearly Statistics.</w:t>
      </w:r>
    </w:p>
    <w:p w:rsidR="00000000" w:rsidRDefault="00000000">
      <w:pPr>
        <w:tabs>
          <w:tab w:val="right" w:pos="1701"/>
          <w:tab w:val="left" w:pos="1814"/>
        </w:tabs>
      </w:pPr>
    </w:p>
    <w:p w:rsidR="00000000" w:rsidRDefault="00000000">
      <w:pPr>
        <w:tabs>
          <w:tab w:val="right" w:pos="1701"/>
          <w:tab w:val="left" w:pos="1814"/>
        </w:tabs>
      </w:pPr>
      <w:r>
        <w:tab/>
      </w:r>
      <w:r>
        <w:tab/>
      </w:r>
      <w:r>
        <w:tab/>
        <w:t xml:space="preserve">    **  IBGE </w:t>
      </w:r>
      <w:r>
        <w:noBreakHyphen/>
        <w:t xml:space="preserve"> 1996 PNAD Indicators Summary 1996.</w:t>
      </w:r>
    </w:p>
    <w:p w:rsidR="00000000" w:rsidRDefault="00000000">
      <w:pPr>
        <w:tabs>
          <w:tab w:val="right" w:pos="1701"/>
          <w:tab w:val="left" w:pos="1814"/>
        </w:tabs>
      </w:pPr>
    </w:p>
    <w:p w:rsidR="00000000" w:rsidRDefault="00000000">
      <w:pPr>
        <w:tabs>
          <w:tab w:val="right" w:pos="1701"/>
          <w:tab w:val="left" w:pos="1814"/>
        </w:tabs>
      </w:pPr>
      <w:r>
        <w:tab/>
      </w:r>
      <w:r>
        <w:tab/>
      </w:r>
      <w:r>
        <w:tab/>
        <w:t xml:space="preserve">  ***  </w:t>
      </w:r>
      <w:r>
        <w:rPr>
          <w:kern w:val="16"/>
        </w:rPr>
        <w:t>Preliminary</w:t>
      </w:r>
      <w:r>
        <w:t xml:space="preserve"> computation by IPEA/DIRUR based on the </w:t>
      </w:r>
    </w:p>
    <w:p w:rsidR="00000000" w:rsidRDefault="00000000">
      <w:pPr>
        <w:tabs>
          <w:tab w:val="right" w:pos="1701"/>
          <w:tab w:val="left" w:pos="1814"/>
        </w:tabs>
      </w:pPr>
      <w:r>
        <w:tab/>
      </w:r>
      <w:r>
        <w:tab/>
      </w:r>
      <w:r>
        <w:tab/>
        <w:t xml:space="preserve">          1997 PNAD.</w:t>
      </w:r>
    </w:p>
    <w:p w:rsidR="00000000" w:rsidRDefault="00000000">
      <w:pPr>
        <w:rPr>
          <w:spacing w:val="20"/>
        </w:rPr>
      </w:pPr>
    </w:p>
    <w:p w:rsidR="00000000" w:rsidRDefault="00000000">
      <w:pPr>
        <w:pStyle w:val="ParaNo"/>
        <w:tabs>
          <w:tab w:val="clear" w:pos="360"/>
          <w:tab w:val="clear" w:pos="737"/>
        </w:tabs>
        <w:rPr>
          <w:kern w:val="20"/>
          <w:lang w:val="en-GB"/>
        </w:rPr>
      </w:pPr>
      <w:r>
        <w:rPr>
          <w:kern w:val="20"/>
          <w:lang w:val="en-GB"/>
        </w:rPr>
        <w:t>Since the 1970s there has been a noticeable improvement in the indicators of sanitation services coverage, particularly as regards water supply services.</w:t>
      </w:r>
    </w:p>
    <w:p w:rsidR="00000000" w:rsidRDefault="00000000">
      <w:pPr>
        <w:rPr>
          <w:kern w:val="20"/>
        </w:rPr>
      </w:pPr>
    </w:p>
    <w:p w:rsidR="00000000" w:rsidRDefault="00000000">
      <w:pPr>
        <w:pStyle w:val="Heading1"/>
        <w:rPr>
          <w:kern w:val="20"/>
        </w:rPr>
      </w:pPr>
      <w:r>
        <w:rPr>
          <w:kern w:val="20"/>
        </w:rPr>
        <w:t>Table 65</w:t>
      </w:r>
    </w:p>
    <w:p w:rsidR="00000000" w:rsidRDefault="00000000"/>
    <w:p w:rsidR="00000000" w:rsidRDefault="00000000">
      <w:pPr>
        <w:pStyle w:val="Heading1"/>
        <w:rPr>
          <w:spacing w:val="20"/>
          <w:kern w:val="20"/>
        </w:rPr>
      </w:pPr>
      <w:r>
        <w:rPr>
          <w:kern w:val="20"/>
        </w:rPr>
        <w:t xml:space="preserve">Evolution of the indicators of basic sanitation coverage in Brazil, </w:t>
      </w:r>
      <w:r>
        <w:rPr>
          <w:spacing w:val="20"/>
          <w:kern w:val="20"/>
        </w:rPr>
        <w:t>1970</w:t>
      </w:r>
      <w:r>
        <w:rPr>
          <w:spacing w:val="20"/>
          <w:kern w:val="20"/>
        </w:rPr>
        <w:noBreakHyphen/>
        <w:t>1996 (%)</w:t>
      </w:r>
    </w:p>
    <w:p w:rsidR="00000000" w:rsidRDefault="00000000">
      <w:pPr>
        <w:rPr>
          <w:spacing w:val="20"/>
          <w:kern w:val="20"/>
        </w:rPr>
      </w:pPr>
    </w:p>
    <w:tbl>
      <w:tblPr>
        <w:tblW w:w="0" w:type="auto"/>
        <w:tblInd w:w="69" w:type="dxa"/>
        <w:tblBorders>
          <w:top w:val="single" w:sz="2" w:space="0" w:color="000000"/>
          <w:left w:val="single" w:sz="2" w:space="0" w:color="000000"/>
          <w:bottom w:val="single" w:sz="2" w:space="0" w:color="000000"/>
          <w:right w:val="single" w:sz="2" w:space="0" w:color="000000"/>
          <w:insideV w:val="single" w:sz="2" w:space="0" w:color="000000"/>
        </w:tblBorders>
        <w:tblLayout w:type="fixed"/>
        <w:tblCellMar>
          <w:left w:w="70" w:type="dxa"/>
          <w:right w:w="70" w:type="dxa"/>
        </w:tblCellMar>
        <w:tblLook w:val="0000" w:firstRow="0" w:lastRow="0" w:firstColumn="0" w:lastColumn="0" w:noHBand="0" w:noVBand="0"/>
      </w:tblPr>
      <w:tblGrid>
        <w:gridCol w:w="3475"/>
        <w:gridCol w:w="1148"/>
        <w:gridCol w:w="1148"/>
        <w:gridCol w:w="1148"/>
        <w:gridCol w:w="1148"/>
        <w:gridCol w:w="1148"/>
      </w:tblGrid>
      <w:tr w:rsidR="00000000">
        <w:tblPrEx>
          <w:tblCellMar>
            <w:top w:w="0" w:type="dxa"/>
            <w:bottom w:w="0" w:type="dxa"/>
          </w:tblCellMar>
        </w:tblPrEx>
        <w:trPr>
          <w:cantSplit/>
        </w:trPr>
        <w:tc>
          <w:tcPr>
            <w:tcW w:w="3475" w:type="dxa"/>
            <w:tcBorders>
              <w:bottom w:val="single" w:sz="2" w:space="0" w:color="000000"/>
            </w:tcBorders>
            <w:vAlign w:val="center"/>
          </w:tcPr>
          <w:p w:rsidR="00000000" w:rsidRDefault="00000000">
            <w:pPr>
              <w:spacing w:before="40" w:after="40"/>
              <w:jc w:val="center"/>
            </w:pPr>
            <w:r>
              <w:t>Indicators</w:t>
            </w:r>
          </w:p>
        </w:tc>
        <w:tc>
          <w:tcPr>
            <w:tcW w:w="1148" w:type="dxa"/>
            <w:tcBorders>
              <w:bottom w:val="single" w:sz="2" w:space="0" w:color="000000"/>
            </w:tcBorders>
            <w:vAlign w:val="center"/>
          </w:tcPr>
          <w:p w:rsidR="00000000" w:rsidRDefault="00000000">
            <w:pPr>
              <w:spacing w:before="40" w:after="40"/>
              <w:jc w:val="center"/>
            </w:pPr>
            <w:r>
              <w:t>1970*</w:t>
            </w:r>
          </w:p>
        </w:tc>
        <w:tc>
          <w:tcPr>
            <w:tcW w:w="1148" w:type="dxa"/>
            <w:tcBorders>
              <w:bottom w:val="single" w:sz="2" w:space="0" w:color="000000"/>
            </w:tcBorders>
            <w:vAlign w:val="center"/>
          </w:tcPr>
          <w:p w:rsidR="00000000" w:rsidRDefault="00000000">
            <w:pPr>
              <w:spacing w:before="40" w:after="40"/>
              <w:jc w:val="center"/>
            </w:pPr>
            <w:r>
              <w:t>1980*</w:t>
            </w:r>
          </w:p>
        </w:tc>
        <w:tc>
          <w:tcPr>
            <w:tcW w:w="1148" w:type="dxa"/>
            <w:tcBorders>
              <w:bottom w:val="single" w:sz="2" w:space="0" w:color="000000"/>
            </w:tcBorders>
            <w:vAlign w:val="center"/>
          </w:tcPr>
          <w:p w:rsidR="00000000" w:rsidRDefault="00000000">
            <w:pPr>
              <w:spacing w:before="40" w:after="40"/>
              <w:jc w:val="center"/>
            </w:pPr>
            <w:r>
              <w:t>1991*</w:t>
            </w:r>
          </w:p>
        </w:tc>
        <w:tc>
          <w:tcPr>
            <w:tcW w:w="1148" w:type="dxa"/>
            <w:tcBorders>
              <w:bottom w:val="single" w:sz="2" w:space="0" w:color="000000"/>
            </w:tcBorders>
            <w:vAlign w:val="center"/>
          </w:tcPr>
          <w:p w:rsidR="00000000" w:rsidRDefault="00000000">
            <w:pPr>
              <w:spacing w:before="40" w:after="40"/>
              <w:jc w:val="center"/>
            </w:pPr>
            <w:r>
              <w:t>1995*</w:t>
            </w:r>
          </w:p>
        </w:tc>
        <w:tc>
          <w:tcPr>
            <w:tcW w:w="1148" w:type="dxa"/>
            <w:tcBorders>
              <w:bottom w:val="single" w:sz="2" w:space="0" w:color="000000"/>
            </w:tcBorders>
            <w:vAlign w:val="center"/>
          </w:tcPr>
          <w:p w:rsidR="00000000" w:rsidRDefault="00000000">
            <w:pPr>
              <w:spacing w:before="40" w:after="40"/>
              <w:jc w:val="center"/>
            </w:pPr>
            <w:r>
              <w:t>1996**</w:t>
            </w:r>
          </w:p>
        </w:tc>
      </w:tr>
      <w:tr w:rsidR="00000000">
        <w:tblPrEx>
          <w:tblCellMar>
            <w:top w:w="0" w:type="dxa"/>
            <w:bottom w:w="0" w:type="dxa"/>
          </w:tblCellMar>
        </w:tblPrEx>
        <w:trPr>
          <w:cantSplit/>
          <w:trHeight w:val="229"/>
        </w:trPr>
        <w:tc>
          <w:tcPr>
            <w:tcW w:w="3475" w:type="dxa"/>
            <w:tcBorders>
              <w:top w:val="nil"/>
            </w:tcBorders>
            <w:vAlign w:val="center"/>
          </w:tcPr>
          <w:p w:rsidR="00000000" w:rsidRDefault="00000000">
            <w:pPr>
              <w:tabs>
                <w:tab w:val="left" w:pos="284"/>
              </w:tabs>
              <w:spacing w:before="40" w:after="40"/>
            </w:pPr>
            <w:r>
              <w:t>Water (distribution system)</w:t>
            </w:r>
          </w:p>
        </w:tc>
        <w:tc>
          <w:tcPr>
            <w:tcW w:w="1148" w:type="dxa"/>
            <w:tcBorders>
              <w:top w:val="nil"/>
              <w:right w:val="single" w:sz="6" w:space="0" w:color="auto"/>
            </w:tcBorders>
            <w:vAlign w:val="center"/>
          </w:tcPr>
          <w:p w:rsidR="00000000" w:rsidRDefault="00000000">
            <w:pPr>
              <w:spacing w:before="40" w:after="40"/>
              <w:ind w:right="284"/>
              <w:jc w:val="right"/>
            </w:pPr>
          </w:p>
        </w:tc>
        <w:tc>
          <w:tcPr>
            <w:tcW w:w="1148" w:type="dxa"/>
            <w:tcBorders>
              <w:top w:val="single" w:sz="2" w:space="0" w:color="000000"/>
              <w:left w:val="single" w:sz="6" w:space="0" w:color="auto"/>
              <w:bottom w:val="nil"/>
              <w:right w:val="single" w:sz="6" w:space="0" w:color="auto"/>
            </w:tcBorders>
            <w:vAlign w:val="center"/>
          </w:tcPr>
          <w:p w:rsidR="00000000" w:rsidRDefault="00000000">
            <w:pPr>
              <w:spacing w:before="40" w:after="40"/>
              <w:ind w:right="284"/>
              <w:jc w:val="right"/>
            </w:pPr>
          </w:p>
        </w:tc>
        <w:tc>
          <w:tcPr>
            <w:tcW w:w="1148" w:type="dxa"/>
            <w:tcBorders>
              <w:top w:val="nil"/>
              <w:left w:val="single" w:sz="6" w:space="0" w:color="auto"/>
            </w:tcBorders>
            <w:vAlign w:val="center"/>
          </w:tcPr>
          <w:p w:rsidR="00000000" w:rsidRDefault="00000000">
            <w:pPr>
              <w:spacing w:before="40" w:after="40"/>
              <w:ind w:right="284"/>
              <w:jc w:val="right"/>
            </w:pPr>
          </w:p>
        </w:tc>
        <w:tc>
          <w:tcPr>
            <w:tcW w:w="1148" w:type="dxa"/>
            <w:tcBorders>
              <w:top w:val="nil"/>
            </w:tcBorders>
            <w:vAlign w:val="center"/>
          </w:tcPr>
          <w:p w:rsidR="00000000" w:rsidRDefault="00000000">
            <w:pPr>
              <w:spacing w:before="40" w:after="40"/>
              <w:ind w:right="284"/>
              <w:jc w:val="right"/>
            </w:pPr>
          </w:p>
        </w:tc>
        <w:tc>
          <w:tcPr>
            <w:tcW w:w="1148" w:type="dxa"/>
            <w:tcBorders>
              <w:top w:val="nil"/>
            </w:tcBorders>
            <w:vAlign w:val="center"/>
          </w:tcPr>
          <w:p w:rsidR="00000000" w:rsidRDefault="00000000">
            <w:pPr>
              <w:spacing w:before="40" w:after="40"/>
              <w:ind w:right="284"/>
              <w:jc w:val="right"/>
            </w:pPr>
          </w:p>
        </w:tc>
      </w:tr>
      <w:tr w:rsidR="00000000">
        <w:tblPrEx>
          <w:tblCellMar>
            <w:top w:w="0" w:type="dxa"/>
            <w:bottom w:w="0" w:type="dxa"/>
          </w:tblCellMar>
        </w:tblPrEx>
        <w:trPr>
          <w:cantSplit/>
          <w:trHeight w:val="229"/>
        </w:trPr>
        <w:tc>
          <w:tcPr>
            <w:tcW w:w="3475" w:type="dxa"/>
            <w:tcBorders>
              <w:top w:val="nil"/>
            </w:tcBorders>
            <w:vAlign w:val="center"/>
          </w:tcPr>
          <w:p w:rsidR="00000000" w:rsidRDefault="00000000">
            <w:pPr>
              <w:tabs>
                <w:tab w:val="left" w:pos="284"/>
              </w:tabs>
              <w:spacing w:before="40" w:after="40"/>
            </w:pPr>
            <w:r>
              <w:tab/>
              <w:t>Urban homes</w:t>
            </w:r>
          </w:p>
        </w:tc>
        <w:tc>
          <w:tcPr>
            <w:tcW w:w="1148" w:type="dxa"/>
            <w:tcBorders>
              <w:top w:val="nil"/>
            </w:tcBorders>
            <w:vAlign w:val="center"/>
          </w:tcPr>
          <w:p w:rsidR="00000000" w:rsidRDefault="00000000">
            <w:pPr>
              <w:spacing w:before="40" w:after="40"/>
              <w:ind w:right="284"/>
              <w:jc w:val="right"/>
            </w:pPr>
            <w:r>
              <w:t>60.5</w:t>
            </w:r>
          </w:p>
        </w:tc>
        <w:tc>
          <w:tcPr>
            <w:tcW w:w="1148" w:type="dxa"/>
            <w:tcBorders>
              <w:top w:val="nil"/>
            </w:tcBorders>
            <w:vAlign w:val="center"/>
          </w:tcPr>
          <w:p w:rsidR="00000000" w:rsidRDefault="00000000">
            <w:pPr>
              <w:spacing w:before="40" w:after="40"/>
              <w:ind w:right="284"/>
              <w:jc w:val="right"/>
            </w:pPr>
            <w:r>
              <w:t>79.0</w:t>
            </w:r>
          </w:p>
        </w:tc>
        <w:tc>
          <w:tcPr>
            <w:tcW w:w="1148" w:type="dxa"/>
            <w:tcBorders>
              <w:top w:val="nil"/>
            </w:tcBorders>
            <w:vAlign w:val="center"/>
          </w:tcPr>
          <w:p w:rsidR="00000000" w:rsidRDefault="00000000">
            <w:pPr>
              <w:spacing w:before="40" w:after="40"/>
              <w:ind w:right="284"/>
              <w:jc w:val="right"/>
            </w:pPr>
            <w:r>
              <w:t>86.3</w:t>
            </w:r>
          </w:p>
        </w:tc>
        <w:tc>
          <w:tcPr>
            <w:tcW w:w="1148" w:type="dxa"/>
            <w:tcBorders>
              <w:top w:val="nil"/>
            </w:tcBorders>
            <w:vAlign w:val="center"/>
          </w:tcPr>
          <w:p w:rsidR="00000000" w:rsidRDefault="00000000">
            <w:pPr>
              <w:spacing w:before="40" w:after="40"/>
              <w:ind w:right="284"/>
              <w:jc w:val="right"/>
            </w:pPr>
            <w:r>
              <w:t>90.4</w:t>
            </w:r>
          </w:p>
        </w:tc>
        <w:tc>
          <w:tcPr>
            <w:tcW w:w="1148" w:type="dxa"/>
            <w:tcBorders>
              <w:top w:val="nil"/>
            </w:tcBorders>
            <w:vAlign w:val="center"/>
          </w:tcPr>
          <w:p w:rsidR="00000000" w:rsidRDefault="00000000">
            <w:pPr>
              <w:spacing w:before="40" w:after="40"/>
              <w:ind w:right="284"/>
              <w:jc w:val="right"/>
            </w:pPr>
            <w:r>
              <w:t>92.0</w:t>
            </w:r>
          </w:p>
        </w:tc>
      </w:tr>
      <w:tr w:rsidR="00000000">
        <w:tblPrEx>
          <w:tblCellMar>
            <w:top w:w="0" w:type="dxa"/>
            <w:bottom w:w="0" w:type="dxa"/>
          </w:tblCellMar>
        </w:tblPrEx>
        <w:trPr>
          <w:cantSplit/>
          <w:trHeight w:val="229"/>
        </w:trPr>
        <w:tc>
          <w:tcPr>
            <w:tcW w:w="3475" w:type="dxa"/>
            <w:vAlign w:val="center"/>
          </w:tcPr>
          <w:p w:rsidR="00000000" w:rsidRDefault="00000000">
            <w:pPr>
              <w:tabs>
                <w:tab w:val="left" w:pos="284"/>
              </w:tabs>
              <w:spacing w:before="40" w:after="40"/>
            </w:pPr>
            <w:r>
              <w:tab/>
              <w:t>Rural homes</w:t>
            </w:r>
          </w:p>
        </w:tc>
        <w:tc>
          <w:tcPr>
            <w:tcW w:w="1148" w:type="dxa"/>
            <w:vAlign w:val="center"/>
          </w:tcPr>
          <w:p w:rsidR="00000000" w:rsidRDefault="00000000">
            <w:pPr>
              <w:spacing w:before="40" w:after="40"/>
              <w:ind w:right="284"/>
              <w:jc w:val="right"/>
            </w:pPr>
            <w:r>
              <w:t>2.6</w:t>
            </w:r>
          </w:p>
        </w:tc>
        <w:tc>
          <w:tcPr>
            <w:tcW w:w="1148" w:type="dxa"/>
            <w:vAlign w:val="center"/>
          </w:tcPr>
          <w:p w:rsidR="00000000" w:rsidRDefault="00000000">
            <w:pPr>
              <w:spacing w:before="40" w:after="40"/>
              <w:ind w:right="284"/>
              <w:jc w:val="right"/>
            </w:pPr>
            <w:r>
              <w:t>5.0</w:t>
            </w:r>
          </w:p>
        </w:tc>
        <w:tc>
          <w:tcPr>
            <w:tcW w:w="1148" w:type="dxa"/>
            <w:vAlign w:val="center"/>
          </w:tcPr>
          <w:p w:rsidR="00000000" w:rsidRDefault="00000000">
            <w:pPr>
              <w:spacing w:before="40" w:after="40"/>
              <w:ind w:right="284"/>
              <w:jc w:val="right"/>
            </w:pPr>
            <w:r>
              <w:t>9.3</w:t>
            </w:r>
          </w:p>
        </w:tc>
        <w:tc>
          <w:tcPr>
            <w:tcW w:w="1148" w:type="dxa"/>
            <w:vAlign w:val="center"/>
          </w:tcPr>
          <w:p w:rsidR="00000000" w:rsidRDefault="00000000">
            <w:pPr>
              <w:spacing w:before="40" w:after="40"/>
              <w:ind w:right="284"/>
              <w:jc w:val="right"/>
            </w:pPr>
            <w:r>
              <w:t>16.7</w:t>
            </w:r>
          </w:p>
        </w:tc>
        <w:tc>
          <w:tcPr>
            <w:tcW w:w="1148" w:type="dxa"/>
            <w:vAlign w:val="center"/>
          </w:tcPr>
          <w:p w:rsidR="00000000" w:rsidRDefault="00000000">
            <w:pPr>
              <w:spacing w:before="40" w:after="40"/>
              <w:ind w:right="284"/>
              <w:jc w:val="right"/>
            </w:pPr>
            <w:r>
              <w:t>15.7</w:t>
            </w:r>
          </w:p>
        </w:tc>
      </w:tr>
      <w:tr w:rsidR="00000000">
        <w:tblPrEx>
          <w:tblCellMar>
            <w:top w:w="0" w:type="dxa"/>
            <w:bottom w:w="0" w:type="dxa"/>
          </w:tblCellMar>
        </w:tblPrEx>
        <w:trPr>
          <w:cantSplit/>
          <w:trHeight w:val="229"/>
        </w:trPr>
        <w:tc>
          <w:tcPr>
            <w:tcW w:w="3475" w:type="dxa"/>
            <w:vAlign w:val="center"/>
          </w:tcPr>
          <w:p w:rsidR="00000000" w:rsidRDefault="00000000">
            <w:pPr>
              <w:tabs>
                <w:tab w:val="left" w:pos="284"/>
              </w:tabs>
              <w:spacing w:before="40" w:after="40"/>
            </w:pPr>
            <w:r>
              <w:t>Sewer (sewerage and septic tank)</w:t>
            </w:r>
          </w:p>
        </w:tc>
        <w:tc>
          <w:tcPr>
            <w:tcW w:w="1148" w:type="dxa"/>
            <w:vAlign w:val="center"/>
          </w:tcPr>
          <w:p w:rsidR="00000000" w:rsidRDefault="00000000">
            <w:pPr>
              <w:spacing w:before="40" w:after="40"/>
              <w:ind w:right="340"/>
              <w:jc w:val="right"/>
            </w:pPr>
          </w:p>
        </w:tc>
        <w:tc>
          <w:tcPr>
            <w:tcW w:w="1148" w:type="dxa"/>
            <w:vAlign w:val="center"/>
          </w:tcPr>
          <w:p w:rsidR="00000000" w:rsidRDefault="00000000">
            <w:pPr>
              <w:spacing w:before="40" w:after="40"/>
              <w:ind w:right="340"/>
              <w:jc w:val="right"/>
            </w:pPr>
          </w:p>
        </w:tc>
        <w:tc>
          <w:tcPr>
            <w:tcW w:w="1148" w:type="dxa"/>
            <w:vAlign w:val="center"/>
          </w:tcPr>
          <w:p w:rsidR="00000000" w:rsidRDefault="00000000">
            <w:pPr>
              <w:spacing w:before="40" w:after="40"/>
              <w:ind w:right="340"/>
              <w:jc w:val="right"/>
            </w:pPr>
          </w:p>
        </w:tc>
        <w:tc>
          <w:tcPr>
            <w:tcW w:w="1148" w:type="dxa"/>
            <w:vAlign w:val="center"/>
          </w:tcPr>
          <w:p w:rsidR="00000000" w:rsidRDefault="00000000">
            <w:pPr>
              <w:spacing w:before="40" w:after="40"/>
              <w:ind w:right="340"/>
              <w:jc w:val="right"/>
            </w:pPr>
          </w:p>
        </w:tc>
        <w:tc>
          <w:tcPr>
            <w:tcW w:w="1148" w:type="dxa"/>
            <w:vAlign w:val="center"/>
          </w:tcPr>
          <w:p w:rsidR="00000000" w:rsidRDefault="00000000">
            <w:pPr>
              <w:spacing w:before="40" w:after="40"/>
              <w:ind w:right="340"/>
              <w:jc w:val="right"/>
            </w:pPr>
          </w:p>
        </w:tc>
      </w:tr>
      <w:tr w:rsidR="00000000">
        <w:tblPrEx>
          <w:tblCellMar>
            <w:top w:w="0" w:type="dxa"/>
            <w:bottom w:w="0" w:type="dxa"/>
          </w:tblCellMar>
        </w:tblPrEx>
        <w:trPr>
          <w:cantSplit/>
          <w:trHeight w:val="229"/>
        </w:trPr>
        <w:tc>
          <w:tcPr>
            <w:tcW w:w="3475" w:type="dxa"/>
            <w:vAlign w:val="center"/>
          </w:tcPr>
          <w:p w:rsidR="00000000" w:rsidRDefault="00000000">
            <w:pPr>
              <w:tabs>
                <w:tab w:val="left" w:pos="284"/>
              </w:tabs>
              <w:spacing w:before="40" w:after="40"/>
            </w:pPr>
            <w:r>
              <w:tab/>
              <w:t>Urban homes</w:t>
            </w:r>
          </w:p>
        </w:tc>
        <w:tc>
          <w:tcPr>
            <w:tcW w:w="1148" w:type="dxa"/>
            <w:vAlign w:val="center"/>
          </w:tcPr>
          <w:p w:rsidR="00000000" w:rsidRDefault="00000000">
            <w:pPr>
              <w:spacing w:before="40" w:after="40"/>
              <w:ind w:right="340"/>
              <w:jc w:val="right"/>
            </w:pPr>
            <w:r>
              <w:t>47.4</w:t>
            </w:r>
          </w:p>
        </w:tc>
        <w:tc>
          <w:tcPr>
            <w:tcW w:w="1148" w:type="dxa"/>
            <w:vAlign w:val="center"/>
          </w:tcPr>
          <w:p w:rsidR="00000000" w:rsidRDefault="00000000">
            <w:pPr>
              <w:spacing w:before="40" w:after="40"/>
              <w:ind w:right="340"/>
              <w:jc w:val="right"/>
            </w:pPr>
            <w:r>
              <w:t>60.0</w:t>
            </w:r>
          </w:p>
        </w:tc>
        <w:tc>
          <w:tcPr>
            <w:tcW w:w="1148" w:type="dxa"/>
            <w:vAlign w:val="center"/>
          </w:tcPr>
          <w:p w:rsidR="00000000" w:rsidRDefault="00000000">
            <w:pPr>
              <w:spacing w:before="40" w:after="40"/>
              <w:ind w:right="340"/>
              <w:jc w:val="right"/>
            </w:pPr>
            <w:r>
              <w:t>63.6</w:t>
            </w:r>
          </w:p>
        </w:tc>
        <w:tc>
          <w:tcPr>
            <w:tcW w:w="1148" w:type="dxa"/>
            <w:vAlign w:val="center"/>
          </w:tcPr>
          <w:p w:rsidR="00000000" w:rsidRDefault="00000000">
            <w:pPr>
              <w:spacing w:before="40" w:after="40"/>
              <w:ind w:right="340"/>
              <w:jc w:val="right"/>
            </w:pPr>
            <w:r>
              <w:t>70.9</w:t>
            </w:r>
          </w:p>
        </w:tc>
        <w:tc>
          <w:tcPr>
            <w:tcW w:w="1148" w:type="dxa"/>
            <w:vAlign w:val="center"/>
          </w:tcPr>
          <w:p w:rsidR="00000000" w:rsidRDefault="00000000">
            <w:pPr>
              <w:spacing w:before="40" w:after="40"/>
              <w:ind w:right="340"/>
              <w:jc w:val="right"/>
            </w:pPr>
            <w:r>
              <w:t>74.2</w:t>
            </w:r>
          </w:p>
        </w:tc>
      </w:tr>
      <w:tr w:rsidR="00000000">
        <w:tblPrEx>
          <w:tblCellMar>
            <w:top w:w="0" w:type="dxa"/>
            <w:bottom w:w="0" w:type="dxa"/>
          </w:tblCellMar>
        </w:tblPrEx>
        <w:trPr>
          <w:cantSplit/>
          <w:trHeight w:val="229"/>
        </w:trPr>
        <w:tc>
          <w:tcPr>
            <w:tcW w:w="3475" w:type="dxa"/>
            <w:vAlign w:val="center"/>
          </w:tcPr>
          <w:p w:rsidR="00000000" w:rsidRDefault="00000000">
            <w:pPr>
              <w:tabs>
                <w:tab w:val="left" w:pos="284"/>
              </w:tabs>
              <w:spacing w:before="40" w:after="40"/>
            </w:pPr>
            <w:r>
              <w:tab/>
              <w:t>Rural homes</w:t>
            </w:r>
          </w:p>
        </w:tc>
        <w:tc>
          <w:tcPr>
            <w:tcW w:w="1148" w:type="dxa"/>
            <w:vAlign w:val="center"/>
          </w:tcPr>
          <w:p w:rsidR="00000000" w:rsidRDefault="00000000">
            <w:pPr>
              <w:spacing w:before="40" w:after="40"/>
              <w:ind w:right="340"/>
              <w:jc w:val="right"/>
            </w:pPr>
            <w:r>
              <w:t>3.7</w:t>
            </w:r>
          </w:p>
        </w:tc>
        <w:tc>
          <w:tcPr>
            <w:tcW w:w="1148" w:type="dxa"/>
            <w:vAlign w:val="center"/>
          </w:tcPr>
          <w:p w:rsidR="00000000" w:rsidRDefault="00000000">
            <w:pPr>
              <w:spacing w:before="40" w:after="40"/>
              <w:ind w:right="340"/>
              <w:jc w:val="right"/>
            </w:pPr>
            <w:r>
              <w:t>8.6</w:t>
            </w:r>
          </w:p>
        </w:tc>
        <w:tc>
          <w:tcPr>
            <w:tcW w:w="1148" w:type="dxa"/>
            <w:vAlign w:val="center"/>
          </w:tcPr>
          <w:p w:rsidR="00000000" w:rsidRDefault="00000000">
            <w:pPr>
              <w:spacing w:before="40" w:after="40"/>
              <w:ind w:right="340"/>
              <w:jc w:val="right"/>
            </w:pPr>
            <w:r>
              <w:t>7.4</w:t>
            </w:r>
          </w:p>
        </w:tc>
        <w:tc>
          <w:tcPr>
            <w:tcW w:w="1148" w:type="dxa"/>
            <w:vAlign w:val="center"/>
          </w:tcPr>
          <w:p w:rsidR="00000000" w:rsidRDefault="00000000">
            <w:pPr>
              <w:spacing w:before="40" w:after="40"/>
              <w:ind w:right="340"/>
              <w:jc w:val="right"/>
            </w:pPr>
            <w:r>
              <w:t>13.8</w:t>
            </w:r>
          </w:p>
        </w:tc>
        <w:tc>
          <w:tcPr>
            <w:tcW w:w="1148" w:type="dxa"/>
            <w:vAlign w:val="center"/>
          </w:tcPr>
          <w:p w:rsidR="00000000" w:rsidRDefault="00000000">
            <w:pPr>
              <w:spacing w:before="40" w:after="40"/>
              <w:ind w:right="340"/>
              <w:jc w:val="right"/>
            </w:pPr>
            <w:r>
              <w:t>18.2</w:t>
            </w:r>
          </w:p>
        </w:tc>
      </w:tr>
    </w:tbl>
    <w:p w:rsidR="00000000" w:rsidRDefault="00000000">
      <w:pPr>
        <w:rPr>
          <w:spacing w:val="20"/>
          <w:kern w:val="16"/>
        </w:rPr>
      </w:pPr>
    </w:p>
    <w:p w:rsidR="00000000" w:rsidRDefault="00000000">
      <w:pPr>
        <w:tabs>
          <w:tab w:val="right" w:pos="1701"/>
          <w:tab w:val="left" w:pos="1814"/>
        </w:tabs>
        <w:rPr>
          <w:kern w:val="16"/>
        </w:rPr>
      </w:pPr>
      <w:r>
        <w:rPr>
          <w:kern w:val="16"/>
        </w:rPr>
        <w:tab/>
      </w:r>
      <w:r>
        <w:rPr>
          <w:kern w:val="16"/>
          <w:u w:val="single"/>
        </w:rPr>
        <w:t>Source</w:t>
      </w:r>
      <w:r>
        <w:rPr>
          <w:kern w:val="16"/>
        </w:rPr>
        <w:t>:</w:t>
      </w:r>
      <w:r>
        <w:rPr>
          <w:kern w:val="16"/>
        </w:rPr>
        <w:tab/>
        <w:t xml:space="preserve">  *  MPO/SEPURB </w:t>
      </w:r>
      <w:r>
        <w:rPr>
          <w:kern w:val="16"/>
        </w:rPr>
        <w:noBreakHyphen/>
        <w:t xml:space="preserve"> National Sanitation Policy.</w:t>
      </w:r>
    </w:p>
    <w:p w:rsidR="00000000" w:rsidRDefault="00000000">
      <w:pPr>
        <w:tabs>
          <w:tab w:val="right" w:pos="1701"/>
          <w:tab w:val="left" w:pos="1814"/>
        </w:tabs>
        <w:rPr>
          <w:kern w:val="16"/>
        </w:rPr>
      </w:pPr>
    </w:p>
    <w:p w:rsidR="00000000" w:rsidRDefault="00000000">
      <w:pPr>
        <w:tabs>
          <w:tab w:val="right" w:pos="1701"/>
          <w:tab w:val="left" w:pos="1814"/>
        </w:tabs>
        <w:rPr>
          <w:kern w:val="16"/>
        </w:rPr>
      </w:pPr>
      <w:r>
        <w:rPr>
          <w:kern w:val="16"/>
        </w:rPr>
        <w:tab/>
      </w:r>
      <w:r>
        <w:rPr>
          <w:kern w:val="16"/>
        </w:rPr>
        <w:tab/>
        <w:t xml:space="preserve">**  IBGE </w:t>
      </w:r>
      <w:r>
        <w:rPr>
          <w:kern w:val="16"/>
        </w:rPr>
        <w:noBreakHyphen/>
        <w:t xml:space="preserve"> 1996 PNAD Indicators Summary.</w:t>
      </w:r>
    </w:p>
    <w:p w:rsidR="00000000" w:rsidRDefault="00000000">
      <w:pPr>
        <w:rPr>
          <w:spacing w:val="20"/>
          <w:kern w:val="16"/>
        </w:rPr>
      </w:pPr>
    </w:p>
    <w:p w:rsidR="00000000" w:rsidRDefault="00000000">
      <w:pPr>
        <w:pStyle w:val="Heading1"/>
        <w:rPr>
          <w:kern w:val="16"/>
        </w:rPr>
      </w:pPr>
      <w:r>
        <w:rPr>
          <w:kern w:val="16"/>
        </w:rPr>
        <w:br w:type="page"/>
        <w:t>Table 66</w:t>
      </w:r>
    </w:p>
    <w:p w:rsidR="00000000" w:rsidRDefault="00000000"/>
    <w:p w:rsidR="00000000" w:rsidRDefault="00000000">
      <w:pPr>
        <w:pStyle w:val="Heading1"/>
      </w:pPr>
      <w:r>
        <w:t>Urban homes by type of water supply, 1997</w:t>
      </w:r>
    </w:p>
    <w:p w:rsidR="00000000" w:rsidRDefault="00000000"/>
    <w:tbl>
      <w:tblPr>
        <w:tblW w:w="0" w:type="auto"/>
        <w:jc w:val="center"/>
        <w:tblInd w:w="97"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405"/>
        <w:gridCol w:w="1545"/>
        <w:gridCol w:w="1559"/>
        <w:gridCol w:w="1368"/>
        <w:gridCol w:w="1326"/>
        <w:gridCol w:w="1275"/>
        <w:gridCol w:w="886"/>
      </w:tblGrid>
      <w:tr w:rsidR="00000000">
        <w:tblPrEx>
          <w:tblCellMar>
            <w:top w:w="0" w:type="dxa"/>
            <w:bottom w:w="0" w:type="dxa"/>
          </w:tblCellMar>
        </w:tblPrEx>
        <w:trPr>
          <w:cantSplit/>
          <w:jc w:val="center"/>
        </w:trPr>
        <w:tc>
          <w:tcPr>
            <w:tcW w:w="1405" w:type="dxa"/>
            <w:vMerge w:val="restart"/>
            <w:tcBorders>
              <w:top w:val="single" w:sz="6" w:space="0" w:color="auto"/>
            </w:tcBorders>
            <w:vAlign w:val="center"/>
          </w:tcPr>
          <w:p w:rsidR="00000000" w:rsidRDefault="00000000">
            <w:pPr>
              <w:jc w:val="center"/>
            </w:pPr>
            <w:r>
              <w:t>Major regions</w:t>
            </w:r>
          </w:p>
        </w:tc>
        <w:tc>
          <w:tcPr>
            <w:tcW w:w="1545" w:type="dxa"/>
            <w:vMerge w:val="restart"/>
            <w:tcBorders>
              <w:top w:val="single" w:sz="6" w:space="0" w:color="auto"/>
            </w:tcBorders>
            <w:vAlign w:val="center"/>
          </w:tcPr>
          <w:p w:rsidR="00000000" w:rsidRDefault="00000000">
            <w:pPr>
              <w:jc w:val="center"/>
            </w:pPr>
            <w:r>
              <w:t>Total No. of homes</w:t>
            </w:r>
          </w:p>
        </w:tc>
        <w:tc>
          <w:tcPr>
            <w:tcW w:w="6414" w:type="dxa"/>
            <w:gridSpan w:val="5"/>
            <w:tcBorders>
              <w:top w:val="single" w:sz="6" w:space="0" w:color="auto"/>
              <w:bottom w:val="single" w:sz="6" w:space="0" w:color="auto"/>
            </w:tcBorders>
            <w:vAlign w:val="center"/>
          </w:tcPr>
          <w:p w:rsidR="00000000" w:rsidRDefault="00000000">
            <w:pPr>
              <w:jc w:val="center"/>
            </w:pPr>
            <w:r>
              <w:t>Water supply (%)</w:t>
            </w:r>
          </w:p>
        </w:tc>
      </w:tr>
      <w:tr w:rsidR="00000000">
        <w:tblPrEx>
          <w:tblCellMar>
            <w:top w:w="0" w:type="dxa"/>
            <w:bottom w:w="0" w:type="dxa"/>
          </w:tblCellMar>
        </w:tblPrEx>
        <w:trPr>
          <w:cantSplit/>
          <w:jc w:val="center"/>
        </w:trPr>
        <w:tc>
          <w:tcPr>
            <w:tcW w:w="1405" w:type="dxa"/>
            <w:vMerge/>
            <w:vAlign w:val="center"/>
          </w:tcPr>
          <w:p w:rsidR="00000000" w:rsidRDefault="00000000">
            <w:pPr>
              <w:jc w:val="center"/>
            </w:pPr>
          </w:p>
        </w:tc>
        <w:tc>
          <w:tcPr>
            <w:tcW w:w="1545" w:type="dxa"/>
            <w:vMerge/>
            <w:vAlign w:val="center"/>
          </w:tcPr>
          <w:p w:rsidR="00000000" w:rsidRDefault="00000000">
            <w:pPr>
              <w:jc w:val="center"/>
            </w:pPr>
          </w:p>
        </w:tc>
        <w:tc>
          <w:tcPr>
            <w:tcW w:w="2927" w:type="dxa"/>
            <w:gridSpan w:val="2"/>
            <w:tcBorders>
              <w:top w:val="single" w:sz="6" w:space="0" w:color="auto"/>
              <w:bottom w:val="single" w:sz="6" w:space="0" w:color="auto"/>
            </w:tcBorders>
            <w:vAlign w:val="center"/>
          </w:tcPr>
          <w:p w:rsidR="00000000" w:rsidRDefault="00000000">
            <w:pPr>
              <w:jc w:val="center"/>
            </w:pPr>
            <w:r>
              <w:t>With inside plumbing</w:t>
            </w:r>
          </w:p>
        </w:tc>
        <w:tc>
          <w:tcPr>
            <w:tcW w:w="2601" w:type="dxa"/>
            <w:gridSpan w:val="2"/>
            <w:tcBorders>
              <w:top w:val="single" w:sz="6" w:space="0" w:color="auto"/>
              <w:bottom w:val="single" w:sz="6" w:space="0" w:color="auto"/>
            </w:tcBorders>
            <w:vAlign w:val="center"/>
          </w:tcPr>
          <w:p w:rsidR="00000000" w:rsidRDefault="00000000">
            <w:pPr>
              <w:jc w:val="center"/>
            </w:pPr>
            <w:r>
              <w:t>Without inside plumbing</w:t>
            </w:r>
          </w:p>
        </w:tc>
        <w:tc>
          <w:tcPr>
            <w:tcW w:w="886" w:type="dxa"/>
            <w:vMerge w:val="restart"/>
            <w:tcBorders>
              <w:top w:val="single" w:sz="6" w:space="0" w:color="auto"/>
            </w:tcBorders>
            <w:vAlign w:val="center"/>
          </w:tcPr>
          <w:p w:rsidR="00000000" w:rsidRDefault="00000000">
            <w:pPr>
              <w:jc w:val="center"/>
            </w:pPr>
            <w:r>
              <w:t>Other</w:t>
            </w:r>
          </w:p>
        </w:tc>
      </w:tr>
      <w:tr w:rsidR="00000000">
        <w:tblPrEx>
          <w:tblCellMar>
            <w:top w:w="0" w:type="dxa"/>
            <w:bottom w:w="0" w:type="dxa"/>
          </w:tblCellMar>
        </w:tblPrEx>
        <w:trPr>
          <w:cantSplit/>
          <w:jc w:val="center"/>
        </w:trPr>
        <w:tc>
          <w:tcPr>
            <w:tcW w:w="1405" w:type="dxa"/>
            <w:vMerge/>
            <w:vAlign w:val="center"/>
          </w:tcPr>
          <w:p w:rsidR="00000000" w:rsidRDefault="00000000">
            <w:pPr>
              <w:spacing w:before="40" w:after="40"/>
              <w:jc w:val="center"/>
            </w:pPr>
          </w:p>
        </w:tc>
        <w:tc>
          <w:tcPr>
            <w:tcW w:w="1545" w:type="dxa"/>
            <w:vMerge/>
            <w:vAlign w:val="center"/>
          </w:tcPr>
          <w:p w:rsidR="00000000" w:rsidRDefault="00000000">
            <w:pPr>
              <w:spacing w:before="40" w:after="40"/>
              <w:ind w:right="227"/>
              <w:jc w:val="center"/>
            </w:pPr>
          </w:p>
        </w:tc>
        <w:tc>
          <w:tcPr>
            <w:tcW w:w="1559" w:type="dxa"/>
            <w:tcBorders>
              <w:top w:val="single" w:sz="6" w:space="0" w:color="auto"/>
            </w:tcBorders>
            <w:vAlign w:val="center"/>
          </w:tcPr>
          <w:p w:rsidR="00000000" w:rsidRDefault="00000000">
            <w:pPr>
              <w:spacing w:before="40" w:after="40"/>
              <w:jc w:val="center"/>
            </w:pPr>
            <w:r>
              <w:t>General system</w:t>
            </w:r>
          </w:p>
        </w:tc>
        <w:tc>
          <w:tcPr>
            <w:tcW w:w="1368" w:type="dxa"/>
            <w:tcBorders>
              <w:top w:val="single" w:sz="6" w:space="0" w:color="auto"/>
            </w:tcBorders>
            <w:vAlign w:val="center"/>
          </w:tcPr>
          <w:p w:rsidR="00000000" w:rsidRDefault="00000000">
            <w:pPr>
              <w:spacing w:before="40" w:after="40"/>
              <w:ind w:right="397"/>
              <w:jc w:val="center"/>
            </w:pPr>
            <w:r>
              <w:t>Well or spring</w:t>
            </w:r>
          </w:p>
        </w:tc>
        <w:tc>
          <w:tcPr>
            <w:tcW w:w="1326" w:type="dxa"/>
            <w:tcBorders>
              <w:top w:val="single" w:sz="6" w:space="0" w:color="auto"/>
            </w:tcBorders>
            <w:vAlign w:val="center"/>
          </w:tcPr>
          <w:p w:rsidR="00000000" w:rsidRDefault="00000000">
            <w:pPr>
              <w:spacing w:before="40" w:after="40"/>
              <w:ind w:right="397"/>
              <w:jc w:val="center"/>
            </w:pPr>
            <w:r>
              <w:t>General system</w:t>
            </w:r>
          </w:p>
        </w:tc>
        <w:tc>
          <w:tcPr>
            <w:tcW w:w="1275" w:type="dxa"/>
            <w:tcBorders>
              <w:top w:val="single" w:sz="6" w:space="0" w:color="auto"/>
            </w:tcBorders>
            <w:vAlign w:val="center"/>
          </w:tcPr>
          <w:p w:rsidR="00000000" w:rsidRDefault="00000000">
            <w:pPr>
              <w:spacing w:before="40" w:after="40"/>
              <w:ind w:right="397"/>
              <w:jc w:val="center"/>
            </w:pPr>
            <w:r>
              <w:t>Well or spring</w:t>
            </w:r>
          </w:p>
        </w:tc>
        <w:tc>
          <w:tcPr>
            <w:tcW w:w="886" w:type="dxa"/>
            <w:vMerge/>
            <w:vAlign w:val="center"/>
          </w:tcPr>
          <w:p w:rsidR="00000000" w:rsidRDefault="00000000">
            <w:pPr>
              <w:spacing w:before="40" w:after="40"/>
              <w:ind w:right="170"/>
              <w:jc w:val="center"/>
            </w:pPr>
          </w:p>
        </w:tc>
      </w:tr>
      <w:tr w:rsidR="00000000">
        <w:tblPrEx>
          <w:tblCellMar>
            <w:top w:w="0" w:type="dxa"/>
            <w:bottom w:w="0" w:type="dxa"/>
          </w:tblCellMar>
        </w:tblPrEx>
        <w:trPr>
          <w:cantSplit/>
          <w:jc w:val="center"/>
        </w:trPr>
        <w:tc>
          <w:tcPr>
            <w:tcW w:w="1405" w:type="dxa"/>
            <w:tcBorders>
              <w:top w:val="single" w:sz="6" w:space="0" w:color="auto"/>
            </w:tcBorders>
            <w:vAlign w:val="center"/>
          </w:tcPr>
          <w:p w:rsidR="00000000" w:rsidRDefault="00000000">
            <w:pPr>
              <w:spacing w:before="40" w:after="40"/>
            </w:pPr>
            <w:r>
              <w:t>Brazil</w:t>
            </w:r>
          </w:p>
        </w:tc>
        <w:tc>
          <w:tcPr>
            <w:tcW w:w="1545" w:type="dxa"/>
            <w:tcBorders>
              <w:top w:val="single" w:sz="6" w:space="0" w:color="auto"/>
            </w:tcBorders>
            <w:vAlign w:val="center"/>
          </w:tcPr>
          <w:p w:rsidR="00000000" w:rsidRDefault="00000000">
            <w:pPr>
              <w:spacing w:before="40" w:after="40"/>
              <w:ind w:right="227"/>
              <w:jc w:val="right"/>
            </w:pPr>
            <w:r>
              <w:t>32 980 372</w:t>
            </w:r>
          </w:p>
        </w:tc>
        <w:tc>
          <w:tcPr>
            <w:tcW w:w="1559" w:type="dxa"/>
            <w:tcBorders>
              <w:top w:val="single" w:sz="6" w:space="0" w:color="auto"/>
            </w:tcBorders>
            <w:vAlign w:val="center"/>
          </w:tcPr>
          <w:p w:rsidR="00000000" w:rsidRDefault="00000000">
            <w:pPr>
              <w:spacing w:before="40" w:after="40"/>
              <w:jc w:val="center"/>
            </w:pPr>
            <w:r>
              <w:t>87.4</w:t>
            </w:r>
          </w:p>
        </w:tc>
        <w:tc>
          <w:tcPr>
            <w:tcW w:w="1368" w:type="dxa"/>
            <w:tcBorders>
              <w:top w:val="single" w:sz="6" w:space="0" w:color="auto"/>
            </w:tcBorders>
            <w:vAlign w:val="center"/>
          </w:tcPr>
          <w:p w:rsidR="00000000" w:rsidRDefault="00000000">
            <w:pPr>
              <w:spacing w:before="40" w:after="40"/>
              <w:ind w:right="567"/>
              <w:jc w:val="right"/>
            </w:pPr>
            <w:r>
              <w:t>4.1</w:t>
            </w:r>
          </w:p>
        </w:tc>
        <w:tc>
          <w:tcPr>
            <w:tcW w:w="1326" w:type="dxa"/>
            <w:tcBorders>
              <w:top w:val="single" w:sz="6" w:space="0" w:color="auto"/>
            </w:tcBorders>
            <w:vAlign w:val="center"/>
          </w:tcPr>
          <w:p w:rsidR="00000000" w:rsidRDefault="00000000">
            <w:pPr>
              <w:spacing w:before="40" w:after="40"/>
              <w:ind w:right="567"/>
              <w:jc w:val="right"/>
            </w:pPr>
            <w:r>
              <w:t>3.8</w:t>
            </w:r>
          </w:p>
        </w:tc>
        <w:tc>
          <w:tcPr>
            <w:tcW w:w="1275" w:type="dxa"/>
            <w:tcBorders>
              <w:top w:val="single" w:sz="6" w:space="0" w:color="auto"/>
            </w:tcBorders>
            <w:vAlign w:val="center"/>
          </w:tcPr>
          <w:p w:rsidR="00000000" w:rsidRDefault="00000000">
            <w:pPr>
              <w:spacing w:before="40" w:after="40"/>
              <w:ind w:right="567"/>
              <w:jc w:val="right"/>
            </w:pPr>
            <w:r>
              <w:t>2.2</w:t>
            </w:r>
          </w:p>
        </w:tc>
        <w:tc>
          <w:tcPr>
            <w:tcW w:w="886" w:type="dxa"/>
            <w:tcBorders>
              <w:top w:val="single" w:sz="6" w:space="0" w:color="auto"/>
            </w:tcBorders>
            <w:vAlign w:val="center"/>
          </w:tcPr>
          <w:p w:rsidR="00000000" w:rsidRDefault="00000000">
            <w:pPr>
              <w:spacing w:before="40" w:after="40"/>
              <w:ind w:right="170"/>
              <w:jc w:val="center"/>
            </w:pPr>
            <w:r>
              <w:t>2.3</w:t>
            </w:r>
          </w:p>
        </w:tc>
      </w:tr>
      <w:tr w:rsidR="00000000">
        <w:tblPrEx>
          <w:tblCellMar>
            <w:top w:w="0" w:type="dxa"/>
            <w:bottom w:w="0" w:type="dxa"/>
          </w:tblCellMar>
        </w:tblPrEx>
        <w:trPr>
          <w:cantSplit/>
          <w:jc w:val="center"/>
        </w:trPr>
        <w:tc>
          <w:tcPr>
            <w:tcW w:w="1405" w:type="dxa"/>
            <w:vAlign w:val="center"/>
          </w:tcPr>
          <w:p w:rsidR="00000000" w:rsidRDefault="00000000">
            <w:pPr>
              <w:spacing w:before="40" w:after="40"/>
            </w:pPr>
            <w:r>
              <w:t>North</w:t>
            </w:r>
          </w:p>
        </w:tc>
        <w:tc>
          <w:tcPr>
            <w:tcW w:w="1545" w:type="dxa"/>
            <w:vAlign w:val="center"/>
          </w:tcPr>
          <w:p w:rsidR="00000000" w:rsidRDefault="00000000">
            <w:pPr>
              <w:spacing w:before="40" w:after="40"/>
              <w:ind w:right="227"/>
              <w:jc w:val="right"/>
            </w:pPr>
            <w:r>
              <w:t>1 625 591</w:t>
            </w:r>
          </w:p>
        </w:tc>
        <w:tc>
          <w:tcPr>
            <w:tcW w:w="1559" w:type="dxa"/>
            <w:vAlign w:val="center"/>
          </w:tcPr>
          <w:p w:rsidR="00000000" w:rsidRDefault="00000000">
            <w:pPr>
              <w:spacing w:before="40" w:after="40"/>
              <w:jc w:val="center"/>
            </w:pPr>
            <w:r>
              <w:t>57.4</w:t>
            </w:r>
          </w:p>
        </w:tc>
        <w:tc>
          <w:tcPr>
            <w:tcW w:w="1368" w:type="dxa"/>
            <w:vAlign w:val="center"/>
          </w:tcPr>
          <w:p w:rsidR="00000000" w:rsidRDefault="00000000">
            <w:pPr>
              <w:spacing w:before="40" w:after="40"/>
              <w:ind w:right="567"/>
              <w:jc w:val="right"/>
            </w:pPr>
            <w:r>
              <w:t>13.0</w:t>
            </w:r>
          </w:p>
        </w:tc>
        <w:tc>
          <w:tcPr>
            <w:tcW w:w="1326" w:type="dxa"/>
            <w:vAlign w:val="center"/>
          </w:tcPr>
          <w:p w:rsidR="00000000" w:rsidRDefault="00000000">
            <w:pPr>
              <w:spacing w:before="40" w:after="40"/>
              <w:ind w:right="567"/>
              <w:jc w:val="right"/>
            </w:pPr>
            <w:r>
              <w:t>12.2</w:t>
            </w:r>
          </w:p>
        </w:tc>
        <w:tc>
          <w:tcPr>
            <w:tcW w:w="1275" w:type="dxa"/>
            <w:vAlign w:val="center"/>
          </w:tcPr>
          <w:p w:rsidR="00000000" w:rsidRDefault="00000000">
            <w:pPr>
              <w:spacing w:before="40" w:after="40"/>
              <w:ind w:right="567"/>
              <w:jc w:val="right"/>
            </w:pPr>
            <w:r>
              <w:t>12.0</w:t>
            </w:r>
          </w:p>
        </w:tc>
        <w:tc>
          <w:tcPr>
            <w:tcW w:w="886" w:type="dxa"/>
            <w:vAlign w:val="center"/>
          </w:tcPr>
          <w:p w:rsidR="00000000" w:rsidRDefault="00000000">
            <w:pPr>
              <w:spacing w:before="40" w:after="40"/>
              <w:ind w:right="170"/>
              <w:jc w:val="center"/>
            </w:pPr>
            <w:r>
              <w:t>5.2</w:t>
            </w:r>
          </w:p>
        </w:tc>
      </w:tr>
      <w:tr w:rsidR="00000000">
        <w:tblPrEx>
          <w:tblCellMar>
            <w:top w:w="0" w:type="dxa"/>
            <w:bottom w:w="0" w:type="dxa"/>
          </w:tblCellMar>
        </w:tblPrEx>
        <w:trPr>
          <w:cantSplit/>
          <w:jc w:val="center"/>
        </w:trPr>
        <w:tc>
          <w:tcPr>
            <w:tcW w:w="1405" w:type="dxa"/>
            <w:vAlign w:val="center"/>
          </w:tcPr>
          <w:p w:rsidR="00000000" w:rsidRDefault="00000000">
            <w:pPr>
              <w:spacing w:before="40" w:after="40"/>
            </w:pPr>
            <w:r>
              <w:t>North</w:t>
            </w:r>
            <w:r>
              <w:noBreakHyphen/>
              <w:t>east</w:t>
            </w:r>
          </w:p>
        </w:tc>
        <w:tc>
          <w:tcPr>
            <w:tcW w:w="1545" w:type="dxa"/>
            <w:vAlign w:val="center"/>
          </w:tcPr>
          <w:p w:rsidR="00000000" w:rsidRDefault="00000000">
            <w:pPr>
              <w:spacing w:before="40" w:after="40"/>
              <w:ind w:right="227"/>
              <w:jc w:val="right"/>
            </w:pPr>
            <w:r>
              <w:t>7 014 197</w:t>
            </w:r>
          </w:p>
        </w:tc>
        <w:tc>
          <w:tcPr>
            <w:tcW w:w="1559" w:type="dxa"/>
            <w:vAlign w:val="center"/>
          </w:tcPr>
          <w:p w:rsidR="00000000" w:rsidRDefault="00000000">
            <w:pPr>
              <w:spacing w:before="40" w:after="40"/>
              <w:jc w:val="center"/>
            </w:pPr>
            <w:r>
              <w:t>77.1</w:t>
            </w:r>
          </w:p>
        </w:tc>
        <w:tc>
          <w:tcPr>
            <w:tcW w:w="1368" w:type="dxa"/>
            <w:vAlign w:val="center"/>
          </w:tcPr>
          <w:p w:rsidR="00000000" w:rsidRDefault="00000000">
            <w:pPr>
              <w:spacing w:before="40" w:after="40"/>
              <w:ind w:right="567"/>
              <w:jc w:val="right"/>
            </w:pPr>
            <w:r>
              <w:t>1.9</w:t>
            </w:r>
          </w:p>
        </w:tc>
        <w:tc>
          <w:tcPr>
            <w:tcW w:w="1326" w:type="dxa"/>
            <w:vAlign w:val="center"/>
          </w:tcPr>
          <w:p w:rsidR="00000000" w:rsidRDefault="00000000">
            <w:pPr>
              <w:spacing w:before="40" w:after="40"/>
              <w:ind w:right="567"/>
              <w:jc w:val="right"/>
            </w:pPr>
            <w:r>
              <w:t>8.4</w:t>
            </w:r>
          </w:p>
        </w:tc>
        <w:tc>
          <w:tcPr>
            <w:tcW w:w="1275" w:type="dxa"/>
            <w:vAlign w:val="center"/>
          </w:tcPr>
          <w:p w:rsidR="00000000" w:rsidRDefault="00000000">
            <w:pPr>
              <w:spacing w:before="40" w:after="40"/>
              <w:ind w:right="567"/>
              <w:jc w:val="right"/>
            </w:pPr>
            <w:r>
              <w:t>3.9</w:t>
            </w:r>
          </w:p>
        </w:tc>
        <w:tc>
          <w:tcPr>
            <w:tcW w:w="886" w:type="dxa"/>
            <w:vAlign w:val="center"/>
          </w:tcPr>
          <w:p w:rsidR="00000000" w:rsidRDefault="00000000">
            <w:pPr>
              <w:spacing w:before="40" w:after="40"/>
              <w:ind w:right="170"/>
              <w:jc w:val="center"/>
            </w:pPr>
            <w:r>
              <w:t>8.6</w:t>
            </w:r>
          </w:p>
        </w:tc>
      </w:tr>
      <w:tr w:rsidR="00000000">
        <w:tblPrEx>
          <w:tblCellMar>
            <w:top w:w="0" w:type="dxa"/>
            <w:bottom w:w="0" w:type="dxa"/>
          </w:tblCellMar>
        </w:tblPrEx>
        <w:trPr>
          <w:cantSplit/>
          <w:jc w:val="center"/>
        </w:trPr>
        <w:tc>
          <w:tcPr>
            <w:tcW w:w="1405" w:type="dxa"/>
            <w:vAlign w:val="center"/>
          </w:tcPr>
          <w:p w:rsidR="00000000" w:rsidRDefault="00000000">
            <w:pPr>
              <w:spacing w:before="40" w:after="40"/>
            </w:pPr>
            <w:r>
              <w:t>South</w:t>
            </w:r>
            <w:r>
              <w:noBreakHyphen/>
              <w:t>east</w:t>
            </w:r>
          </w:p>
        </w:tc>
        <w:tc>
          <w:tcPr>
            <w:tcW w:w="1545" w:type="dxa"/>
            <w:vAlign w:val="center"/>
          </w:tcPr>
          <w:p w:rsidR="00000000" w:rsidRDefault="00000000">
            <w:pPr>
              <w:spacing w:before="40" w:after="40"/>
              <w:ind w:right="227"/>
              <w:jc w:val="right"/>
            </w:pPr>
            <w:r>
              <w:t>16 684 919</w:t>
            </w:r>
          </w:p>
        </w:tc>
        <w:tc>
          <w:tcPr>
            <w:tcW w:w="1559" w:type="dxa"/>
            <w:vAlign w:val="center"/>
          </w:tcPr>
          <w:p w:rsidR="00000000" w:rsidRDefault="00000000">
            <w:pPr>
              <w:spacing w:before="40" w:after="40"/>
              <w:jc w:val="center"/>
            </w:pPr>
            <w:r>
              <w:t>94.0</w:t>
            </w:r>
          </w:p>
        </w:tc>
        <w:tc>
          <w:tcPr>
            <w:tcW w:w="1368" w:type="dxa"/>
            <w:vAlign w:val="center"/>
          </w:tcPr>
          <w:p w:rsidR="00000000" w:rsidRDefault="00000000">
            <w:pPr>
              <w:spacing w:before="40" w:after="40"/>
              <w:ind w:right="567"/>
              <w:jc w:val="right"/>
            </w:pPr>
            <w:r>
              <w:t>3.0</w:t>
            </w:r>
          </w:p>
        </w:tc>
        <w:tc>
          <w:tcPr>
            <w:tcW w:w="1326" w:type="dxa"/>
            <w:vAlign w:val="center"/>
          </w:tcPr>
          <w:p w:rsidR="00000000" w:rsidRDefault="00000000">
            <w:pPr>
              <w:spacing w:before="40" w:after="40"/>
              <w:ind w:right="567"/>
              <w:jc w:val="right"/>
            </w:pPr>
            <w:r>
              <w:t>1.7</w:t>
            </w:r>
          </w:p>
        </w:tc>
        <w:tc>
          <w:tcPr>
            <w:tcW w:w="1275" w:type="dxa"/>
            <w:vAlign w:val="center"/>
          </w:tcPr>
          <w:p w:rsidR="00000000" w:rsidRDefault="00000000">
            <w:pPr>
              <w:spacing w:before="40" w:after="40"/>
              <w:ind w:right="567"/>
              <w:jc w:val="right"/>
            </w:pPr>
            <w:r>
              <w:t>0.9</w:t>
            </w:r>
          </w:p>
        </w:tc>
        <w:tc>
          <w:tcPr>
            <w:tcW w:w="886" w:type="dxa"/>
            <w:vAlign w:val="center"/>
          </w:tcPr>
          <w:p w:rsidR="00000000" w:rsidRDefault="00000000">
            <w:pPr>
              <w:spacing w:before="40" w:after="40"/>
              <w:ind w:right="170"/>
              <w:jc w:val="center"/>
            </w:pPr>
            <w:r>
              <w:t>0.3</w:t>
            </w:r>
          </w:p>
        </w:tc>
      </w:tr>
      <w:tr w:rsidR="00000000">
        <w:tblPrEx>
          <w:tblCellMar>
            <w:top w:w="0" w:type="dxa"/>
            <w:bottom w:w="0" w:type="dxa"/>
          </w:tblCellMar>
        </w:tblPrEx>
        <w:trPr>
          <w:cantSplit/>
          <w:jc w:val="center"/>
        </w:trPr>
        <w:tc>
          <w:tcPr>
            <w:tcW w:w="1405" w:type="dxa"/>
            <w:vAlign w:val="center"/>
          </w:tcPr>
          <w:p w:rsidR="00000000" w:rsidRDefault="00000000">
            <w:pPr>
              <w:spacing w:before="40" w:after="40"/>
            </w:pPr>
            <w:r>
              <w:t>South</w:t>
            </w:r>
          </w:p>
        </w:tc>
        <w:tc>
          <w:tcPr>
            <w:tcW w:w="1545" w:type="dxa"/>
            <w:vAlign w:val="center"/>
          </w:tcPr>
          <w:p w:rsidR="00000000" w:rsidRDefault="00000000">
            <w:pPr>
              <w:spacing w:before="40" w:after="40"/>
              <w:ind w:right="227"/>
              <w:jc w:val="right"/>
            </w:pPr>
            <w:r>
              <w:t>5 324 608</w:t>
            </w:r>
          </w:p>
        </w:tc>
        <w:tc>
          <w:tcPr>
            <w:tcW w:w="1559" w:type="dxa"/>
            <w:vAlign w:val="center"/>
          </w:tcPr>
          <w:p w:rsidR="00000000" w:rsidRDefault="00000000">
            <w:pPr>
              <w:spacing w:before="40" w:after="40"/>
              <w:jc w:val="center"/>
            </w:pPr>
            <w:r>
              <w:t>92.9</w:t>
            </w:r>
          </w:p>
        </w:tc>
        <w:tc>
          <w:tcPr>
            <w:tcW w:w="1368" w:type="dxa"/>
            <w:vAlign w:val="center"/>
          </w:tcPr>
          <w:p w:rsidR="00000000" w:rsidRDefault="00000000">
            <w:pPr>
              <w:spacing w:before="40" w:after="40"/>
              <w:ind w:right="567"/>
              <w:jc w:val="right"/>
            </w:pPr>
            <w:r>
              <w:t>4.5</w:t>
            </w:r>
          </w:p>
        </w:tc>
        <w:tc>
          <w:tcPr>
            <w:tcW w:w="1326" w:type="dxa"/>
            <w:vAlign w:val="center"/>
          </w:tcPr>
          <w:p w:rsidR="00000000" w:rsidRDefault="00000000">
            <w:pPr>
              <w:spacing w:before="40" w:after="40"/>
              <w:ind w:right="567"/>
              <w:jc w:val="right"/>
            </w:pPr>
            <w:r>
              <w:t>1.6</w:t>
            </w:r>
          </w:p>
        </w:tc>
        <w:tc>
          <w:tcPr>
            <w:tcW w:w="1275" w:type="dxa"/>
            <w:vAlign w:val="center"/>
          </w:tcPr>
          <w:p w:rsidR="00000000" w:rsidRDefault="00000000">
            <w:pPr>
              <w:spacing w:before="40" w:after="40"/>
              <w:ind w:right="567"/>
              <w:jc w:val="right"/>
            </w:pPr>
            <w:r>
              <w:t>0.6</w:t>
            </w:r>
          </w:p>
        </w:tc>
        <w:tc>
          <w:tcPr>
            <w:tcW w:w="886" w:type="dxa"/>
            <w:vAlign w:val="center"/>
          </w:tcPr>
          <w:p w:rsidR="00000000" w:rsidRDefault="00000000">
            <w:pPr>
              <w:spacing w:before="40" w:after="40"/>
              <w:ind w:right="170"/>
              <w:jc w:val="center"/>
            </w:pPr>
            <w:r>
              <w:t>0.4</w:t>
            </w:r>
          </w:p>
        </w:tc>
      </w:tr>
      <w:tr w:rsidR="00000000">
        <w:tblPrEx>
          <w:tblCellMar>
            <w:top w:w="0" w:type="dxa"/>
            <w:bottom w:w="0" w:type="dxa"/>
          </w:tblCellMar>
        </w:tblPrEx>
        <w:trPr>
          <w:cantSplit/>
          <w:jc w:val="center"/>
        </w:trPr>
        <w:tc>
          <w:tcPr>
            <w:tcW w:w="1405" w:type="dxa"/>
            <w:vAlign w:val="center"/>
          </w:tcPr>
          <w:p w:rsidR="00000000" w:rsidRDefault="00000000">
            <w:pPr>
              <w:spacing w:before="40" w:after="40"/>
            </w:pPr>
            <w:r>
              <w:t>Centre-west</w:t>
            </w:r>
          </w:p>
        </w:tc>
        <w:tc>
          <w:tcPr>
            <w:tcW w:w="1545" w:type="dxa"/>
            <w:vAlign w:val="center"/>
          </w:tcPr>
          <w:p w:rsidR="00000000" w:rsidRDefault="00000000">
            <w:pPr>
              <w:spacing w:before="40" w:after="40"/>
              <w:ind w:right="227"/>
              <w:jc w:val="right"/>
            </w:pPr>
            <w:r>
              <w:t>2 361 814</w:t>
            </w:r>
          </w:p>
        </w:tc>
        <w:tc>
          <w:tcPr>
            <w:tcW w:w="1559" w:type="dxa"/>
            <w:vAlign w:val="center"/>
          </w:tcPr>
          <w:p w:rsidR="00000000" w:rsidRDefault="00000000">
            <w:pPr>
              <w:spacing w:before="40" w:after="40"/>
              <w:jc w:val="center"/>
            </w:pPr>
            <w:r>
              <w:t>80.0</w:t>
            </w:r>
          </w:p>
        </w:tc>
        <w:tc>
          <w:tcPr>
            <w:tcW w:w="1368" w:type="dxa"/>
            <w:vAlign w:val="center"/>
          </w:tcPr>
          <w:p w:rsidR="00000000" w:rsidRDefault="00000000">
            <w:pPr>
              <w:spacing w:before="40" w:after="40"/>
              <w:ind w:right="567"/>
              <w:jc w:val="right"/>
            </w:pPr>
            <w:r>
              <w:t>11.5</w:t>
            </w:r>
          </w:p>
        </w:tc>
        <w:tc>
          <w:tcPr>
            <w:tcW w:w="1326" w:type="dxa"/>
            <w:vAlign w:val="center"/>
          </w:tcPr>
          <w:p w:rsidR="00000000" w:rsidRDefault="00000000">
            <w:pPr>
              <w:spacing w:before="40" w:after="40"/>
              <w:ind w:right="567"/>
              <w:jc w:val="right"/>
            </w:pPr>
            <w:r>
              <w:t>4.1</w:t>
            </w:r>
          </w:p>
        </w:tc>
        <w:tc>
          <w:tcPr>
            <w:tcW w:w="1275" w:type="dxa"/>
            <w:vAlign w:val="center"/>
          </w:tcPr>
          <w:p w:rsidR="00000000" w:rsidRDefault="00000000">
            <w:pPr>
              <w:spacing w:before="40" w:after="40"/>
              <w:ind w:right="567"/>
              <w:jc w:val="right"/>
            </w:pPr>
            <w:r>
              <w:t>3.7</w:t>
            </w:r>
          </w:p>
        </w:tc>
        <w:tc>
          <w:tcPr>
            <w:tcW w:w="886" w:type="dxa"/>
            <w:vAlign w:val="center"/>
          </w:tcPr>
          <w:p w:rsidR="00000000" w:rsidRDefault="00000000">
            <w:pPr>
              <w:spacing w:before="40" w:after="40"/>
              <w:ind w:right="170"/>
              <w:jc w:val="center"/>
            </w:pPr>
            <w:r>
              <w:t>0.5</w:t>
            </w:r>
          </w:p>
        </w:tc>
      </w:tr>
    </w:tbl>
    <w:p w:rsidR="00000000" w:rsidRDefault="00000000">
      <w:pPr>
        <w:rPr>
          <w:spacing w:val="20"/>
          <w:kern w:val="16"/>
        </w:rPr>
      </w:pPr>
    </w:p>
    <w:p w:rsidR="00000000" w:rsidRDefault="00000000">
      <w:pPr>
        <w:rPr>
          <w:kern w:val="16"/>
        </w:rPr>
      </w:pPr>
      <w:r>
        <w:rPr>
          <w:kern w:val="16"/>
        </w:rPr>
        <w:tab/>
      </w:r>
      <w:r>
        <w:rPr>
          <w:kern w:val="16"/>
          <w:u w:val="single"/>
        </w:rPr>
        <w:t>Source</w:t>
      </w:r>
      <w:r>
        <w:rPr>
          <w:kern w:val="16"/>
        </w:rPr>
        <w:t xml:space="preserve">:  IBGE </w:t>
      </w:r>
      <w:r>
        <w:rPr>
          <w:kern w:val="16"/>
        </w:rPr>
        <w:noBreakHyphen/>
        <w:t xml:space="preserve"> 1998 Social Indicators Summary (based on the 1997 PNAD).</w:t>
      </w:r>
    </w:p>
    <w:p w:rsidR="00000000" w:rsidRDefault="00000000">
      <w:pPr>
        <w:rPr>
          <w:spacing w:val="20"/>
          <w:kern w:val="16"/>
        </w:rPr>
      </w:pPr>
    </w:p>
    <w:p w:rsidR="00000000" w:rsidRDefault="00000000">
      <w:pPr>
        <w:pStyle w:val="Heading1"/>
        <w:keepLines/>
        <w:rPr>
          <w:kern w:val="16"/>
        </w:rPr>
      </w:pPr>
      <w:r>
        <w:rPr>
          <w:kern w:val="16"/>
        </w:rPr>
        <w:t>Table 67</w:t>
      </w:r>
    </w:p>
    <w:p w:rsidR="00000000" w:rsidRDefault="00000000">
      <w:pPr>
        <w:keepNext/>
        <w:keepLines/>
      </w:pPr>
    </w:p>
    <w:p w:rsidR="00000000" w:rsidRDefault="00000000">
      <w:pPr>
        <w:pStyle w:val="Heading1"/>
        <w:keepLines/>
      </w:pPr>
      <w:r>
        <w:t>Urban homes by type of trash collection, 1997</w:t>
      </w:r>
    </w:p>
    <w:p w:rsidR="00000000" w:rsidRDefault="00000000"/>
    <w:tbl>
      <w:tblPr>
        <w:tblW w:w="0" w:type="auto"/>
        <w:jc w:val="center"/>
        <w:tblBorders>
          <w:top w:val="single" w:sz="2" w:space="0" w:color="000000"/>
          <w:left w:val="single" w:sz="2" w:space="0" w:color="000000"/>
          <w:bottom w:val="single" w:sz="2" w:space="0" w:color="000000"/>
          <w:right w:val="single" w:sz="2" w:space="0" w:color="000000"/>
          <w:insideV w:val="single" w:sz="2" w:space="0" w:color="000000"/>
        </w:tblBorders>
        <w:tblLayout w:type="fixed"/>
        <w:tblCellMar>
          <w:left w:w="70" w:type="dxa"/>
          <w:right w:w="70" w:type="dxa"/>
        </w:tblCellMar>
        <w:tblLook w:val="0000" w:firstRow="0" w:lastRow="0" w:firstColumn="0" w:lastColumn="0" w:noHBand="0" w:noVBand="0"/>
      </w:tblPr>
      <w:tblGrid>
        <w:gridCol w:w="1913"/>
        <w:gridCol w:w="1701"/>
        <w:gridCol w:w="1399"/>
        <w:gridCol w:w="1399"/>
        <w:gridCol w:w="1399"/>
        <w:gridCol w:w="1400"/>
      </w:tblGrid>
      <w:tr w:rsidR="00000000">
        <w:tblPrEx>
          <w:tblCellMar>
            <w:top w:w="0" w:type="dxa"/>
            <w:bottom w:w="0" w:type="dxa"/>
          </w:tblCellMar>
        </w:tblPrEx>
        <w:trPr>
          <w:cantSplit/>
          <w:jc w:val="center"/>
        </w:trPr>
        <w:tc>
          <w:tcPr>
            <w:tcW w:w="1913" w:type="dxa"/>
            <w:vMerge w:val="restart"/>
            <w:tcBorders>
              <w:top w:val="single" w:sz="2" w:space="0" w:color="000000"/>
            </w:tcBorders>
            <w:vAlign w:val="center"/>
          </w:tcPr>
          <w:p w:rsidR="00000000" w:rsidRDefault="00000000">
            <w:pPr>
              <w:spacing w:before="40" w:after="40"/>
              <w:jc w:val="center"/>
            </w:pPr>
            <w:r>
              <w:t>Major regions</w:t>
            </w:r>
          </w:p>
        </w:tc>
        <w:tc>
          <w:tcPr>
            <w:tcW w:w="1701" w:type="dxa"/>
            <w:vMerge w:val="restart"/>
            <w:tcBorders>
              <w:top w:val="single" w:sz="2" w:space="0" w:color="000000"/>
            </w:tcBorders>
            <w:vAlign w:val="center"/>
          </w:tcPr>
          <w:p w:rsidR="00000000" w:rsidRDefault="00000000">
            <w:pPr>
              <w:spacing w:before="40" w:after="40"/>
              <w:jc w:val="center"/>
            </w:pPr>
            <w:r>
              <w:t>Total No. of homes</w:t>
            </w:r>
          </w:p>
        </w:tc>
        <w:tc>
          <w:tcPr>
            <w:tcW w:w="5597" w:type="dxa"/>
            <w:gridSpan w:val="4"/>
            <w:tcBorders>
              <w:top w:val="single" w:sz="2" w:space="0" w:color="000000"/>
              <w:bottom w:val="single" w:sz="2" w:space="0" w:color="000000"/>
            </w:tcBorders>
            <w:vAlign w:val="center"/>
          </w:tcPr>
          <w:p w:rsidR="00000000" w:rsidRDefault="00000000">
            <w:pPr>
              <w:spacing w:before="40" w:after="40"/>
              <w:jc w:val="center"/>
            </w:pPr>
            <w:r>
              <w:t>Trash collection (%)</w:t>
            </w:r>
          </w:p>
        </w:tc>
      </w:tr>
      <w:tr w:rsidR="00000000">
        <w:tblPrEx>
          <w:tblCellMar>
            <w:top w:w="0" w:type="dxa"/>
            <w:bottom w:w="0" w:type="dxa"/>
          </w:tblCellMar>
        </w:tblPrEx>
        <w:trPr>
          <w:cantSplit/>
          <w:jc w:val="center"/>
        </w:trPr>
        <w:tc>
          <w:tcPr>
            <w:tcW w:w="1913" w:type="dxa"/>
            <w:vMerge/>
            <w:tcBorders>
              <w:bottom w:val="single" w:sz="2" w:space="0" w:color="000000"/>
            </w:tcBorders>
            <w:vAlign w:val="center"/>
          </w:tcPr>
          <w:p w:rsidR="00000000" w:rsidRDefault="00000000">
            <w:pPr>
              <w:spacing w:before="40" w:after="40"/>
              <w:jc w:val="center"/>
            </w:pPr>
          </w:p>
        </w:tc>
        <w:tc>
          <w:tcPr>
            <w:tcW w:w="1701" w:type="dxa"/>
            <w:vMerge/>
            <w:tcBorders>
              <w:bottom w:val="single" w:sz="2" w:space="0" w:color="000000"/>
            </w:tcBorders>
            <w:vAlign w:val="center"/>
          </w:tcPr>
          <w:p w:rsidR="00000000" w:rsidRDefault="00000000">
            <w:pPr>
              <w:spacing w:before="40" w:after="40"/>
              <w:jc w:val="center"/>
            </w:pPr>
          </w:p>
        </w:tc>
        <w:tc>
          <w:tcPr>
            <w:tcW w:w="1399" w:type="dxa"/>
            <w:tcBorders>
              <w:top w:val="single" w:sz="2" w:space="0" w:color="000000"/>
              <w:bottom w:val="single" w:sz="2" w:space="0" w:color="000000"/>
            </w:tcBorders>
            <w:vAlign w:val="center"/>
          </w:tcPr>
          <w:p w:rsidR="00000000" w:rsidRDefault="00000000">
            <w:pPr>
              <w:spacing w:before="40" w:after="40"/>
              <w:jc w:val="center"/>
            </w:pPr>
            <w:r>
              <w:t>Directly collected</w:t>
            </w:r>
          </w:p>
        </w:tc>
        <w:tc>
          <w:tcPr>
            <w:tcW w:w="1399" w:type="dxa"/>
            <w:tcBorders>
              <w:top w:val="single" w:sz="2" w:space="0" w:color="000000"/>
              <w:bottom w:val="single" w:sz="2" w:space="0" w:color="000000"/>
            </w:tcBorders>
            <w:vAlign w:val="center"/>
          </w:tcPr>
          <w:p w:rsidR="00000000" w:rsidRDefault="00000000">
            <w:pPr>
              <w:spacing w:before="40" w:after="40"/>
              <w:jc w:val="center"/>
            </w:pPr>
            <w:r>
              <w:t>Indirectly collected</w:t>
            </w:r>
          </w:p>
        </w:tc>
        <w:tc>
          <w:tcPr>
            <w:tcW w:w="1399" w:type="dxa"/>
            <w:tcBorders>
              <w:top w:val="single" w:sz="2" w:space="0" w:color="000000"/>
              <w:bottom w:val="single" w:sz="2" w:space="0" w:color="000000"/>
            </w:tcBorders>
            <w:vAlign w:val="center"/>
          </w:tcPr>
          <w:p w:rsidR="00000000" w:rsidRDefault="00000000">
            <w:pPr>
              <w:spacing w:before="40" w:after="40"/>
              <w:jc w:val="center"/>
            </w:pPr>
            <w:r>
              <w:t>Burned or buried</w:t>
            </w:r>
          </w:p>
        </w:tc>
        <w:tc>
          <w:tcPr>
            <w:tcW w:w="1400" w:type="dxa"/>
            <w:tcBorders>
              <w:top w:val="single" w:sz="2" w:space="0" w:color="000000"/>
              <w:bottom w:val="single" w:sz="2" w:space="0" w:color="000000"/>
            </w:tcBorders>
            <w:vAlign w:val="center"/>
          </w:tcPr>
          <w:p w:rsidR="00000000" w:rsidRDefault="00000000">
            <w:pPr>
              <w:spacing w:before="40" w:after="40"/>
              <w:jc w:val="center"/>
            </w:pPr>
            <w:r>
              <w:t>Other</w:t>
            </w:r>
          </w:p>
        </w:tc>
      </w:tr>
      <w:tr w:rsidR="00000000">
        <w:tblPrEx>
          <w:tblCellMar>
            <w:top w:w="0" w:type="dxa"/>
            <w:bottom w:w="0" w:type="dxa"/>
          </w:tblCellMar>
        </w:tblPrEx>
        <w:trPr>
          <w:cantSplit/>
          <w:jc w:val="center"/>
        </w:trPr>
        <w:tc>
          <w:tcPr>
            <w:tcW w:w="1913" w:type="dxa"/>
            <w:tcBorders>
              <w:top w:val="single" w:sz="2" w:space="0" w:color="000000"/>
            </w:tcBorders>
            <w:vAlign w:val="center"/>
          </w:tcPr>
          <w:p w:rsidR="00000000" w:rsidRDefault="00000000">
            <w:r>
              <w:t>Brazil</w:t>
            </w:r>
          </w:p>
        </w:tc>
        <w:tc>
          <w:tcPr>
            <w:tcW w:w="1701" w:type="dxa"/>
            <w:tcBorders>
              <w:top w:val="single" w:sz="2" w:space="0" w:color="000000"/>
            </w:tcBorders>
            <w:vAlign w:val="center"/>
          </w:tcPr>
          <w:p w:rsidR="00000000" w:rsidRDefault="00000000">
            <w:pPr>
              <w:spacing w:before="40" w:after="40"/>
              <w:ind w:right="284"/>
              <w:jc w:val="right"/>
            </w:pPr>
            <w:r>
              <w:t>32 980 372</w:t>
            </w:r>
          </w:p>
        </w:tc>
        <w:tc>
          <w:tcPr>
            <w:tcW w:w="1399" w:type="dxa"/>
            <w:tcBorders>
              <w:top w:val="single" w:sz="2" w:space="0" w:color="000000"/>
            </w:tcBorders>
            <w:vAlign w:val="center"/>
          </w:tcPr>
          <w:p w:rsidR="00000000" w:rsidRDefault="00000000">
            <w:pPr>
              <w:spacing w:before="40" w:after="40"/>
              <w:jc w:val="center"/>
            </w:pPr>
            <w:r>
              <w:t>82.0</w:t>
            </w:r>
          </w:p>
        </w:tc>
        <w:tc>
          <w:tcPr>
            <w:tcW w:w="1399" w:type="dxa"/>
            <w:tcBorders>
              <w:top w:val="single" w:sz="2" w:space="0" w:color="000000"/>
            </w:tcBorders>
            <w:vAlign w:val="center"/>
          </w:tcPr>
          <w:p w:rsidR="00000000" w:rsidRDefault="00000000">
            <w:pPr>
              <w:spacing w:before="40" w:after="40"/>
              <w:ind w:right="454"/>
              <w:jc w:val="right"/>
            </w:pPr>
            <w:r>
              <w:t>8.7</w:t>
            </w:r>
          </w:p>
        </w:tc>
        <w:tc>
          <w:tcPr>
            <w:tcW w:w="1399" w:type="dxa"/>
            <w:tcBorders>
              <w:top w:val="single" w:sz="2" w:space="0" w:color="000000"/>
            </w:tcBorders>
            <w:vAlign w:val="center"/>
          </w:tcPr>
          <w:p w:rsidR="00000000" w:rsidRDefault="00000000">
            <w:pPr>
              <w:spacing w:before="40" w:after="40"/>
              <w:ind w:right="454"/>
              <w:jc w:val="right"/>
            </w:pPr>
            <w:r>
              <w:t>4.8</w:t>
            </w:r>
          </w:p>
        </w:tc>
        <w:tc>
          <w:tcPr>
            <w:tcW w:w="1400" w:type="dxa"/>
            <w:tcBorders>
              <w:top w:val="single" w:sz="2" w:space="0" w:color="000000"/>
            </w:tcBorders>
            <w:vAlign w:val="center"/>
          </w:tcPr>
          <w:p w:rsidR="00000000" w:rsidRDefault="00000000">
            <w:pPr>
              <w:spacing w:before="40" w:after="40"/>
              <w:ind w:right="397"/>
              <w:jc w:val="right"/>
            </w:pPr>
            <w:r>
              <w:t>4.5</w:t>
            </w:r>
          </w:p>
        </w:tc>
      </w:tr>
      <w:tr w:rsidR="00000000">
        <w:tblPrEx>
          <w:tblCellMar>
            <w:top w:w="0" w:type="dxa"/>
            <w:bottom w:w="0" w:type="dxa"/>
          </w:tblCellMar>
        </w:tblPrEx>
        <w:trPr>
          <w:cantSplit/>
          <w:jc w:val="center"/>
        </w:trPr>
        <w:tc>
          <w:tcPr>
            <w:tcW w:w="1913" w:type="dxa"/>
            <w:vAlign w:val="center"/>
          </w:tcPr>
          <w:p w:rsidR="00000000" w:rsidRDefault="00000000">
            <w:r>
              <w:t>North</w:t>
            </w:r>
          </w:p>
        </w:tc>
        <w:tc>
          <w:tcPr>
            <w:tcW w:w="1701" w:type="dxa"/>
            <w:vAlign w:val="center"/>
          </w:tcPr>
          <w:p w:rsidR="00000000" w:rsidRDefault="00000000">
            <w:pPr>
              <w:spacing w:before="40" w:after="40"/>
              <w:ind w:right="284"/>
              <w:jc w:val="right"/>
            </w:pPr>
            <w:r>
              <w:t>1 625 591</w:t>
            </w:r>
          </w:p>
        </w:tc>
        <w:tc>
          <w:tcPr>
            <w:tcW w:w="1399" w:type="dxa"/>
            <w:vAlign w:val="center"/>
          </w:tcPr>
          <w:p w:rsidR="00000000" w:rsidRDefault="00000000">
            <w:pPr>
              <w:spacing w:before="40" w:after="40"/>
              <w:jc w:val="center"/>
            </w:pPr>
            <w:r>
              <w:t>50.9</w:t>
            </w:r>
          </w:p>
        </w:tc>
        <w:tc>
          <w:tcPr>
            <w:tcW w:w="1399" w:type="dxa"/>
            <w:vAlign w:val="center"/>
          </w:tcPr>
          <w:p w:rsidR="00000000" w:rsidRDefault="00000000">
            <w:pPr>
              <w:spacing w:before="40" w:after="40"/>
              <w:ind w:right="454"/>
              <w:jc w:val="right"/>
            </w:pPr>
            <w:r>
              <w:t>21.6</w:t>
            </w:r>
          </w:p>
        </w:tc>
        <w:tc>
          <w:tcPr>
            <w:tcW w:w="1399" w:type="dxa"/>
            <w:vAlign w:val="center"/>
          </w:tcPr>
          <w:p w:rsidR="00000000" w:rsidRDefault="00000000">
            <w:pPr>
              <w:spacing w:before="40" w:after="40"/>
              <w:ind w:right="454"/>
              <w:jc w:val="right"/>
            </w:pPr>
            <w:r>
              <w:t>18.0</w:t>
            </w:r>
          </w:p>
        </w:tc>
        <w:tc>
          <w:tcPr>
            <w:tcW w:w="1400" w:type="dxa"/>
            <w:vAlign w:val="center"/>
          </w:tcPr>
          <w:p w:rsidR="00000000" w:rsidRDefault="00000000">
            <w:pPr>
              <w:spacing w:before="40" w:after="40"/>
              <w:ind w:right="397"/>
              <w:jc w:val="right"/>
            </w:pPr>
            <w:r>
              <w:t>9.5</w:t>
            </w:r>
          </w:p>
        </w:tc>
      </w:tr>
      <w:tr w:rsidR="00000000">
        <w:tblPrEx>
          <w:tblCellMar>
            <w:top w:w="0" w:type="dxa"/>
            <w:bottom w:w="0" w:type="dxa"/>
          </w:tblCellMar>
        </w:tblPrEx>
        <w:trPr>
          <w:cantSplit/>
          <w:jc w:val="center"/>
        </w:trPr>
        <w:tc>
          <w:tcPr>
            <w:tcW w:w="1913" w:type="dxa"/>
            <w:vAlign w:val="center"/>
          </w:tcPr>
          <w:p w:rsidR="00000000" w:rsidRDefault="00000000">
            <w:r>
              <w:t>North</w:t>
            </w:r>
            <w:r>
              <w:noBreakHyphen/>
              <w:t>east</w:t>
            </w:r>
          </w:p>
        </w:tc>
        <w:tc>
          <w:tcPr>
            <w:tcW w:w="1701" w:type="dxa"/>
            <w:vAlign w:val="center"/>
          </w:tcPr>
          <w:p w:rsidR="00000000" w:rsidRDefault="00000000">
            <w:pPr>
              <w:spacing w:before="40" w:after="40"/>
              <w:ind w:right="284"/>
              <w:jc w:val="right"/>
            </w:pPr>
            <w:r>
              <w:t>7 014 197</w:t>
            </w:r>
          </w:p>
        </w:tc>
        <w:tc>
          <w:tcPr>
            <w:tcW w:w="1399" w:type="dxa"/>
            <w:vAlign w:val="center"/>
          </w:tcPr>
          <w:p w:rsidR="00000000" w:rsidRDefault="00000000">
            <w:pPr>
              <w:spacing w:before="40" w:after="40"/>
              <w:jc w:val="center"/>
            </w:pPr>
            <w:r>
              <w:t>62.7</w:t>
            </w:r>
          </w:p>
        </w:tc>
        <w:tc>
          <w:tcPr>
            <w:tcW w:w="1399" w:type="dxa"/>
            <w:vAlign w:val="center"/>
          </w:tcPr>
          <w:p w:rsidR="00000000" w:rsidRDefault="00000000">
            <w:pPr>
              <w:spacing w:before="40" w:after="40"/>
              <w:ind w:right="454"/>
              <w:jc w:val="right"/>
            </w:pPr>
            <w:r>
              <w:t>17.0</w:t>
            </w:r>
          </w:p>
        </w:tc>
        <w:tc>
          <w:tcPr>
            <w:tcW w:w="1399" w:type="dxa"/>
            <w:vAlign w:val="center"/>
          </w:tcPr>
          <w:p w:rsidR="00000000" w:rsidRDefault="00000000">
            <w:pPr>
              <w:spacing w:before="40" w:after="40"/>
              <w:ind w:right="454"/>
              <w:jc w:val="right"/>
            </w:pPr>
            <w:r>
              <w:t>7.5</w:t>
            </w:r>
          </w:p>
        </w:tc>
        <w:tc>
          <w:tcPr>
            <w:tcW w:w="1400" w:type="dxa"/>
            <w:vAlign w:val="center"/>
          </w:tcPr>
          <w:p w:rsidR="00000000" w:rsidRDefault="00000000">
            <w:pPr>
              <w:spacing w:before="40" w:after="40"/>
              <w:ind w:right="397"/>
              <w:jc w:val="right"/>
            </w:pPr>
            <w:r>
              <w:t>12.7</w:t>
            </w:r>
          </w:p>
        </w:tc>
      </w:tr>
      <w:tr w:rsidR="00000000">
        <w:tblPrEx>
          <w:tblCellMar>
            <w:top w:w="0" w:type="dxa"/>
            <w:bottom w:w="0" w:type="dxa"/>
          </w:tblCellMar>
        </w:tblPrEx>
        <w:trPr>
          <w:cantSplit/>
          <w:jc w:val="center"/>
        </w:trPr>
        <w:tc>
          <w:tcPr>
            <w:tcW w:w="1913" w:type="dxa"/>
            <w:vAlign w:val="center"/>
          </w:tcPr>
          <w:p w:rsidR="00000000" w:rsidRDefault="00000000">
            <w:r>
              <w:t>South</w:t>
            </w:r>
            <w:r>
              <w:noBreakHyphen/>
              <w:t>east</w:t>
            </w:r>
          </w:p>
        </w:tc>
        <w:tc>
          <w:tcPr>
            <w:tcW w:w="1701" w:type="dxa"/>
            <w:vAlign w:val="center"/>
          </w:tcPr>
          <w:p w:rsidR="00000000" w:rsidRDefault="00000000">
            <w:pPr>
              <w:spacing w:before="40" w:after="40"/>
              <w:ind w:right="284"/>
              <w:jc w:val="right"/>
            </w:pPr>
            <w:r>
              <w:t>16 684 918</w:t>
            </w:r>
          </w:p>
        </w:tc>
        <w:tc>
          <w:tcPr>
            <w:tcW w:w="1399" w:type="dxa"/>
            <w:vAlign w:val="center"/>
          </w:tcPr>
          <w:p w:rsidR="00000000" w:rsidRDefault="00000000">
            <w:pPr>
              <w:spacing w:before="40" w:after="40"/>
              <w:jc w:val="center"/>
            </w:pPr>
            <w:r>
              <w:t>88.4</w:t>
            </w:r>
          </w:p>
        </w:tc>
        <w:tc>
          <w:tcPr>
            <w:tcW w:w="1399" w:type="dxa"/>
            <w:vAlign w:val="center"/>
          </w:tcPr>
          <w:p w:rsidR="00000000" w:rsidRDefault="00000000">
            <w:pPr>
              <w:spacing w:before="40" w:after="40"/>
              <w:ind w:right="454"/>
              <w:jc w:val="right"/>
            </w:pPr>
            <w:r>
              <w:t>6.3</w:t>
            </w:r>
          </w:p>
        </w:tc>
        <w:tc>
          <w:tcPr>
            <w:tcW w:w="1399" w:type="dxa"/>
            <w:vAlign w:val="center"/>
          </w:tcPr>
          <w:p w:rsidR="00000000" w:rsidRDefault="00000000">
            <w:pPr>
              <w:spacing w:before="40" w:after="40"/>
              <w:ind w:right="454"/>
              <w:jc w:val="right"/>
            </w:pPr>
            <w:r>
              <w:t>3.1</w:t>
            </w:r>
          </w:p>
        </w:tc>
        <w:tc>
          <w:tcPr>
            <w:tcW w:w="1400" w:type="dxa"/>
            <w:vAlign w:val="center"/>
          </w:tcPr>
          <w:p w:rsidR="00000000" w:rsidRDefault="00000000">
            <w:pPr>
              <w:spacing w:before="40" w:after="40"/>
              <w:ind w:right="397"/>
              <w:jc w:val="right"/>
            </w:pPr>
            <w:r>
              <w:t>2.1</w:t>
            </w:r>
          </w:p>
        </w:tc>
      </w:tr>
      <w:tr w:rsidR="00000000">
        <w:tblPrEx>
          <w:tblCellMar>
            <w:top w:w="0" w:type="dxa"/>
            <w:bottom w:w="0" w:type="dxa"/>
          </w:tblCellMar>
        </w:tblPrEx>
        <w:trPr>
          <w:cantSplit/>
          <w:jc w:val="center"/>
        </w:trPr>
        <w:tc>
          <w:tcPr>
            <w:tcW w:w="1913" w:type="dxa"/>
            <w:vAlign w:val="center"/>
          </w:tcPr>
          <w:p w:rsidR="00000000" w:rsidRDefault="00000000">
            <w:r>
              <w:t>South</w:t>
            </w:r>
          </w:p>
        </w:tc>
        <w:tc>
          <w:tcPr>
            <w:tcW w:w="1701" w:type="dxa"/>
            <w:vAlign w:val="center"/>
          </w:tcPr>
          <w:p w:rsidR="00000000" w:rsidRDefault="00000000">
            <w:pPr>
              <w:spacing w:before="40" w:after="40"/>
              <w:ind w:right="284"/>
              <w:jc w:val="right"/>
            </w:pPr>
            <w:r>
              <w:t>5 324 608</w:t>
            </w:r>
          </w:p>
        </w:tc>
        <w:tc>
          <w:tcPr>
            <w:tcW w:w="1399" w:type="dxa"/>
            <w:vAlign w:val="center"/>
          </w:tcPr>
          <w:p w:rsidR="00000000" w:rsidRDefault="00000000">
            <w:pPr>
              <w:spacing w:before="40" w:after="40"/>
              <w:jc w:val="center"/>
            </w:pPr>
            <w:r>
              <w:t>93.9</w:t>
            </w:r>
          </w:p>
        </w:tc>
        <w:tc>
          <w:tcPr>
            <w:tcW w:w="1399" w:type="dxa"/>
            <w:vAlign w:val="center"/>
          </w:tcPr>
          <w:p w:rsidR="00000000" w:rsidRDefault="00000000">
            <w:pPr>
              <w:spacing w:before="40" w:after="40"/>
              <w:ind w:right="454"/>
              <w:jc w:val="right"/>
            </w:pPr>
            <w:r>
              <w:t>2.9</w:t>
            </w:r>
          </w:p>
        </w:tc>
        <w:tc>
          <w:tcPr>
            <w:tcW w:w="1399" w:type="dxa"/>
            <w:vAlign w:val="center"/>
          </w:tcPr>
          <w:p w:rsidR="00000000" w:rsidRDefault="00000000">
            <w:pPr>
              <w:spacing w:before="40" w:after="40"/>
              <w:ind w:right="454"/>
              <w:jc w:val="right"/>
            </w:pPr>
            <w:r>
              <w:t>2.4</w:t>
            </w:r>
          </w:p>
        </w:tc>
        <w:tc>
          <w:tcPr>
            <w:tcW w:w="1400" w:type="dxa"/>
            <w:vAlign w:val="center"/>
          </w:tcPr>
          <w:p w:rsidR="00000000" w:rsidRDefault="00000000">
            <w:pPr>
              <w:spacing w:before="40" w:after="40"/>
              <w:ind w:right="397"/>
              <w:jc w:val="right"/>
            </w:pPr>
            <w:r>
              <w:t>0.9</w:t>
            </w:r>
          </w:p>
        </w:tc>
      </w:tr>
      <w:tr w:rsidR="00000000">
        <w:tblPrEx>
          <w:tblCellMar>
            <w:top w:w="0" w:type="dxa"/>
            <w:bottom w:w="0" w:type="dxa"/>
          </w:tblCellMar>
        </w:tblPrEx>
        <w:trPr>
          <w:cantSplit/>
          <w:jc w:val="center"/>
        </w:trPr>
        <w:tc>
          <w:tcPr>
            <w:tcW w:w="1913" w:type="dxa"/>
            <w:vAlign w:val="center"/>
          </w:tcPr>
          <w:p w:rsidR="00000000" w:rsidRDefault="00000000">
            <w:r>
              <w:t>Centre-west</w:t>
            </w:r>
          </w:p>
        </w:tc>
        <w:tc>
          <w:tcPr>
            <w:tcW w:w="1701" w:type="dxa"/>
            <w:vAlign w:val="center"/>
          </w:tcPr>
          <w:p w:rsidR="00000000" w:rsidRDefault="00000000">
            <w:pPr>
              <w:spacing w:before="40" w:after="40"/>
              <w:ind w:right="284"/>
              <w:jc w:val="right"/>
            </w:pPr>
            <w:r>
              <w:t>2 361 814</w:t>
            </w:r>
          </w:p>
        </w:tc>
        <w:tc>
          <w:tcPr>
            <w:tcW w:w="1399" w:type="dxa"/>
            <w:vAlign w:val="center"/>
          </w:tcPr>
          <w:p w:rsidR="00000000" w:rsidRDefault="00000000">
            <w:pPr>
              <w:spacing w:before="40" w:after="40"/>
              <w:jc w:val="center"/>
            </w:pPr>
            <w:r>
              <w:t>88.1</w:t>
            </w:r>
          </w:p>
        </w:tc>
        <w:tc>
          <w:tcPr>
            <w:tcW w:w="1399" w:type="dxa"/>
            <w:vAlign w:val="center"/>
          </w:tcPr>
          <w:p w:rsidR="00000000" w:rsidRDefault="00000000">
            <w:pPr>
              <w:spacing w:before="40" w:after="40"/>
              <w:ind w:right="454"/>
              <w:jc w:val="right"/>
            </w:pPr>
            <w:r>
              <w:t>5.0</w:t>
            </w:r>
          </w:p>
        </w:tc>
        <w:tc>
          <w:tcPr>
            <w:tcW w:w="1399" w:type="dxa"/>
            <w:vAlign w:val="center"/>
          </w:tcPr>
          <w:p w:rsidR="00000000" w:rsidRDefault="00000000">
            <w:pPr>
              <w:spacing w:before="40" w:after="40"/>
              <w:ind w:right="454"/>
              <w:jc w:val="right"/>
            </w:pPr>
            <w:r>
              <w:t>4.8</w:t>
            </w:r>
          </w:p>
        </w:tc>
        <w:tc>
          <w:tcPr>
            <w:tcW w:w="1400" w:type="dxa"/>
            <w:vAlign w:val="center"/>
          </w:tcPr>
          <w:p w:rsidR="00000000" w:rsidRDefault="00000000">
            <w:pPr>
              <w:spacing w:before="40" w:after="40"/>
              <w:ind w:right="397"/>
              <w:jc w:val="right"/>
            </w:pPr>
            <w:r>
              <w:t>2.1</w:t>
            </w:r>
          </w:p>
        </w:tc>
      </w:tr>
    </w:tbl>
    <w:p w:rsidR="00000000" w:rsidRDefault="00000000">
      <w:pPr>
        <w:rPr>
          <w:kern w:val="16"/>
        </w:rPr>
      </w:pPr>
    </w:p>
    <w:p w:rsidR="00000000" w:rsidRDefault="00000000">
      <w:pPr>
        <w:rPr>
          <w:kern w:val="16"/>
        </w:rPr>
      </w:pPr>
      <w:r>
        <w:rPr>
          <w:kern w:val="16"/>
        </w:rPr>
        <w:tab/>
      </w:r>
      <w:r>
        <w:rPr>
          <w:kern w:val="16"/>
          <w:u w:val="single"/>
        </w:rPr>
        <w:t>Source</w:t>
      </w:r>
      <w:r>
        <w:rPr>
          <w:kern w:val="16"/>
        </w:rPr>
        <w:t xml:space="preserve">:  IBGE </w:t>
      </w:r>
      <w:r>
        <w:rPr>
          <w:kern w:val="16"/>
        </w:rPr>
        <w:noBreakHyphen/>
        <w:t xml:space="preserve"> 1998 Social Indicators Summary (based on the 1997 PNAD).</w:t>
      </w:r>
    </w:p>
    <w:p w:rsidR="00000000" w:rsidRDefault="00000000">
      <w:pPr>
        <w:rPr>
          <w:kern w:val="16"/>
        </w:rPr>
      </w:pPr>
    </w:p>
    <w:p w:rsidR="00000000" w:rsidRDefault="00000000">
      <w:pPr>
        <w:pStyle w:val="Heading1"/>
      </w:pPr>
      <w:r>
        <w:br w:type="page"/>
        <w:t>Table 68</w:t>
      </w:r>
    </w:p>
    <w:p w:rsidR="00000000" w:rsidRDefault="00000000"/>
    <w:p w:rsidR="00000000" w:rsidRDefault="00000000">
      <w:pPr>
        <w:pStyle w:val="Heading1"/>
      </w:pPr>
      <w:r>
        <w:t>Urban homes by type of sewage disposal, 1997</w:t>
      </w:r>
    </w:p>
    <w:p w:rsidR="00000000" w:rsidRDefault="00000000"/>
    <w:tbl>
      <w:tblPr>
        <w:tblW w:w="0" w:type="auto"/>
        <w:jc w:val="center"/>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909"/>
        <w:gridCol w:w="1701"/>
        <w:gridCol w:w="1559"/>
        <w:gridCol w:w="1418"/>
        <w:gridCol w:w="1417"/>
        <w:gridCol w:w="1199"/>
      </w:tblGrid>
      <w:tr w:rsidR="00000000">
        <w:tblPrEx>
          <w:tblCellMar>
            <w:top w:w="0" w:type="dxa"/>
            <w:bottom w:w="0" w:type="dxa"/>
          </w:tblCellMar>
        </w:tblPrEx>
        <w:trPr>
          <w:cantSplit/>
          <w:jc w:val="center"/>
        </w:trPr>
        <w:tc>
          <w:tcPr>
            <w:tcW w:w="1909" w:type="dxa"/>
            <w:vMerge w:val="restart"/>
            <w:tcBorders>
              <w:top w:val="single" w:sz="6" w:space="0" w:color="auto"/>
              <w:bottom w:val="single" w:sz="6" w:space="0" w:color="auto"/>
            </w:tcBorders>
            <w:vAlign w:val="center"/>
          </w:tcPr>
          <w:p w:rsidR="00000000" w:rsidRDefault="00000000">
            <w:pPr>
              <w:spacing w:before="40" w:after="40"/>
              <w:jc w:val="center"/>
            </w:pPr>
            <w:r>
              <w:t>Major regions</w:t>
            </w:r>
          </w:p>
        </w:tc>
        <w:tc>
          <w:tcPr>
            <w:tcW w:w="1701" w:type="dxa"/>
            <w:vMerge w:val="restart"/>
            <w:tcBorders>
              <w:top w:val="single" w:sz="6" w:space="0" w:color="auto"/>
              <w:bottom w:val="single" w:sz="6" w:space="0" w:color="auto"/>
            </w:tcBorders>
            <w:vAlign w:val="center"/>
          </w:tcPr>
          <w:p w:rsidR="00000000" w:rsidRDefault="00000000">
            <w:pPr>
              <w:spacing w:before="40" w:after="40"/>
              <w:jc w:val="center"/>
            </w:pPr>
            <w:r>
              <w:t>Total No. of homes</w:t>
            </w:r>
          </w:p>
        </w:tc>
        <w:tc>
          <w:tcPr>
            <w:tcW w:w="5593" w:type="dxa"/>
            <w:gridSpan w:val="4"/>
            <w:tcBorders>
              <w:bottom w:val="single" w:sz="6" w:space="0" w:color="auto"/>
            </w:tcBorders>
            <w:vAlign w:val="center"/>
          </w:tcPr>
          <w:p w:rsidR="00000000" w:rsidRDefault="00000000">
            <w:pPr>
              <w:spacing w:before="40" w:after="40"/>
              <w:jc w:val="center"/>
            </w:pPr>
            <w:r>
              <w:t>Sewage disposal (%)</w:t>
            </w:r>
          </w:p>
        </w:tc>
      </w:tr>
      <w:tr w:rsidR="00000000">
        <w:tblPrEx>
          <w:tblCellMar>
            <w:top w:w="0" w:type="dxa"/>
            <w:bottom w:w="0" w:type="dxa"/>
          </w:tblCellMar>
        </w:tblPrEx>
        <w:trPr>
          <w:cantSplit/>
          <w:jc w:val="center"/>
        </w:trPr>
        <w:tc>
          <w:tcPr>
            <w:tcW w:w="1909" w:type="dxa"/>
            <w:vMerge/>
            <w:tcBorders>
              <w:top w:val="single" w:sz="6" w:space="0" w:color="auto"/>
              <w:bottom w:val="single" w:sz="6" w:space="0" w:color="auto"/>
            </w:tcBorders>
            <w:vAlign w:val="center"/>
          </w:tcPr>
          <w:p w:rsidR="00000000" w:rsidRDefault="00000000">
            <w:pPr>
              <w:spacing w:before="40" w:after="40"/>
              <w:jc w:val="center"/>
            </w:pPr>
          </w:p>
        </w:tc>
        <w:tc>
          <w:tcPr>
            <w:tcW w:w="1701" w:type="dxa"/>
            <w:vMerge/>
            <w:tcBorders>
              <w:top w:val="single" w:sz="6" w:space="0" w:color="auto"/>
              <w:bottom w:val="single" w:sz="6" w:space="0" w:color="auto"/>
            </w:tcBorders>
            <w:vAlign w:val="center"/>
          </w:tcPr>
          <w:p w:rsidR="00000000" w:rsidRDefault="00000000">
            <w:pPr>
              <w:spacing w:before="40" w:after="40"/>
              <w:jc w:val="center"/>
            </w:pPr>
          </w:p>
        </w:tc>
        <w:tc>
          <w:tcPr>
            <w:tcW w:w="1559" w:type="dxa"/>
            <w:tcBorders>
              <w:top w:val="single" w:sz="6" w:space="0" w:color="auto"/>
              <w:bottom w:val="single" w:sz="6" w:space="0" w:color="auto"/>
            </w:tcBorders>
            <w:vAlign w:val="center"/>
          </w:tcPr>
          <w:p w:rsidR="00000000" w:rsidRDefault="00000000">
            <w:pPr>
              <w:spacing w:before="40" w:after="40"/>
              <w:jc w:val="center"/>
            </w:pPr>
            <w:r>
              <w:t>Collection system</w:t>
            </w:r>
          </w:p>
        </w:tc>
        <w:tc>
          <w:tcPr>
            <w:tcW w:w="1418" w:type="dxa"/>
            <w:tcBorders>
              <w:top w:val="single" w:sz="6" w:space="0" w:color="auto"/>
              <w:bottom w:val="single" w:sz="6" w:space="0" w:color="auto"/>
            </w:tcBorders>
            <w:vAlign w:val="center"/>
          </w:tcPr>
          <w:p w:rsidR="00000000" w:rsidRDefault="00000000">
            <w:pPr>
              <w:spacing w:before="40" w:after="40"/>
              <w:jc w:val="center"/>
            </w:pPr>
            <w:r>
              <w:t>Septic tank</w:t>
            </w:r>
          </w:p>
        </w:tc>
        <w:tc>
          <w:tcPr>
            <w:tcW w:w="1417" w:type="dxa"/>
            <w:tcBorders>
              <w:top w:val="single" w:sz="6" w:space="0" w:color="auto"/>
              <w:bottom w:val="single" w:sz="6" w:space="0" w:color="auto"/>
            </w:tcBorders>
            <w:vAlign w:val="center"/>
          </w:tcPr>
          <w:p w:rsidR="00000000" w:rsidRDefault="00000000">
            <w:pPr>
              <w:spacing w:before="40" w:after="40"/>
              <w:jc w:val="center"/>
            </w:pPr>
            <w:r>
              <w:t>Rudimentary tank</w:t>
            </w:r>
          </w:p>
        </w:tc>
        <w:tc>
          <w:tcPr>
            <w:tcW w:w="1199" w:type="dxa"/>
            <w:tcBorders>
              <w:top w:val="single" w:sz="6" w:space="0" w:color="auto"/>
              <w:bottom w:val="single" w:sz="6" w:space="0" w:color="auto"/>
            </w:tcBorders>
            <w:vAlign w:val="center"/>
          </w:tcPr>
          <w:p w:rsidR="00000000" w:rsidRDefault="00000000">
            <w:pPr>
              <w:spacing w:before="40" w:after="40"/>
              <w:jc w:val="center"/>
            </w:pPr>
            <w:r>
              <w:t>Other or none</w:t>
            </w:r>
          </w:p>
        </w:tc>
      </w:tr>
      <w:tr w:rsidR="00000000">
        <w:tblPrEx>
          <w:tblCellMar>
            <w:top w:w="0" w:type="dxa"/>
            <w:bottom w:w="0" w:type="dxa"/>
          </w:tblCellMar>
        </w:tblPrEx>
        <w:trPr>
          <w:cantSplit/>
          <w:jc w:val="center"/>
        </w:trPr>
        <w:tc>
          <w:tcPr>
            <w:tcW w:w="1909" w:type="dxa"/>
            <w:tcBorders>
              <w:top w:val="single" w:sz="6" w:space="0" w:color="auto"/>
            </w:tcBorders>
            <w:vAlign w:val="center"/>
          </w:tcPr>
          <w:p w:rsidR="00000000" w:rsidRDefault="00000000">
            <w:pPr>
              <w:spacing w:before="40" w:after="40"/>
            </w:pPr>
            <w:r>
              <w:t>Brazil</w:t>
            </w:r>
          </w:p>
        </w:tc>
        <w:tc>
          <w:tcPr>
            <w:tcW w:w="1701" w:type="dxa"/>
            <w:tcBorders>
              <w:top w:val="single" w:sz="6" w:space="0" w:color="auto"/>
            </w:tcBorders>
            <w:vAlign w:val="center"/>
          </w:tcPr>
          <w:p w:rsidR="00000000" w:rsidRDefault="00000000">
            <w:pPr>
              <w:spacing w:before="40" w:after="40"/>
              <w:ind w:right="227"/>
              <w:jc w:val="right"/>
            </w:pPr>
            <w:r>
              <w:t>32 980 372</w:t>
            </w:r>
          </w:p>
        </w:tc>
        <w:tc>
          <w:tcPr>
            <w:tcW w:w="1559" w:type="dxa"/>
            <w:tcBorders>
              <w:top w:val="single" w:sz="6" w:space="0" w:color="auto"/>
            </w:tcBorders>
            <w:vAlign w:val="center"/>
          </w:tcPr>
          <w:p w:rsidR="00000000" w:rsidRDefault="00000000">
            <w:pPr>
              <w:spacing w:before="40" w:after="40"/>
              <w:ind w:right="567"/>
              <w:jc w:val="right"/>
            </w:pPr>
            <w:r>
              <w:t>49.4</w:t>
            </w:r>
          </w:p>
        </w:tc>
        <w:tc>
          <w:tcPr>
            <w:tcW w:w="1418" w:type="dxa"/>
            <w:tcBorders>
              <w:top w:val="single" w:sz="6" w:space="0" w:color="auto"/>
            </w:tcBorders>
            <w:vAlign w:val="center"/>
          </w:tcPr>
          <w:p w:rsidR="00000000" w:rsidRDefault="00000000">
            <w:pPr>
              <w:spacing w:before="40" w:after="40"/>
              <w:jc w:val="center"/>
            </w:pPr>
            <w:r>
              <w:t>24.1</w:t>
            </w:r>
          </w:p>
        </w:tc>
        <w:tc>
          <w:tcPr>
            <w:tcW w:w="1417" w:type="dxa"/>
            <w:tcBorders>
              <w:top w:val="single" w:sz="6" w:space="0" w:color="auto"/>
            </w:tcBorders>
            <w:vAlign w:val="center"/>
          </w:tcPr>
          <w:p w:rsidR="00000000" w:rsidRDefault="00000000">
            <w:pPr>
              <w:spacing w:before="40" w:after="40"/>
              <w:ind w:right="454"/>
              <w:jc w:val="right"/>
            </w:pPr>
            <w:r>
              <w:t>18.8</w:t>
            </w:r>
          </w:p>
        </w:tc>
        <w:tc>
          <w:tcPr>
            <w:tcW w:w="1199" w:type="dxa"/>
            <w:tcBorders>
              <w:top w:val="single" w:sz="6" w:space="0" w:color="auto"/>
            </w:tcBorders>
            <w:vAlign w:val="center"/>
          </w:tcPr>
          <w:p w:rsidR="00000000" w:rsidRDefault="00000000">
            <w:pPr>
              <w:spacing w:before="40" w:after="40"/>
              <w:ind w:right="284"/>
              <w:jc w:val="right"/>
            </w:pPr>
            <w:r>
              <w:t>7.6</w:t>
            </w:r>
          </w:p>
        </w:tc>
      </w:tr>
      <w:tr w:rsidR="00000000">
        <w:tblPrEx>
          <w:tblCellMar>
            <w:top w:w="0" w:type="dxa"/>
            <w:bottom w:w="0" w:type="dxa"/>
          </w:tblCellMar>
        </w:tblPrEx>
        <w:trPr>
          <w:cantSplit/>
          <w:jc w:val="center"/>
        </w:trPr>
        <w:tc>
          <w:tcPr>
            <w:tcW w:w="1909" w:type="dxa"/>
            <w:vAlign w:val="center"/>
          </w:tcPr>
          <w:p w:rsidR="00000000" w:rsidRDefault="00000000">
            <w:pPr>
              <w:spacing w:before="40" w:after="40"/>
            </w:pPr>
            <w:r>
              <w:t>North</w:t>
            </w:r>
          </w:p>
        </w:tc>
        <w:tc>
          <w:tcPr>
            <w:tcW w:w="1701" w:type="dxa"/>
            <w:vAlign w:val="center"/>
          </w:tcPr>
          <w:p w:rsidR="00000000" w:rsidRDefault="00000000">
            <w:pPr>
              <w:spacing w:before="40" w:after="40"/>
              <w:ind w:right="227"/>
              <w:jc w:val="right"/>
            </w:pPr>
            <w:r>
              <w:t>1 625 591</w:t>
            </w:r>
          </w:p>
        </w:tc>
        <w:tc>
          <w:tcPr>
            <w:tcW w:w="1559" w:type="dxa"/>
            <w:vAlign w:val="center"/>
          </w:tcPr>
          <w:p w:rsidR="00000000" w:rsidRDefault="00000000">
            <w:pPr>
              <w:spacing w:before="40" w:after="40"/>
              <w:ind w:right="567"/>
              <w:jc w:val="right"/>
            </w:pPr>
            <w:r>
              <w:t>6.6</w:t>
            </w:r>
          </w:p>
        </w:tc>
        <w:tc>
          <w:tcPr>
            <w:tcW w:w="1418" w:type="dxa"/>
            <w:vAlign w:val="center"/>
          </w:tcPr>
          <w:p w:rsidR="00000000" w:rsidRDefault="00000000">
            <w:pPr>
              <w:spacing w:before="40" w:after="40"/>
              <w:jc w:val="center"/>
            </w:pPr>
            <w:r>
              <w:t>43.9</w:t>
            </w:r>
          </w:p>
        </w:tc>
        <w:tc>
          <w:tcPr>
            <w:tcW w:w="1417" w:type="dxa"/>
            <w:vAlign w:val="center"/>
          </w:tcPr>
          <w:p w:rsidR="00000000" w:rsidRDefault="00000000">
            <w:pPr>
              <w:spacing w:before="40" w:after="40"/>
              <w:ind w:right="454"/>
              <w:jc w:val="right"/>
            </w:pPr>
            <w:r>
              <w:t>36.5</w:t>
            </w:r>
          </w:p>
        </w:tc>
        <w:tc>
          <w:tcPr>
            <w:tcW w:w="1199" w:type="dxa"/>
            <w:vAlign w:val="center"/>
          </w:tcPr>
          <w:p w:rsidR="00000000" w:rsidRDefault="00000000">
            <w:pPr>
              <w:spacing w:before="40" w:after="40"/>
              <w:ind w:right="284"/>
              <w:jc w:val="right"/>
            </w:pPr>
            <w:r>
              <w:t>12.9</w:t>
            </w:r>
          </w:p>
        </w:tc>
      </w:tr>
      <w:tr w:rsidR="00000000">
        <w:tblPrEx>
          <w:tblCellMar>
            <w:top w:w="0" w:type="dxa"/>
            <w:bottom w:w="0" w:type="dxa"/>
          </w:tblCellMar>
        </w:tblPrEx>
        <w:trPr>
          <w:cantSplit/>
          <w:jc w:val="center"/>
        </w:trPr>
        <w:tc>
          <w:tcPr>
            <w:tcW w:w="1909" w:type="dxa"/>
            <w:vAlign w:val="center"/>
          </w:tcPr>
          <w:p w:rsidR="00000000" w:rsidRDefault="00000000">
            <w:pPr>
              <w:spacing w:before="40" w:after="40"/>
            </w:pPr>
            <w:r>
              <w:t>North</w:t>
            </w:r>
            <w:r>
              <w:noBreakHyphen/>
              <w:t>east</w:t>
            </w:r>
          </w:p>
        </w:tc>
        <w:tc>
          <w:tcPr>
            <w:tcW w:w="1701" w:type="dxa"/>
            <w:vAlign w:val="center"/>
          </w:tcPr>
          <w:p w:rsidR="00000000" w:rsidRDefault="00000000">
            <w:pPr>
              <w:spacing w:before="40" w:after="40"/>
              <w:ind w:right="227"/>
              <w:jc w:val="right"/>
            </w:pPr>
            <w:r>
              <w:t>7 014 197</w:t>
            </w:r>
          </w:p>
        </w:tc>
        <w:tc>
          <w:tcPr>
            <w:tcW w:w="1559" w:type="dxa"/>
            <w:vAlign w:val="center"/>
          </w:tcPr>
          <w:p w:rsidR="00000000" w:rsidRDefault="00000000">
            <w:pPr>
              <w:spacing w:before="40" w:after="40"/>
              <w:ind w:right="567"/>
              <w:jc w:val="right"/>
            </w:pPr>
            <w:r>
              <w:t>21.1</w:t>
            </w:r>
          </w:p>
        </w:tc>
        <w:tc>
          <w:tcPr>
            <w:tcW w:w="1418" w:type="dxa"/>
            <w:vAlign w:val="center"/>
          </w:tcPr>
          <w:p w:rsidR="00000000" w:rsidRDefault="00000000">
            <w:pPr>
              <w:spacing w:before="40" w:after="40"/>
              <w:jc w:val="center"/>
            </w:pPr>
            <w:r>
              <w:t>28.1</w:t>
            </w:r>
          </w:p>
        </w:tc>
        <w:tc>
          <w:tcPr>
            <w:tcW w:w="1417" w:type="dxa"/>
            <w:vAlign w:val="center"/>
          </w:tcPr>
          <w:p w:rsidR="00000000" w:rsidRDefault="00000000">
            <w:pPr>
              <w:spacing w:before="40" w:after="40"/>
              <w:ind w:right="454"/>
              <w:jc w:val="right"/>
            </w:pPr>
            <w:r>
              <w:t>35.3</w:t>
            </w:r>
          </w:p>
        </w:tc>
        <w:tc>
          <w:tcPr>
            <w:tcW w:w="1199" w:type="dxa"/>
            <w:vAlign w:val="center"/>
          </w:tcPr>
          <w:p w:rsidR="00000000" w:rsidRDefault="00000000">
            <w:pPr>
              <w:spacing w:before="40" w:after="40"/>
              <w:ind w:right="284"/>
              <w:jc w:val="right"/>
            </w:pPr>
            <w:r>
              <w:t>15.3</w:t>
            </w:r>
          </w:p>
        </w:tc>
      </w:tr>
      <w:tr w:rsidR="00000000">
        <w:tblPrEx>
          <w:tblCellMar>
            <w:top w:w="0" w:type="dxa"/>
            <w:bottom w:w="0" w:type="dxa"/>
          </w:tblCellMar>
        </w:tblPrEx>
        <w:trPr>
          <w:cantSplit/>
          <w:jc w:val="center"/>
        </w:trPr>
        <w:tc>
          <w:tcPr>
            <w:tcW w:w="1909" w:type="dxa"/>
            <w:vAlign w:val="center"/>
          </w:tcPr>
          <w:p w:rsidR="00000000" w:rsidRDefault="00000000">
            <w:pPr>
              <w:spacing w:before="40" w:after="40"/>
            </w:pPr>
            <w:r>
              <w:t>South</w:t>
            </w:r>
            <w:r>
              <w:noBreakHyphen/>
              <w:t>east</w:t>
            </w:r>
          </w:p>
        </w:tc>
        <w:tc>
          <w:tcPr>
            <w:tcW w:w="1701" w:type="dxa"/>
            <w:vAlign w:val="center"/>
          </w:tcPr>
          <w:p w:rsidR="00000000" w:rsidRDefault="00000000">
            <w:pPr>
              <w:spacing w:before="40" w:after="40"/>
              <w:ind w:right="227"/>
              <w:jc w:val="right"/>
            </w:pPr>
            <w:r>
              <w:t>16 684 918</w:t>
            </w:r>
          </w:p>
        </w:tc>
        <w:tc>
          <w:tcPr>
            <w:tcW w:w="1559" w:type="dxa"/>
            <w:vAlign w:val="center"/>
          </w:tcPr>
          <w:p w:rsidR="00000000" w:rsidRDefault="00000000">
            <w:pPr>
              <w:spacing w:before="40" w:after="40"/>
              <w:ind w:right="567"/>
              <w:jc w:val="right"/>
            </w:pPr>
            <w:r>
              <w:t>76.8</w:t>
            </w:r>
          </w:p>
        </w:tc>
        <w:tc>
          <w:tcPr>
            <w:tcW w:w="1418" w:type="dxa"/>
            <w:vAlign w:val="center"/>
          </w:tcPr>
          <w:p w:rsidR="00000000" w:rsidRDefault="00000000">
            <w:pPr>
              <w:spacing w:before="40" w:after="40"/>
              <w:jc w:val="center"/>
            </w:pPr>
            <w:r>
              <w:t>12.6</w:t>
            </w:r>
          </w:p>
        </w:tc>
        <w:tc>
          <w:tcPr>
            <w:tcW w:w="1417" w:type="dxa"/>
            <w:vAlign w:val="center"/>
          </w:tcPr>
          <w:p w:rsidR="00000000" w:rsidRDefault="00000000">
            <w:pPr>
              <w:spacing w:before="40" w:after="40"/>
              <w:ind w:right="454"/>
              <w:jc w:val="right"/>
            </w:pPr>
            <w:r>
              <w:t>5.0</w:t>
            </w:r>
          </w:p>
        </w:tc>
        <w:tc>
          <w:tcPr>
            <w:tcW w:w="1199" w:type="dxa"/>
            <w:vAlign w:val="center"/>
          </w:tcPr>
          <w:p w:rsidR="00000000" w:rsidRDefault="00000000">
            <w:pPr>
              <w:spacing w:before="40" w:after="40"/>
              <w:ind w:right="284"/>
              <w:jc w:val="right"/>
            </w:pPr>
            <w:r>
              <w:t>5.5</w:t>
            </w:r>
          </w:p>
        </w:tc>
      </w:tr>
      <w:tr w:rsidR="00000000">
        <w:tblPrEx>
          <w:tblCellMar>
            <w:top w:w="0" w:type="dxa"/>
            <w:bottom w:w="0" w:type="dxa"/>
          </w:tblCellMar>
        </w:tblPrEx>
        <w:trPr>
          <w:cantSplit/>
          <w:jc w:val="center"/>
        </w:trPr>
        <w:tc>
          <w:tcPr>
            <w:tcW w:w="1909" w:type="dxa"/>
            <w:vAlign w:val="center"/>
          </w:tcPr>
          <w:p w:rsidR="00000000" w:rsidRDefault="00000000">
            <w:pPr>
              <w:spacing w:before="40" w:after="40"/>
            </w:pPr>
            <w:r>
              <w:t>South</w:t>
            </w:r>
          </w:p>
        </w:tc>
        <w:tc>
          <w:tcPr>
            <w:tcW w:w="1701" w:type="dxa"/>
            <w:vAlign w:val="center"/>
          </w:tcPr>
          <w:p w:rsidR="00000000" w:rsidRDefault="00000000">
            <w:pPr>
              <w:spacing w:before="40" w:after="40"/>
              <w:ind w:right="227"/>
              <w:jc w:val="right"/>
            </w:pPr>
            <w:r>
              <w:t>5 324 608</w:t>
            </w:r>
          </w:p>
        </w:tc>
        <w:tc>
          <w:tcPr>
            <w:tcW w:w="1559" w:type="dxa"/>
            <w:vAlign w:val="center"/>
          </w:tcPr>
          <w:p w:rsidR="00000000" w:rsidRDefault="00000000">
            <w:pPr>
              <w:spacing w:before="40" w:after="40"/>
              <w:ind w:right="567"/>
              <w:jc w:val="right"/>
            </w:pPr>
            <w:r>
              <w:t>18.3</w:t>
            </w:r>
          </w:p>
        </w:tc>
        <w:tc>
          <w:tcPr>
            <w:tcW w:w="1418" w:type="dxa"/>
            <w:vAlign w:val="center"/>
          </w:tcPr>
          <w:p w:rsidR="00000000" w:rsidRDefault="00000000">
            <w:pPr>
              <w:spacing w:before="40" w:after="40"/>
              <w:jc w:val="center"/>
            </w:pPr>
            <w:r>
              <w:t>55.1</w:t>
            </w:r>
          </w:p>
        </w:tc>
        <w:tc>
          <w:tcPr>
            <w:tcW w:w="1417" w:type="dxa"/>
            <w:vAlign w:val="center"/>
          </w:tcPr>
          <w:p w:rsidR="00000000" w:rsidRDefault="00000000">
            <w:pPr>
              <w:spacing w:before="40" w:after="40"/>
              <w:ind w:right="454"/>
              <w:jc w:val="right"/>
            </w:pPr>
            <w:r>
              <w:t>22.0</w:t>
            </w:r>
          </w:p>
        </w:tc>
        <w:tc>
          <w:tcPr>
            <w:tcW w:w="1199" w:type="dxa"/>
            <w:vAlign w:val="center"/>
          </w:tcPr>
          <w:p w:rsidR="00000000" w:rsidRDefault="00000000">
            <w:pPr>
              <w:spacing w:before="40" w:after="40"/>
              <w:ind w:right="284"/>
              <w:jc w:val="right"/>
            </w:pPr>
            <w:r>
              <w:t>4.4</w:t>
            </w:r>
          </w:p>
        </w:tc>
      </w:tr>
      <w:tr w:rsidR="00000000">
        <w:tblPrEx>
          <w:tblCellMar>
            <w:top w:w="0" w:type="dxa"/>
            <w:bottom w:w="0" w:type="dxa"/>
          </w:tblCellMar>
        </w:tblPrEx>
        <w:trPr>
          <w:cantSplit/>
          <w:jc w:val="center"/>
        </w:trPr>
        <w:tc>
          <w:tcPr>
            <w:tcW w:w="1909" w:type="dxa"/>
            <w:vAlign w:val="center"/>
          </w:tcPr>
          <w:p w:rsidR="00000000" w:rsidRDefault="00000000">
            <w:pPr>
              <w:spacing w:before="40" w:after="40"/>
            </w:pPr>
            <w:r>
              <w:t>Centre-west</w:t>
            </w:r>
          </w:p>
        </w:tc>
        <w:tc>
          <w:tcPr>
            <w:tcW w:w="1701" w:type="dxa"/>
            <w:vAlign w:val="center"/>
          </w:tcPr>
          <w:p w:rsidR="00000000" w:rsidRDefault="00000000">
            <w:pPr>
              <w:spacing w:before="40" w:after="40"/>
              <w:ind w:right="227"/>
              <w:jc w:val="right"/>
            </w:pPr>
            <w:r>
              <w:t>2 361 814</w:t>
            </w:r>
          </w:p>
        </w:tc>
        <w:tc>
          <w:tcPr>
            <w:tcW w:w="1559" w:type="dxa"/>
            <w:vAlign w:val="center"/>
          </w:tcPr>
          <w:p w:rsidR="00000000" w:rsidRDefault="00000000">
            <w:pPr>
              <w:spacing w:before="40" w:after="40"/>
              <w:ind w:right="567"/>
              <w:jc w:val="right"/>
            </w:pPr>
            <w:r>
              <w:t>38.3</w:t>
            </w:r>
          </w:p>
        </w:tc>
        <w:tc>
          <w:tcPr>
            <w:tcW w:w="1418" w:type="dxa"/>
            <w:vAlign w:val="center"/>
          </w:tcPr>
          <w:p w:rsidR="00000000" w:rsidRDefault="00000000">
            <w:pPr>
              <w:spacing w:before="40" w:after="40"/>
              <w:jc w:val="center"/>
            </w:pPr>
            <w:r>
              <w:t>10.4</w:t>
            </w:r>
          </w:p>
        </w:tc>
        <w:tc>
          <w:tcPr>
            <w:tcW w:w="1417" w:type="dxa"/>
            <w:vAlign w:val="center"/>
          </w:tcPr>
          <w:p w:rsidR="00000000" w:rsidRDefault="00000000">
            <w:pPr>
              <w:spacing w:before="40" w:after="40"/>
              <w:ind w:right="454"/>
              <w:jc w:val="right"/>
            </w:pPr>
            <w:r>
              <w:t>48.3</w:t>
            </w:r>
          </w:p>
        </w:tc>
        <w:tc>
          <w:tcPr>
            <w:tcW w:w="1199" w:type="dxa"/>
            <w:vAlign w:val="center"/>
          </w:tcPr>
          <w:p w:rsidR="00000000" w:rsidRDefault="00000000">
            <w:pPr>
              <w:spacing w:before="40" w:after="40"/>
              <w:ind w:right="284"/>
              <w:jc w:val="right"/>
            </w:pPr>
            <w:r>
              <w:t>3.0</w:t>
            </w:r>
          </w:p>
        </w:tc>
      </w:tr>
    </w:tbl>
    <w:p w:rsidR="00000000" w:rsidRDefault="00000000">
      <w:pPr>
        <w:rPr>
          <w:spacing w:val="20"/>
          <w:kern w:val="16"/>
        </w:rPr>
      </w:pPr>
    </w:p>
    <w:p w:rsidR="00000000" w:rsidRDefault="00000000">
      <w:pPr>
        <w:rPr>
          <w:kern w:val="16"/>
        </w:rPr>
      </w:pPr>
      <w:r>
        <w:rPr>
          <w:kern w:val="16"/>
        </w:rPr>
        <w:tab/>
      </w:r>
      <w:r>
        <w:rPr>
          <w:kern w:val="16"/>
          <w:u w:val="single"/>
        </w:rPr>
        <w:t>Source</w:t>
      </w:r>
      <w:r>
        <w:rPr>
          <w:kern w:val="16"/>
        </w:rPr>
        <w:t xml:space="preserve">:  IBGE </w:t>
      </w:r>
      <w:r>
        <w:rPr>
          <w:kern w:val="16"/>
        </w:rPr>
        <w:noBreakHyphen/>
        <w:t xml:space="preserve"> 1998 Social Indicators Summary (based on the 1997 PNAD).</w:t>
      </w:r>
    </w:p>
    <w:p w:rsidR="00000000" w:rsidRDefault="00000000">
      <w:pPr>
        <w:rPr>
          <w:spacing w:val="20"/>
          <w:kern w:val="16"/>
        </w:rPr>
      </w:pPr>
    </w:p>
    <w:p w:rsidR="00000000" w:rsidRDefault="00000000">
      <w:pPr>
        <w:pStyle w:val="Heading1"/>
        <w:rPr>
          <w:kern w:val="16"/>
        </w:rPr>
      </w:pPr>
      <w:r>
        <w:rPr>
          <w:kern w:val="16"/>
        </w:rPr>
        <w:t>Table 69</w:t>
      </w:r>
    </w:p>
    <w:p w:rsidR="00000000" w:rsidRDefault="00000000"/>
    <w:p w:rsidR="00000000" w:rsidRDefault="00000000">
      <w:pPr>
        <w:pStyle w:val="Heading1"/>
      </w:pPr>
      <w:r>
        <w:t>Urban homes supplied with water, adequate sewage disposal and trash</w:t>
      </w:r>
    </w:p>
    <w:p w:rsidR="00000000" w:rsidRDefault="00000000">
      <w:pPr>
        <w:pStyle w:val="Heading1"/>
      </w:pPr>
      <w:r>
        <w:t>collection (by per capita household income in minimum salaries, 1997)</w:t>
      </w:r>
    </w:p>
    <w:p w:rsidR="00000000" w:rsidRDefault="00000000"/>
    <w:tbl>
      <w:tblPr>
        <w:tblW w:w="0" w:type="auto"/>
        <w:jc w:val="center"/>
        <w:tblBorders>
          <w:top w:val="single" w:sz="2" w:space="0" w:color="000000"/>
          <w:left w:val="single" w:sz="2" w:space="0" w:color="000000"/>
          <w:bottom w:val="single" w:sz="2" w:space="0" w:color="000000"/>
          <w:right w:val="single" w:sz="2" w:space="0" w:color="000000"/>
          <w:insideV w:val="single" w:sz="2" w:space="0" w:color="000000"/>
        </w:tblBorders>
        <w:tblLayout w:type="fixed"/>
        <w:tblCellMar>
          <w:left w:w="70" w:type="dxa"/>
          <w:right w:w="70" w:type="dxa"/>
        </w:tblCellMar>
        <w:tblLook w:val="0000" w:firstRow="0" w:lastRow="0" w:firstColumn="0" w:lastColumn="0" w:noHBand="0" w:noVBand="0"/>
      </w:tblPr>
      <w:tblGrid>
        <w:gridCol w:w="1904"/>
        <w:gridCol w:w="1630"/>
        <w:gridCol w:w="1630"/>
        <w:gridCol w:w="1343"/>
        <w:gridCol w:w="1343"/>
        <w:gridCol w:w="1343"/>
      </w:tblGrid>
      <w:tr w:rsidR="00000000">
        <w:tblPrEx>
          <w:tblCellMar>
            <w:top w:w="0" w:type="dxa"/>
            <w:bottom w:w="0" w:type="dxa"/>
          </w:tblCellMar>
        </w:tblPrEx>
        <w:trPr>
          <w:cantSplit/>
          <w:jc w:val="center"/>
        </w:trPr>
        <w:tc>
          <w:tcPr>
            <w:tcW w:w="1904" w:type="dxa"/>
            <w:vMerge w:val="restart"/>
            <w:tcBorders>
              <w:top w:val="single" w:sz="2" w:space="0" w:color="000000"/>
              <w:bottom w:val="single" w:sz="2" w:space="0" w:color="000000"/>
            </w:tcBorders>
            <w:vAlign w:val="center"/>
          </w:tcPr>
          <w:p w:rsidR="00000000" w:rsidRDefault="00000000">
            <w:pPr>
              <w:spacing w:before="40" w:after="40"/>
              <w:jc w:val="center"/>
            </w:pPr>
            <w:r>
              <w:t>Major regions</w:t>
            </w:r>
          </w:p>
        </w:tc>
        <w:tc>
          <w:tcPr>
            <w:tcW w:w="1630" w:type="dxa"/>
            <w:vMerge w:val="restart"/>
            <w:tcBorders>
              <w:top w:val="single" w:sz="2" w:space="0" w:color="000000"/>
              <w:bottom w:val="single" w:sz="2" w:space="0" w:color="000000"/>
            </w:tcBorders>
            <w:vAlign w:val="center"/>
          </w:tcPr>
          <w:p w:rsidR="00000000" w:rsidRDefault="00000000">
            <w:pPr>
              <w:spacing w:before="40" w:after="40"/>
              <w:jc w:val="center"/>
            </w:pPr>
            <w:r>
              <w:t>Total No. of homes</w:t>
            </w:r>
          </w:p>
        </w:tc>
        <w:tc>
          <w:tcPr>
            <w:tcW w:w="1630" w:type="dxa"/>
            <w:vMerge w:val="restart"/>
            <w:tcBorders>
              <w:top w:val="single" w:sz="2" w:space="0" w:color="000000"/>
              <w:bottom w:val="single" w:sz="2" w:space="0" w:color="000000"/>
            </w:tcBorders>
            <w:vAlign w:val="center"/>
          </w:tcPr>
          <w:p w:rsidR="00000000" w:rsidRDefault="00000000">
            <w:pPr>
              <w:spacing w:before="40" w:after="40"/>
              <w:jc w:val="center"/>
            </w:pPr>
            <w:r>
              <w:t>% of homes adequately served</w:t>
            </w:r>
          </w:p>
        </w:tc>
        <w:tc>
          <w:tcPr>
            <w:tcW w:w="4029" w:type="dxa"/>
            <w:gridSpan w:val="3"/>
            <w:tcBorders>
              <w:top w:val="single" w:sz="2" w:space="0" w:color="000000"/>
              <w:bottom w:val="single" w:sz="2" w:space="0" w:color="000000"/>
            </w:tcBorders>
            <w:vAlign w:val="center"/>
          </w:tcPr>
          <w:p w:rsidR="00000000" w:rsidRDefault="00000000">
            <w:pPr>
              <w:spacing w:before="40" w:after="40"/>
              <w:jc w:val="center"/>
            </w:pPr>
            <w:r>
              <w:t>Per capita household income in minimum salaries</w:t>
            </w:r>
          </w:p>
        </w:tc>
      </w:tr>
      <w:tr w:rsidR="00000000">
        <w:tblPrEx>
          <w:tblCellMar>
            <w:top w:w="0" w:type="dxa"/>
            <w:bottom w:w="0" w:type="dxa"/>
          </w:tblCellMar>
        </w:tblPrEx>
        <w:trPr>
          <w:cantSplit/>
          <w:jc w:val="center"/>
        </w:trPr>
        <w:tc>
          <w:tcPr>
            <w:tcW w:w="1904" w:type="dxa"/>
            <w:vMerge/>
            <w:tcBorders>
              <w:top w:val="single" w:sz="2" w:space="0" w:color="000000"/>
              <w:bottom w:val="single" w:sz="2" w:space="0" w:color="000000"/>
            </w:tcBorders>
            <w:vAlign w:val="center"/>
          </w:tcPr>
          <w:p w:rsidR="00000000" w:rsidRDefault="00000000">
            <w:pPr>
              <w:spacing w:before="40" w:after="40"/>
              <w:jc w:val="center"/>
            </w:pPr>
          </w:p>
        </w:tc>
        <w:tc>
          <w:tcPr>
            <w:tcW w:w="1630" w:type="dxa"/>
            <w:vMerge/>
            <w:tcBorders>
              <w:top w:val="single" w:sz="2" w:space="0" w:color="000000"/>
              <w:bottom w:val="single" w:sz="2" w:space="0" w:color="000000"/>
            </w:tcBorders>
            <w:vAlign w:val="center"/>
          </w:tcPr>
          <w:p w:rsidR="00000000" w:rsidRDefault="00000000">
            <w:pPr>
              <w:spacing w:before="40" w:after="40"/>
              <w:jc w:val="center"/>
            </w:pPr>
          </w:p>
        </w:tc>
        <w:tc>
          <w:tcPr>
            <w:tcW w:w="1630" w:type="dxa"/>
            <w:vMerge/>
            <w:tcBorders>
              <w:top w:val="single" w:sz="2" w:space="0" w:color="000000"/>
              <w:bottom w:val="single" w:sz="2" w:space="0" w:color="000000"/>
            </w:tcBorders>
            <w:vAlign w:val="center"/>
          </w:tcPr>
          <w:p w:rsidR="00000000" w:rsidRDefault="00000000">
            <w:pPr>
              <w:spacing w:before="40" w:after="40"/>
              <w:jc w:val="center"/>
            </w:pPr>
          </w:p>
        </w:tc>
        <w:tc>
          <w:tcPr>
            <w:tcW w:w="1343" w:type="dxa"/>
            <w:tcBorders>
              <w:top w:val="single" w:sz="2" w:space="0" w:color="000000"/>
              <w:bottom w:val="single" w:sz="2" w:space="0" w:color="000000"/>
            </w:tcBorders>
            <w:vAlign w:val="center"/>
          </w:tcPr>
          <w:p w:rsidR="00000000" w:rsidRDefault="00000000">
            <w:pPr>
              <w:spacing w:before="40" w:after="40"/>
              <w:jc w:val="center"/>
            </w:pPr>
            <w:r>
              <w:t>Up to ½</w:t>
            </w:r>
          </w:p>
        </w:tc>
        <w:tc>
          <w:tcPr>
            <w:tcW w:w="1343" w:type="dxa"/>
            <w:tcBorders>
              <w:top w:val="single" w:sz="2" w:space="0" w:color="000000"/>
              <w:bottom w:val="single" w:sz="2" w:space="0" w:color="000000"/>
            </w:tcBorders>
            <w:vAlign w:val="center"/>
          </w:tcPr>
          <w:p w:rsidR="00000000" w:rsidRDefault="00000000">
            <w:pPr>
              <w:spacing w:before="40" w:after="40"/>
              <w:jc w:val="center"/>
            </w:pPr>
            <w:r>
              <w:t>Over ½ up to 1</w:t>
            </w:r>
          </w:p>
        </w:tc>
        <w:tc>
          <w:tcPr>
            <w:tcW w:w="1343" w:type="dxa"/>
            <w:tcBorders>
              <w:top w:val="single" w:sz="2" w:space="0" w:color="000000"/>
              <w:bottom w:val="single" w:sz="2" w:space="0" w:color="000000"/>
            </w:tcBorders>
            <w:vAlign w:val="center"/>
          </w:tcPr>
          <w:p w:rsidR="00000000" w:rsidRDefault="00000000">
            <w:pPr>
              <w:spacing w:before="40" w:after="40"/>
              <w:jc w:val="center"/>
            </w:pPr>
            <w:r>
              <w:t>Over 1</w:t>
            </w:r>
          </w:p>
        </w:tc>
      </w:tr>
      <w:tr w:rsidR="00000000">
        <w:tblPrEx>
          <w:tblCellMar>
            <w:top w:w="0" w:type="dxa"/>
            <w:bottom w:w="0" w:type="dxa"/>
          </w:tblCellMar>
        </w:tblPrEx>
        <w:trPr>
          <w:cantSplit/>
          <w:jc w:val="center"/>
        </w:trPr>
        <w:tc>
          <w:tcPr>
            <w:tcW w:w="1904" w:type="dxa"/>
            <w:vAlign w:val="center"/>
          </w:tcPr>
          <w:p w:rsidR="00000000" w:rsidRDefault="00000000">
            <w:pPr>
              <w:spacing w:before="40" w:after="40"/>
            </w:pPr>
            <w:r>
              <w:t>Brazil</w:t>
            </w:r>
          </w:p>
        </w:tc>
        <w:tc>
          <w:tcPr>
            <w:tcW w:w="1630" w:type="dxa"/>
            <w:vAlign w:val="center"/>
          </w:tcPr>
          <w:p w:rsidR="00000000" w:rsidRDefault="00000000">
            <w:pPr>
              <w:spacing w:before="40" w:after="40"/>
              <w:ind w:right="284"/>
              <w:jc w:val="right"/>
            </w:pPr>
            <w:r>
              <w:t>32 980 372</w:t>
            </w:r>
          </w:p>
        </w:tc>
        <w:tc>
          <w:tcPr>
            <w:tcW w:w="1630" w:type="dxa"/>
            <w:vAlign w:val="center"/>
          </w:tcPr>
          <w:p w:rsidR="00000000" w:rsidRDefault="00000000">
            <w:pPr>
              <w:spacing w:before="40" w:after="40"/>
              <w:jc w:val="center"/>
            </w:pPr>
            <w:r>
              <w:t>59.8</w:t>
            </w:r>
          </w:p>
        </w:tc>
        <w:tc>
          <w:tcPr>
            <w:tcW w:w="1343" w:type="dxa"/>
            <w:vAlign w:val="center"/>
          </w:tcPr>
          <w:p w:rsidR="00000000" w:rsidRDefault="00000000">
            <w:pPr>
              <w:spacing w:before="40" w:after="40"/>
              <w:ind w:right="340"/>
              <w:jc w:val="right"/>
            </w:pPr>
            <w:r>
              <w:t>8.2</w:t>
            </w:r>
          </w:p>
        </w:tc>
        <w:tc>
          <w:tcPr>
            <w:tcW w:w="1343" w:type="dxa"/>
            <w:vAlign w:val="center"/>
          </w:tcPr>
          <w:p w:rsidR="00000000" w:rsidRDefault="00000000">
            <w:pPr>
              <w:spacing w:before="40" w:after="40"/>
              <w:jc w:val="center"/>
            </w:pPr>
            <w:r>
              <w:t>16.1</w:t>
            </w:r>
          </w:p>
        </w:tc>
        <w:tc>
          <w:tcPr>
            <w:tcW w:w="1343" w:type="dxa"/>
            <w:vAlign w:val="center"/>
          </w:tcPr>
          <w:p w:rsidR="00000000" w:rsidRDefault="00000000">
            <w:pPr>
              <w:spacing w:before="40" w:after="40"/>
              <w:jc w:val="center"/>
            </w:pPr>
            <w:r>
              <w:t>73.3</w:t>
            </w:r>
          </w:p>
        </w:tc>
      </w:tr>
      <w:tr w:rsidR="00000000">
        <w:tblPrEx>
          <w:tblCellMar>
            <w:top w:w="0" w:type="dxa"/>
            <w:bottom w:w="0" w:type="dxa"/>
          </w:tblCellMar>
        </w:tblPrEx>
        <w:trPr>
          <w:cantSplit/>
          <w:jc w:val="center"/>
        </w:trPr>
        <w:tc>
          <w:tcPr>
            <w:tcW w:w="1904" w:type="dxa"/>
            <w:vAlign w:val="center"/>
          </w:tcPr>
          <w:p w:rsidR="00000000" w:rsidRDefault="00000000">
            <w:pPr>
              <w:spacing w:before="40" w:after="40"/>
            </w:pPr>
            <w:r>
              <w:t>North</w:t>
            </w:r>
          </w:p>
        </w:tc>
        <w:tc>
          <w:tcPr>
            <w:tcW w:w="1630" w:type="dxa"/>
            <w:vAlign w:val="center"/>
          </w:tcPr>
          <w:p w:rsidR="00000000" w:rsidRDefault="00000000">
            <w:pPr>
              <w:spacing w:before="40" w:after="40"/>
              <w:ind w:right="284"/>
              <w:jc w:val="right"/>
            </w:pPr>
            <w:r>
              <w:t>1 625 591</w:t>
            </w:r>
          </w:p>
        </w:tc>
        <w:tc>
          <w:tcPr>
            <w:tcW w:w="1630" w:type="dxa"/>
            <w:vAlign w:val="center"/>
          </w:tcPr>
          <w:p w:rsidR="00000000" w:rsidRDefault="00000000">
            <w:pPr>
              <w:spacing w:before="40" w:after="40"/>
              <w:jc w:val="center"/>
            </w:pPr>
            <w:r>
              <w:t>14.7</w:t>
            </w:r>
          </w:p>
        </w:tc>
        <w:tc>
          <w:tcPr>
            <w:tcW w:w="1343" w:type="dxa"/>
            <w:vAlign w:val="center"/>
          </w:tcPr>
          <w:p w:rsidR="00000000" w:rsidRDefault="00000000">
            <w:pPr>
              <w:spacing w:before="40" w:after="40"/>
              <w:ind w:right="340"/>
              <w:jc w:val="right"/>
            </w:pPr>
            <w:r>
              <w:t>12.4</w:t>
            </w:r>
          </w:p>
        </w:tc>
        <w:tc>
          <w:tcPr>
            <w:tcW w:w="1343" w:type="dxa"/>
            <w:vAlign w:val="center"/>
          </w:tcPr>
          <w:p w:rsidR="00000000" w:rsidRDefault="00000000">
            <w:pPr>
              <w:spacing w:before="40" w:after="40"/>
              <w:jc w:val="center"/>
            </w:pPr>
            <w:r>
              <w:t>17.5</w:t>
            </w:r>
          </w:p>
        </w:tc>
        <w:tc>
          <w:tcPr>
            <w:tcW w:w="1343" w:type="dxa"/>
            <w:vAlign w:val="center"/>
          </w:tcPr>
          <w:p w:rsidR="00000000" w:rsidRDefault="00000000">
            <w:pPr>
              <w:spacing w:before="40" w:after="40"/>
              <w:jc w:val="center"/>
            </w:pPr>
            <w:r>
              <w:t>69.1</w:t>
            </w:r>
          </w:p>
        </w:tc>
      </w:tr>
      <w:tr w:rsidR="00000000">
        <w:tblPrEx>
          <w:tblCellMar>
            <w:top w:w="0" w:type="dxa"/>
            <w:bottom w:w="0" w:type="dxa"/>
          </w:tblCellMar>
        </w:tblPrEx>
        <w:trPr>
          <w:cantSplit/>
          <w:jc w:val="center"/>
        </w:trPr>
        <w:tc>
          <w:tcPr>
            <w:tcW w:w="1904" w:type="dxa"/>
            <w:vAlign w:val="center"/>
          </w:tcPr>
          <w:p w:rsidR="00000000" w:rsidRDefault="00000000">
            <w:pPr>
              <w:spacing w:before="40" w:after="40"/>
            </w:pPr>
            <w:r>
              <w:t>North</w:t>
            </w:r>
            <w:r>
              <w:noBreakHyphen/>
              <w:t>east</w:t>
            </w:r>
          </w:p>
        </w:tc>
        <w:tc>
          <w:tcPr>
            <w:tcW w:w="1630" w:type="dxa"/>
            <w:vAlign w:val="center"/>
          </w:tcPr>
          <w:p w:rsidR="00000000" w:rsidRDefault="00000000">
            <w:pPr>
              <w:spacing w:before="40" w:after="40"/>
              <w:ind w:right="284"/>
              <w:jc w:val="right"/>
            </w:pPr>
            <w:r>
              <w:t>7 014 197</w:t>
            </w:r>
          </w:p>
        </w:tc>
        <w:tc>
          <w:tcPr>
            <w:tcW w:w="1630" w:type="dxa"/>
            <w:vAlign w:val="center"/>
          </w:tcPr>
          <w:p w:rsidR="00000000" w:rsidRDefault="00000000">
            <w:pPr>
              <w:spacing w:before="40" w:after="40"/>
              <w:jc w:val="center"/>
            </w:pPr>
            <w:r>
              <w:t>29.1</w:t>
            </w:r>
          </w:p>
        </w:tc>
        <w:tc>
          <w:tcPr>
            <w:tcW w:w="1343" w:type="dxa"/>
            <w:vAlign w:val="center"/>
          </w:tcPr>
          <w:p w:rsidR="00000000" w:rsidRDefault="00000000">
            <w:pPr>
              <w:spacing w:before="40" w:after="40"/>
              <w:ind w:right="340"/>
              <w:jc w:val="right"/>
            </w:pPr>
            <w:r>
              <w:t>19.5</w:t>
            </w:r>
          </w:p>
        </w:tc>
        <w:tc>
          <w:tcPr>
            <w:tcW w:w="1343" w:type="dxa"/>
            <w:vAlign w:val="center"/>
          </w:tcPr>
          <w:p w:rsidR="00000000" w:rsidRDefault="00000000">
            <w:pPr>
              <w:spacing w:before="40" w:after="40"/>
              <w:jc w:val="center"/>
            </w:pPr>
            <w:r>
              <w:t>23.6</w:t>
            </w:r>
          </w:p>
        </w:tc>
        <w:tc>
          <w:tcPr>
            <w:tcW w:w="1343" w:type="dxa"/>
            <w:vAlign w:val="center"/>
          </w:tcPr>
          <w:p w:rsidR="00000000" w:rsidRDefault="00000000">
            <w:pPr>
              <w:spacing w:before="40" w:after="40"/>
              <w:jc w:val="center"/>
            </w:pPr>
            <w:r>
              <w:t>53.8</w:t>
            </w:r>
          </w:p>
        </w:tc>
      </w:tr>
      <w:tr w:rsidR="00000000">
        <w:tblPrEx>
          <w:tblCellMar>
            <w:top w:w="0" w:type="dxa"/>
            <w:bottom w:w="0" w:type="dxa"/>
          </w:tblCellMar>
        </w:tblPrEx>
        <w:trPr>
          <w:cantSplit/>
          <w:jc w:val="center"/>
        </w:trPr>
        <w:tc>
          <w:tcPr>
            <w:tcW w:w="1904" w:type="dxa"/>
            <w:vAlign w:val="center"/>
          </w:tcPr>
          <w:p w:rsidR="00000000" w:rsidRDefault="00000000">
            <w:pPr>
              <w:spacing w:before="40" w:after="40"/>
            </w:pPr>
            <w:r>
              <w:t>South</w:t>
            </w:r>
            <w:r>
              <w:noBreakHyphen/>
              <w:t>east</w:t>
            </w:r>
          </w:p>
        </w:tc>
        <w:tc>
          <w:tcPr>
            <w:tcW w:w="1630" w:type="dxa"/>
            <w:vAlign w:val="center"/>
          </w:tcPr>
          <w:p w:rsidR="00000000" w:rsidRDefault="00000000">
            <w:pPr>
              <w:spacing w:before="40" w:after="40"/>
              <w:ind w:right="284"/>
              <w:jc w:val="right"/>
            </w:pPr>
            <w:r>
              <w:t>16 684 918</w:t>
            </w:r>
          </w:p>
        </w:tc>
        <w:tc>
          <w:tcPr>
            <w:tcW w:w="1630" w:type="dxa"/>
            <w:vAlign w:val="center"/>
          </w:tcPr>
          <w:p w:rsidR="00000000" w:rsidRDefault="00000000">
            <w:pPr>
              <w:spacing w:before="40" w:after="40"/>
              <w:jc w:val="center"/>
            </w:pPr>
            <w:r>
              <w:t>83.3</w:t>
            </w:r>
          </w:p>
        </w:tc>
        <w:tc>
          <w:tcPr>
            <w:tcW w:w="1343" w:type="dxa"/>
            <w:vAlign w:val="center"/>
          </w:tcPr>
          <w:p w:rsidR="00000000" w:rsidRDefault="00000000">
            <w:pPr>
              <w:spacing w:before="40" w:after="40"/>
              <w:ind w:right="340"/>
              <w:jc w:val="right"/>
            </w:pPr>
            <w:r>
              <w:t>6.9</w:t>
            </w:r>
          </w:p>
        </w:tc>
        <w:tc>
          <w:tcPr>
            <w:tcW w:w="1343" w:type="dxa"/>
            <w:vAlign w:val="center"/>
          </w:tcPr>
          <w:p w:rsidR="00000000" w:rsidRDefault="00000000">
            <w:pPr>
              <w:spacing w:before="40" w:after="40"/>
              <w:jc w:val="center"/>
            </w:pPr>
            <w:r>
              <w:t>15.5</w:t>
            </w:r>
          </w:p>
        </w:tc>
        <w:tc>
          <w:tcPr>
            <w:tcW w:w="1343" w:type="dxa"/>
            <w:vAlign w:val="center"/>
          </w:tcPr>
          <w:p w:rsidR="00000000" w:rsidRDefault="00000000">
            <w:pPr>
              <w:spacing w:before="40" w:after="40"/>
              <w:jc w:val="center"/>
            </w:pPr>
            <w:r>
              <w:t>75.3</w:t>
            </w:r>
          </w:p>
        </w:tc>
      </w:tr>
      <w:tr w:rsidR="00000000">
        <w:tblPrEx>
          <w:tblCellMar>
            <w:top w:w="0" w:type="dxa"/>
            <w:bottom w:w="0" w:type="dxa"/>
          </w:tblCellMar>
        </w:tblPrEx>
        <w:trPr>
          <w:cantSplit/>
          <w:jc w:val="center"/>
        </w:trPr>
        <w:tc>
          <w:tcPr>
            <w:tcW w:w="1904" w:type="dxa"/>
            <w:vAlign w:val="center"/>
          </w:tcPr>
          <w:p w:rsidR="00000000" w:rsidRDefault="00000000">
            <w:pPr>
              <w:spacing w:before="40" w:after="40"/>
            </w:pPr>
            <w:r>
              <w:t>South</w:t>
            </w:r>
          </w:p>
        </w:tc>
        <w:tc>
          <w:tcPr>
            <w:tcW w:w="1630" w:type="dxa"/>
            <w:vAlign w:val="center"/>
          </w:tcPr>
          <w:p w:rsidR="00000000" w:rsidRDefault="00000000">
            <w:pPr>
              <w:spacing w:before="40" w:after="40"/>
              <w:ind w:right="284"/>
              <w:jc w:val="right"/>
            </w:pPr>
            <w:r>
              <w:t>5 324 608</w:t>
            </w:r>
          </w:p>
        </w:tc>
        <w:tc>
          <w:tcPr>
            <w:tcW w:w="1630" w:type="dxa"/>
            <w:vAlign w:val="center"/>
          </w:tcPr>
          <w:p w:rsidR="00000000" w:rsidRDefault="00000000">
            <w:pPr>
              <w:spacing w:before="40" w:after="40"/>
              <w:jc w:val="center"/>
            </w:pPr>
            <w:r>
              <w:t>48.9</w:t>
            </w:r>
          </w:p>
        </w:tc>
        <w:tc>
          <w:tcPr>
            <w:tcW w:w="1343" w:type="dxa"/>
            <w:vAlign w:val="center"/>
          </w:tcPr>
          <w:p w:rsidR="00000000" w:rsidRDefault="00000000">
            <w:pPr>
              <w:spacing w:before="40" w:after="40"/>
              <w:ind w:right="340"/>
              <w:jc w:val="right"/>
            </w:pPr>
            <w:r>
              <w:t>5.8</w:t>
            </w:r>
          </w:p>
        </w:tc>
        <w:tc>
          <w:tcPr>
            <w:tcW w:w="1343" w:type="dxa"/>
            <w:vAlign w:val="center"/>
          </w:tcPr>
          <w:p w:rsidR="00000000" w:rsidRDefault="00000000">
            <w:pPr>
              <w:spacing w:before="40" w:after="40"/>
              <w:jc w:val="center"/>
            </w:pPr>
            <w:r>
              <w:t>13.9</w:t>
            </w:r>
          </w:p>
        </w:tc>
        <w:tc>
          <w:tcPr>
            <w:tcW w:w="1343" w:type="dxa"/>
            <w:vAlign w:val="center"/>
          </w:tcPr>
          <w:p w:rsidR="00000000" w:rsidRDefault="00000000">
            <w:pPr>
              <w:spacing w:before="40" w:after="40"/>
              <w:jc w:val="center"/>
            </w:pPr>
            <w:r>
              <w:t>77.6</w:t>
            </w:r>
          </w:p>
        </w:tc>
      </w:tr>
      <w:tr w:rsidR="00000000">
        <w:tblPrEx>
          <w:tblCellMar>
            <w:top w:w="0" w:type="dxa"/>
            <w:bottom w:w="0" w:type="dxa"/>
          </w:tblCellMar>
        </w:tblPrEx>
        <w:trPr>
          <w:cantSplit/>
          <w:jc w:val="center"/>
        </w:trPr>
        <w:tc>
          <w:tcPr>
            <w:tcW w:w="1904" w:type="dxa"/>
            <w:vAlign w:val="center"/>
          </w:tcPr>
          <w:p w:rsidR="00000000" w:rsidRDefault="00000000">
            <w:pPr>
              <w:spacing w:before="40" w:after="40"/>
            </w:pPr>
            <w:r>
              <w:t>Centre-west</w:t>
            </w:r>
          </w:p>
        </w:tc>
        <w:tc>
          <w:tcPr>
            <w:tcW w:w="1630" w:type="dxa"/>
            <w:vAlign w:val="center"/>
          </w:tcPr>
          <w:p w:rsidR="00000000" w:rsidRDefault="00000000">
            <w:pPr>
              <w:spacing w:before="40" w:after="40"/>
              <w:jc w:val="center"/>
            </w:pPr>
            <w:r>
              <w:t>2 361 814</w:t>
            </w:r>
          </w:p>
        </w:tc>
        <w:tc>
          <w:tcPr>
            <w:tcW w:w="1630" w:type="dxa"/>
            <w:vAlign w:val="center"/>
          </w:tcPr>
          <w:p w:rsidR="00000000" w:rsidRDefault="00000000">
            <w:pPr>
              <w:spacing w:before="40" w:after="40"/>
              <w:jc w:val="center"/>
            </w:pPr>
            <w:r>
              <w:t>39.5</w:t>
            </w:r>
          </w:p>
        </w:tc>
        <w:tc>
          <w:tcPr>
            <w:tcW w:w="1343" w:type="dxa"/>
            <w:vAlign w:val="center"/>
          </w:tcPr>
          <w:p w:rsidR="00000000" w:rsidRDefault="00000000">
            <w:pPr>
              <w:spacing w:before="40" w:after="40"/>
              <w:ind w:right="340"/>
              <w:jc w:val="right"/>
            </w:pPr>
            <w:r>
              <w:t>7.7</w:t>
            </w:r>
          </w:p>
        </w:tc>
        <w:tc>
          <w:tcPr>
            <w:tcW w:w="1343" w:type="dxa"/>
            <w:vAlign w:val="center"/>
          </w:tcPr>
          <w:p w:rsidR="00000000" w:rsidRDefault="00000000">
            <w:pPr>
              <w:spacing w:before="40" w:after="40"/>
              <w:jc w:val="center"/>
            </w:pPr>
            <w:r>
              <w:t>14.5</w:t>
            </w:r>
          </w:p>
        </w:tc>
        <w:tc>
          <w:tcPr>
            <w:tcW w:w="1343" w:type="dxa"/>
            <w:vAlign w:val="center"/>
          </w:tcPr>
          <w:p w:rsidR="00000000" w:rsidRDefault="00000000">
            <w:pPr>
              <w:spacing w:before="40" w:after="40"/>
              <w:jc w:val="center"/>
            </w:pPr>
            <w:r>
              <w:t>75.9</w:t>
            </w:r>
          </w:p>
        </w:tc>
      </w:tr>
    </w:tbl>
    <w:p w:rsidR="00000000" w:rsidRDefault="00000000">
      <w:pPr>
        <w:rPr>
          <w:spacing w:val="20"/>
          <w:kern w:val="16"/>
        </w:rPr>
      </w:pPr>
    </w:p>
    <w:p w:rsidR="00000000" w:rsidRDefault="00000000">
      <w:pPr>
        <w:rPr>
          <w:kern w:val="16"/>
        </w:rPr>
      </w:pPr>
      <w:r>
        <w:rPr>
          <w:kern w:val="16"/>
        </w:rPr>
        <w:tab/>
      </w:r>
      <w:r>
        <w:rPr>
          <w:kern w:val="16"/>
          <w:u w:val="single"/>
        </w:rPr>
        <w:t>Source</w:t>
      </w:r>
      <w:r>
        <w:rPr>
          <w:kern w:val="16"/>
        </w:rPr>
        <w:t xml:space="preserve">:  IBGE </w:t>
      </w:r>
      <w:r>
        <w:rPr>
          <w:kern w:val="16"/>
        </w:rPr>
        <w:noBreakHyphen/>
        <w:t xml:space="preserve"> 1998 Social Indicators Summary (based on the 1997 PNAD).</w:t>
      </w:r>
    </w:p>
    <w:p w:rsidR="00000000" w:rsidRDefault="00000000">
      <w:pPr>
        <w:rPr>
          <w:spacing w:val="20"/>
          <w:kern w:val="16"/>
        </w:rPr>
      </w:pPr>
    </w:p>
    <w:p w:rsidR="00000000" w:rsidRDefault="00000000">
      <w:pPr>
        <w:pStyle w:val="ParaNo"/>
        <w:tabs>
          <w:tab w:val="clear" w:pos="360"/>
          <w:tab w:val="clear" w:pos="737"/>
        </w:tabs>
        <w:rPr>
          <w:lang w:val="en-GB"/>
        </w:rPr>
      </w:pPr>
      <w:r>
        <w:rPr>
          <w:lang w:val="en-GB"/>
        </w:rPr>
        <w:br w:type="page"/>
        <w:t xml:space="preserve">For an assessment of substandard housing in Brazil, the main source is the study entitled “Dimensions of Social Needs </w:t>
      </w:r>
      <w:r>
        <w:rPr>
          <w:lang w:val="en-GB"/>
        </w:rPr>
        <w:noBreakHyphen/>
        <w:t xml:space="preserve"> Municipal Data, 1996” conducted by IBGE and IPEA.  This is the statistical </w:t>
      </w:r>
      <w:r>
        <w:rPr>
          <w:kern w:val="20"/>
          <w:lang w:val="en-GB"/>
        </w:rPr>
        <w:t>survey</w:t>
      </w:r>
      <w:r>
        <w:rPr>
          <w:lang w:val="en-GB"/>
        </w:rPr>
        <w:t xml:space="preserve"> most utilized by housing sector specialists to determine the number of </w:t>
      </w:r>
    </w:p>
    <w:p w:rsidR="00000000" w:rsidRDefault="00000000">
      <w:r>
        <w:t>substandard homes.  The study is based on the definition of precarious homes as those inhabited by illiterate children aged 11</w:t>
      </w:r>
      <w:r>
        <w:noBreakHyphen/>
        <w:t xml:space="preserve">14 and/or headed by women with a monthly income of up to one </w:t>
      </w:r>
    </w:p>
    <w:p w:rsidR="00000000" w:rsidRDefault="00000000">
      <w:r>
        <w:t>minimum salary and which lack any waste disposal facilities.  If we consider those individuals who live in precarious homes as homeless, this would apply to 43 per cent of the population, or 11.1 million homes (one third of existing homes).</w:t>
      </w:r>
    </w:p>
    <w:p w:rsidR="00000000" w:rsidRDefault="00000000"/>
    <w:p w:rsidR="00000000" w:rsidRDefault="00000000">
      <w:pPr>
        <w:pStyle w:val="ParaNo"/>
        <w:tabs>
          <w:tab w:val="clear" w:pos="360"/>
          <w:tab w:val="clear" w:pos="737"/>
        </w:tabs>
        <w:rPr>
          <w:lang w:val="en-GB"/>
        </w:rPr>
      </w:pPr>
      <w:r>
        <w:rPr>
          <w:lang w:val="en-GB"/>
        </w:rPr>
        <w:t>Brazil has no specific statistics on the number of truly homeless individuals or families, but there are data on individuals whose home is considered inadequate.  An approximate number of people without adequate shelter can be obtained by counting those individuals who live in improvised homes (including homes located in units that do not have space specifically assigned as living quarters).  The 1991 census showed that people living in improvised homes numbered 221,505 in rural areas and 306,719 in urban areas, totalling 528,224 people.</w:t>
      </w:r>
    </w:p>
    <w:p w:rsidR="00000000" w:rsidRDefault="00000000"/>
    <w:p w:rsidR="00000000" w:rsidRDefault="00000000">
      <w:pPr>
        <w:pStyle w:val="ParaNo"/>
        <w:tabs>
          <w:tab w:val="clear" w:pos="360"/>
          <w:tab w:val="clear" w:pos="737"/>
        </w:tabs>
        <w:rPr>
          <w:kern w:val="16"/>
          <w:lang w:val="en-GB"/>
        </w:rPr>
      </w:pPr>
      <w:r>
        <w:rPr>
          <w:kern w:val="16"/>
          <w:lang w:val="en-GB"/>
        </w:rPr>
        <w:t>The percentage of families who currently live in inadequate homes without basic sanitation is at least 42 per cent, if we consider as inadequate those homes with inadequate water supply, waste disposal and trash collection.  In 1997, 26.5 per cent of Brazilian homes had neither sewage plumbing nor septic tank, 8.8 per cent were not connected to the public distribution system and 9.3 were not served by trash collection.  Some 20,872,373 people had no access to the water supply system, 60,030,461 were neither served by the sewerage system nor had a septic tank, 45,042,470 had no trash collection and 12,200,460 had no electricity.  Out of the total population, 117,475,431 people had no telephone.  The condition of these services is more precarious in areas with low</w:t>
      </w:r>
      <w:r>
        <w:rPr>
          <w:kern w:val="16"/>
          <w:lang w:val="en-GB"/>
        </w:rPr>
        <w:noBreakHyphen/>
        <w:t>income populations.</w:t>
      </w:r>
    </w:p>
    <w:p w:rsidR="00000000" w:rsidRDefault="00000000">
      <w:pPr>
        <w:rPr>
          <w:kern w:val="16"/>
        </w:rPr>
      </w:pPr>
    </w:p>
    <w:p w:rsidR="00000000" w:rsidRDefault="00000000">
      <w:pPr>
        <w:pStyle w:val="ParaNo"/>
        <w:tabs>
          <w:tab w:val="clear" w:pos="360"/>
          <w:tab w:val="clear" w:pos="737"/>
        </w:tabs>
        <w:rPr>
          <w:lang w:val="en-GB"/>
        </w:rPr>
      </w:pPr>
      <w:r>
        <w:rPr>
          <w:lang w:val="en-GB"/>
        </w:rPr>
        <w:t xml:space="preserve">In Brazil, density of occupation in homes may also be considered inadequate.  According to estimates, in </w:t>
      </w:r>
      <w:r>
        <w:rPr>
          <w:kern w:val="16"/>
          <w:lang w:val="en-GB"/>
        </w:rPr>
        <w:t>1998</w:t>
      </w:r>
      <w:r>
        <w:rPr>
          <w:lang w:val="en-GB"/>
        </w:rPr>
        <w:t xml:space="preserve"> the population living in overcrowded homes (i.e. more than three people per sleeping room) numbered 3,282,303 people (7.8 per cent).  There are data on structurally unsafe homes (rustic homes) </w:t>
      </w:r>
      <w:r>
        <w:rPr>
          <w:lang w:val="en-GB"/>
        </w:rPr>
        <w:noBreakHyphen/>
        <w:t xml:space="preserve"> there were 1,727,845 such homes in 1991.  In 1997, structurally unsafe homes numbered 578,144.</w:t>
      </w:r>
    </w:p>
    <w:p w:rsidR="00000000" w:rsidRDefault="00000000"/>
    <w:p w:rsidR="00000000" w:rsidRDefault="00000000">
      <w:pPr>
        <w:pStyle w:val="ParaNo"/>
        <w:tabs>
          <w:tab w:val="clear" w:pos="360"/>
          <w:tab w:val="clear" w:pos="737"/>
        </w:tabs>
        <w:rPr>
          <w:kern w:val="16"/>
          <w:lang w:val="en-GB"/>
        </w:rPr>
      </w:pPr>
      <w:r>
        <w:rPr>
          <w:kern w:val="16"/>
          <w:lang w:val="en-GB"/>
        </w:rPr>
        <w:t>In Brazil, illegality in the housing sector is characterized by lack of property title and non</w:t>
      </w:r>
      <w:r>
        <w:rPr>
          <w:kern w:val="16"/>
          <w:lang w:val="en-GB"/>
        </w:rPr>
        <w:noBreakHyphen/>
        <w:t>compliance with urban standards (master plan, zoning, land use and occupation), municipal laws (works and building code) and administrative requirements (consonance with municipal procedures).  There are illegal medium</w:t>
      </w:r>
      <w:r>
        <w:rPr>
          <w:kern w:val="16"/>
          <w:lang w:val="en-GB"/>
        </w:rPr>
        <w:noBreakHyphen/>
        <w:t>income settlements (usually in the form of urban condominiums) and low</w:t>
      </w:r>
      <w:r>
        <w:rPr>
          <w:kern w:val="16"/>
          <w:lang w:val="en-GB"/>
        </w:rPr>
        <w:noBreakHyphen/>
        <w:t>income settlements (slums and clandestine subdivisions).  The number of people living in illegal (clandestine and irregular) settlements may be estimated on the basis of the number of existing slums, clandestine subdivisions and urban apartment blocks.  No specific data on this are available, but one can use as an indicator the number of people who own their home but do not own title to the land on which it sits:  12,419,229 people, or 8.53 per cent of existing homes.</w:t>
      </w:r>
    </w:p>
    <w:p w:rsidR="00000000" w:rsidRDefault="00000000">
      <w:pPr>
        <w:rPr>
          <w:kern w:val="16"/>
        </w:rPr>
      </w:pPr>
    </w:p>
    <w:p w:rsidR="00000000" w:rsidRDefault="00000000">
      <w:pPr>
        <w:pStyle w:val="ParaNo"/>
        <w:tabs>
          <w:tab w:val="clear" w:pos="360"/>
          <w:tab w:val="clear" w:pos="737"/>
        </w:tabs>
        <w:rPr>
          <w:kern w:val="16"/>
          <w:lang w:val="en-GB"/>
        </w:rPr>
      </w:pPr>
      <w:r>
        <w:rPr>
          <w:kern w:val="16"/>
          <w:lang w:val="en-GB"/>
        </w:rPr>
        <w:t xml:space="preserve">Alternatively, one might consider as illegal the number of people who live in homes located in substandard areas.  </w:t>
      </w:r>
      <w:r>
        <w:rPr>
          <w:lang w:val="en-GB"/>
        </w:rPr>
        <w:t>According</w:t>
      </w:r>
      <w:r>
        <w:rPr>
          <w:kern w:val="16"/>
          <w:lang w:val="en-GB"/>
        </w:rPr>
        <w:t xml:space="preserve"> to available IBGE data, the number of people living in substandard areas in 1991 was 6,998,677.</w:t>
      </w:r>
    </w:p>
    <w:p w:rsidR="00000000" w:rsidRDefault="00000000">
      <w:pPr>
        <w:rPr>
          <w:kern w:val="16"/>
        </w:rPr>
      </w:pPr>
    </w:p>
    <w:p w:rsidR="00000000" w:rsidRDefault="00000000">
      <w:pPr>
        <w:pStyle w:val="Heading1"/>
        <w:rPr>
          <w:kern w:val="20"/>
        </w:rPr>
      </w:pPr>
      <w:r>
        <w:rPr>
          <w:kern w:val="20"/>
        </w:rPr>
        <w:br w:type="page"/>
        <w:t>Table 70</w:t>
      </w:r>
    </w:p>
    <w:p w:rsidR="00000000" w:rsidRDefault="00000000"/>
    <w:p w:rsidR="00000000" w:rsidRDefault="00000000">
      <w:pPr>
        <w:pStyle w:val="Heading1"/>
        <w:rPr>
          <w:kern w:val="20"/>
        </w:rPr>
      </w:pPr>
      <w:r>
        <w:rPr>
          <w:kern w:val="20"/>
        </w:rPr>
        <w:t>People living in substandard agglomeration by home location, 1991</w:t>
      </w:r>
    </w:p>
    <w:p w:rsidR="00000000" w:rsidRDefault="00000000">
      <w:pPr>
        <w:rPr>
          <w:kern w:val="20"/>
        </w:rPr>
      </w:pPr>
    </w:p>
    <w:tbl>
      <w:tblPr>
        <w:tblW w:w="0" w:type="auto"/>
        <w:jc w:val="center"/>
        <w:tblBorders>
          <w:top w:val="single" w:sz="2" w:space="0" w:color="000000"/>
          <w:left w:val="single" w:sz="2" w:space="0" w:color="000000"/>
          <w:bottom w:val="single" w:sz="2" w:space="0" w:color="000000"/>
          <w:right w:val="single" w:sz="2" w:space="0" w:color="000000"/>
          <w:insideV w:val="single" w:sz="2" w:space="0" w:color="000000"/>
        </w:tblBorders>
        <w:tblLayout w:type="fixed"/>
        <w:tblCellMar>
          <w:left w:w="70" w:type="dxa"/>
          <w:right w:w="70" w:type="dxa"/>
        </w:tblCellMar>
        <w:tblLook w:val="0000" w:firstRow="0" w:lastRow="0" w:firstColumn="0" w:lastColumn="0" w:noHBand="0" w:noVBand="0"/>
      </w:tblPr>
      <w:tblGrid>
        <w:gridCol w:w="2364"/>
        <w:gridCol w:w="2280"/>
        <w:gridCol w:w="2281"/>
        <w:gridCol w:w="2281"/>
      </w:tblGrid>
      <w:tr w:rsidR="00000000">
        <w:tblPrEx>
          <w:tblCellMar>
            <w:top w:w="0" w:type="dxa"/>
            <w:bottom w:w="0" w:type="dxa"/>
          </w:tblCellMar>
        </w:tblPrEx>
        <w:trPr>
          <w:cantSplit/>
          <w:jc w:val="center"/>
        </w:trPr>
        <w:tc>
          <w:tcPr>
            <w:tcW w:w="2364" w:type="dxa"/>
            <w:tcBorders>
              <w:top w:val="single" w:sz="4" w:space="0" w:color="auto"/>
              <w:left w:val="single" w:sz="4" w:space="0" w:color="auto"/>
              <w:bottom w:val="single" w:sz="4" w:space="0" w:color="auto"/>
            </w:tcBorders>
            <w:vAlign w:val="center"/>
          </w:tcPr>
          <w:p w:rsidR="00000000" w:rsidRDefault="00000000">
            <w:pPr>
              <w:spacing w:before="40" w:after="40"/>
              <w:jc w:val="center"/>
            </w:pPr>
            <w:r>
              <w:t>Home location</w:t>
            </w:r>
          </w:p>
        </w:tc>
        <w:tc>
          <w:tcPr>
            <w:tcW w:w="2280" w:type="dxa"/>
            <w:tcBorders>
              <w:top w:val="single" w:sz="4" w:space="0" w:color="auto"/>
              <w:bottom w:val="single" w:sz="4" w:space="0" w:color="auto"/>
            </w:tcBorders>
            <w:vAlign w:val="center"/>
          </w:tcPr>
          <w:p w:rsidR="00000000" w:rsidRDefault="00000000">
            <w:pPr>
              <w:spacing w:before="40" w:after="40"/>
              <w:jc w:val="center"/>
            </w:pPr>
            <w:r>
              <w:t>House in substandard agglomeration</w:t>
            </w:r>
          </w:p>
        </w:tc>
        <w:tc>
          <w:tcPr>
            <w:tcW w:w="2281" w:type="dxa"/>
            <w:tcBorders>
              <w:top w:val="single" w:sz="4" w:space="0" w:color="auto"/>
              <w:bottom w:val="single" w:sz="4" w:space="0" w:color="auto"/>
            </w:tcBorders>
            <w:vAlign w:val="center"/>
          </w:tcPr>
          <w:p w:rsidR="00000000" w:rsidRDefault="00000000">
            <w:pPr>
              <w:spacing w:before="40" w:after="40"/>
              <w:jc w:val="center"/>
            </w:pPr>
            <w:r>
              <w:t>Apartment in substandard agglomeration</w:t>
            </w:r>
          </w:p>
        </w:tc>
        <w:tc>
          <w:tcPr>
            <w:tcW w:w="2281" w:type="dxa"/>
            <w:tcBorders>
              <w:top w:val="single" w:sz="4" w:space="0" w:color="auto"/>
              <w:bottom w:val="single" w:sz="4" w:space="0" w:color="auto"/>
              <w:right w:val="single" w:sz="4" w:space="0" w:color="auto"/>
            </w:tcBorders>
            <w:vAlign w:val="center"/>
          </w:tcPr>
          <w:p w:rsidR="00000000" w:rsidRDefault="00000000">
            <w:pPr>
              <w:spacing w:before="40" w:after="40"/>
              <w:jc w:val="center"/>
            </w:pPr>
            <w:r>
              <w:t>Total No. of people living in substandard areas</w:t>
            </w:r>
          </w:p>
        </w:tc>
      </w:tr>
      <w:tr w:rsidR="00000000">
        <w:tblPrEx>
          <w:tblCellMar>
            <w:top w:w="0" w:type="dxa"/>
            <w:bottom w:w="0" w:type="dxa"/>
          </w:tblCellMar>
        </w:tblPrEx>
        <w:trPr>
          <w:cantSplit/>
          <w:jc w:val="center"/>
        </w:trPr>
        <w:tc>
          <w:tcPr>
            <w:tcW w:w="2364" w:type="dxa"/>
            <w:tcBorders>
              <w:top w:val="single" w:sz="4" w:space="0" w:color="auto"/>
              <w:left w:val="single" w:sz="4" w:space="0" w:color="auto"/>
              <w:bottom w:val="nil"/>
            </w:tcBorders>
            <w:vAlign w:val="center"/>
          </w:tcPr>
          <w:p w:rsidR="00000000" w:rsidRDefault="00000000">
            <w:pPr>
              <w:spacing w:before="40" w:after="40"/>
            </w:pPr>
            <w:r>
              <w:t>Rural</w:t>
            </w:r>
          </w:p>
        </w:tc>
        <w:tc>
          <w:tcPr>
            <w:tcW w:w="2280" w:type="dxa"/>
            <w:tcBorders>
              <w:top w:val="single" w:sz="4" w:space="0" w:color="auto"/>
              <w:bottom w:val="nil"/>
            </w:tcBorders>
            <w:vAlign w:val="center"/>
          </w:tcPr>
          <w:p w:rsidR="00000000" w:rsidRDefault="00000000">
            <w:pPr>
              <w:spacing w:before="40" w:after="40"/>
              <w:ind w:right="624"/>
              <w:jc w:val="right"/>
            </w:pPr>
            <w:r>
              <w:t>583 918</w:t>
            </w:r>
          </w:p>
        </w:tc>
        <w:tc>
          <w:tcPr>
            <w:tcW w:w="2281" w:type="dxa"/>
            <w:tcBorders>
              <w:top w:val="single" w:sz="4" w:space="0" w:color="auto"/>
              <w:bottom w:val="nil"/>
            </w:tcBorders>
            <w:vAlign w:val="center"/>
          </w:tcPr>
          <w:p w:rsidR="00000000" w:rsidRDefault="00000000">
            <w:pPr>
              <w:spacing w:before="40" w:after="40"/>
              <w:ind w:right="680"/>
              <w:jc w:val="right"/>
            </w:pPr>
            <w:r>
              <w:t>1 620</w:t>
            </w:r>
          </w:p>
        </w:tc>
        <w:tc>
          <w:tcPr>
            <w:tcW w:w="2281" w:type="dxa"/>
            <w:tcBorders>
              <w:top w:val="single" w:sz="4" w:space="0" w:color="auto"/>
              <w:bottom w:val="nil"/>
              <w:right w:val="single" w:sz="4" w:space="0" w:color="auto"/>
            </w:tcBorders>
            <w:vAlign w:val="center"/>
          </w:tcPr>
          <w:p w:rsidR="00000000" w:rsidRDefault="00000000">
            <w:pPr>
              <w:spacing w:before="40" w:after="40"/>
              <w:ind w:right="680"/>
              <w:jc w:val="right"/>
            </w:pPr>
            <w:r>
              <w:t>585 538</w:t>
            </w:r>
          </w:p>
        </w:tc>
      </w:tr>
      <w:tr w:rsidR="00000000">
        <w:tblPrEx>
          <w:tblCellMar>
            <w:top w:w="0" w:type="dxa"/>
            <w:bottom w:w="0" w:type="dxa"/>
          </w:tblCellMar>
        </w:tblPrEx>
        <w:trPr>
          <w:cantSplit/>
          <w:jc w:val="center"/>
        </w:trPr>
        <w:tc>
          <w:tcPr>
            <w:tcW w:w="2364" w:type="dxa"/>
            <w:tcBorders>
              <w:top w:val="nil"/>
              <w:left w:val="single" w:sz="4" w:space="0" w:color="auto"/>
              <w:bottom w:val="single" w:sz="4" w:space="0" w:color="auto"/>
            </w:tcBorders>
            <w:vAlign w:val="center"/>
          </w:tcPr>
          <w:p w:rsidR="00000000" w:rsidRDefault="00000000">
            <w:pPr>
              <w:spacing w:before="40" w:after="40"/>
            </w:pPr>
            <w:r>
              <w:t>Urban</w:t>
            </w:r>
          </w:p>
        </w:tc>
        <w:tc>
          <w:tcPr>
            <w:tcW w:w="2280" w:type="dxa"/>
            <w:tcBorders>
              <w:top w:val="nil"/>
              <w:bottom w:val="single" w:sz="4" w:space="0" w:color="auto"/>
            </w:tcBorders>
            <w:vAlign w:val="center"/>
          </w:tcPr>
          <w:p w:rsidR="00000000" w:rsidRDefault="00000000">
            <w:pPr>
              <w:spacing w:before="40" w:after="40"/>
              <w:ind w:right="624"/>
              <w:jc w:val="right"/>
            </w:pPr>
            <w:r>
              <w:t>6 339 354</w:t>
            </w:r>
          </w:p>
        </w:tc>
        <w:tc>
          <w:tcPr>
            <w:tcW w:w="2281" w:type="dxa"/>
            <w:tcBorders>
              <w:top w:val="nil"/>
              <w:bottom w:val="single" w:sz="4" w:space="0" w:color="auto"/>
            </w:tcBorders>
            <w:vAlign w:val="center"/>
          </w:tcPr>
          <w:p w:rsidR="00000000" w:rsidRDefault="00000000">
            <w:pPr>
              <w:spacing w:before="40" w:after="40"/>
              <w:ind w:right="680"/>
              <w:jc w:val="right"/>
            </w:pPr>
            <w:r>
              <w:t>63 785</w:t>
            </w:r>
          </w:p>
        </w:tc>
        <w:tc>
          <w:tcPr>
            <w:tcW w:w="2281" w:type="dxa"/>
            <w:tcBorders>
              <w:top w:val="nil"/>
              <w:bottom w:val="single" w:sz="4" w:space="0" w:color="auto"/>
              <w:right w:val="single" w:sz="4" w:space="0" w:color="auto"/>
            </w:tcBorders>
            <w:vAlign w:val="center"/>
          </w:tcPr>
          <w:p w:rsidR="00000000" w:rsidRDefault="00000000">
            <w:pPr>
              <w:spacing w:before="40" w:after="40"/>
              <w:ind w:right="680"/>
              <w:jc w:val="right"/>
            </w:pPr>
            <w:r>
              <w:t>6 403 139</w:t>
            </w:r>
          </w:p>
        </w:tc>
      </w:tr>
      <w:tr w:rsidR="00000000">
        <w:tblPrEx>
          <w:tblCellMar>
            <w:top w:w="0" w:type="dxa"/>
            <w:bottom w:w="0" w:type="dxa"/>
          </w:tblCellMar>
        </w:tblPrEx>
        <w:trPr>
          <w:cantSplit/>
          <w:jc w:val="center"/>
        </w:trPr>
        <w:tc>
          <w:tcPr>
            <w:tcW w:w="2364" w:type="dxa"/>
            <w:tcBorders>
              <w:top w:val="single" w:sz="4" w:space="0" w:color="auto"/>
              <w:left w:val="single" w:sz="4" w:space="0" w:color="auto"/>
              <w:bottom w:val="single" w:sz="4" w:space="0" w:color="auto"/>
            </w:tcBorders>
            <w:vAlign w:val="center"/>
          </w:tcPr>
          <w:p w:rsidR="00000000" w:rsidRDefault="00000000">
            <w:pPr>
              <w:tabs>
                <w:tab w:val="left" w:pos="423"/>
              </w:tabs>
              <w:spacing w:before="40" w:after="40"/>
            </w:pPr>
            <w:r>
              <w:tab/>
              <w:t>Total</w:t>
            </w:r>
          </w:p>
        </w:tc>
        <w:tc>
          <w:tcPr>
            <w:tcW w:w="2280" w:type="dxa"/>
            <w:tcBorders>
              <w:top w:val="single" w:sz="4" w:space="0" w:color="auto"/>
              <w:bottom w:val="single" w:sz="4" w:space="0" w:color="auto"/>
            </w:tcBorders>
            <w:vAlign w:val="center"/>
          </w:tcPr>
          <w:p w:rsidR="00000000" w:rsidRDefault="00000000">
            <w:pPr>
              <w:spacing w:before="40" w:after="40"/>
              <w:ind w:right="624"/>
              <w:jc w:val="right"/>
            </w:pPr>
            <w:r>
              <w:t>6 923 272</w:t>
            </w:r>
          </w:p>
        </w:tc>
        <w:tc>
          <w:tcPr>
            <w:tcW w:w="2281" w:type="dxa"/>
            <w:tcBorders>
              <w:top w:val="single" w:sz="4" w:space="0" w:color="auto"/>
              <w:bottom w:val="single" w:sz="4" w:space="0" w:color="auto"/>
            </w:tcBorders>
            <w:vAlign w:val="center"/>
          </w:tcPr>
          <w:p w:rsidR="00000000" w:rsidRDefault="00000000">
            <w:pPr>
              <w:spacing w:before="40" w:after="40"/>
              <w:ind w:right="680"/>
              <w:jc w:val="right"/>
            </w:pPr>
            <w:r>
              <w:t>65 405</w:t>
            </w:r>
          </w:p>
        </w:tc>
        <w:tc>
          <w:tcPr>
            <w:tcW w:w="2281" w:type="dxa"/>
            <w:tcBorders>
              <w:top w:val="single" w:sz="4" w:space="0" w:color="auto"/>
              <w:bottom w:val="single" w:sz="4" w:space="0" w:color="auto"/>
              <w:right w:val="single" w:sz="4" w:space="0" w:color="auto"/>
            </w:tcBorders>
            <w:vAlign w:val="center"/>
          </w:tcPr>
          <w:p w:rsidR="00000000" w:rsidRDefault="00000000">
            <w:pPr>
              <w:spacing w:before="40" w:after="40"/>
              <w:ind w:right="680"/>
              <w:jc w:val="right"/>
            </w:pPr>
            <w:r>
              <w:t>6 988 677</w:t>
            </w:r>
          </w:p>
        </w:tc>
      </w:tr>
    </w:tbl>
    <w:p w:rsidR="00000000" w:rsidRDefault="00000000">
      <w:pPr>
        <w:rPr>
          <w:kern w:val="16"/>
        </w:rPr>
      </w:pPr>
    </w:p>
    <w:p w:rsidR="00000000" w:rsidRDefault="00000000">
      <w:pPr>
        <w:rPr>
          <w:kern w:val="16"/>
        </w:rPr>
      </w:pPr>
      <w:r>
        <w:rPr>
          <w:kern w:val="16"/>
        </w:rPr>
        <w:tab/>
      </w:r>
      <w:r>
        <w:rPr>
          <w:kern w:val="16"/>
          <w:u w:val="single"/>
        </w:rPr>
        <w:t>Source</w:t>
      </w:r>
      <w:r>
        <w:rPr>
          <w:kern w:val="16"/>
        </w:rPr>
        <w:t xml:space="preserve">:  IBGE </w:t>
      </w:r>
      <w:r>
        <w:rPr>
          <w:kern w:val="16"/>
        </w:rPr>
        <w:noBreakHyphen/>
        <w:t xml:space="preserve"> 1991 Demographic Census.</w:t>
      </w:r>
    </w:p>
    <w:p w:rsidR="00000000" w:rsidRDefault="00000000">
      <w:pPr>
        <w:rPr>
          <w:kern w:val="16"/>
        </w:rPr>
      </w:pPr>
    </w:p>
    <w:p w:rsidR="00000000" w:rsidRDefault="00000000">
      <w:pPr>
        <w:pStyle w:val="ParaNo"/>
        <w:tabs>
          <w:tab w:val="clear" w:pos="360"/>
          <w:tab w:val="clear" w:pos="737"/>
        </w:tabs>
        <w:rPr>
          <w:kern w:val="16"/>
          <w:lang w:val="en-GB"/>
        </w:rPr>
      </w:pPr>
      <w:r>
        <w:rPr>
          <w:kern w:val="16"/>
          <w:lang w:val="en-GB"/>
        </w:rPr>
        <w:t xml:space="preserve">In general, people who are evicted from their homes and are without legal protection are those who live in illegal settlements consisting especially of slums, clandestine subdivisions, or isolated dwellings.  People without legal protection usually are those who are in an illegal situation.  For the most part, authorities do not repress the poor when their illegal situation is limited to lack of a property title, allowing them to remain in place while expropriating the property or resorting </w:t>
      </w:r>
      <w:r>
        <w:rPr>
          <w:lang w:val="en-GB"/>
        </w:rPr>
        <w:t xml:space="preserve">to concessions for the use of urban land, among other urbanistic instruments.  </w:t>
      </w:r>
      <w:r>
        <w:rPr>
          <w:kern w:val="16"/>
          <w:lang w:val="en-GB"/>
        </w:rPr>
        <w:t>Eviction</w:t>
      </w:r>
      <w:r>
        <w:rPr>
          <w:lang w:val="en-GB"/>
        </w:rPr>
        <w:t xml:space="preserve"> </w:t>
      </w:r>
      <w:r>
        <w:rPr>
          <w:kern w:val="16"/>
          <w:lang w:val="en-GB"/>
        </w:rPr>
        <w:t>occurs more often in the case of invasion of urban areas and housing staged by homeless people or by popular pro</w:t>
      </w:r>
      <w:r>
        <w:rPr>
          <w:kern w:val="16"/>
          <w:lang w:val="en-GB"/>
        </w:rPr>
        <w:noBreakHyphen/>
        <w:t>housing movements.  Eviction occurs more often in critical situations to restore property ownership.  There are no recorded data with national coverage to answer this question.</w:t>
      </w:r>
    </w:p>
    <w:p w:rsidR="00000000" w:rsidRDefault="00000000">
      <w:pPr>
        <w:rPr>
          <w:kern w:val="16"/>
        </w:rPr>
      </w:pPr>
    </w:p>
    <w:p w:rsidR="00000000" w:rsidRDefault="00000000">
      <w:pPr>
        <w:pStyle w:val="ParaNo"/>
        <w:tabs>
          <w:tab w:val="clear" w:pos="360"/>
          <w:tab w:val="clear" w:pos="737"/>
        </w:tabs>
        <w:rPr>
          <w:kern w:val="16"/>
          <w:lang w:val="en-GB"/>
        </w:rPr>
      </w:pPr>
      <w:r>
        <w:rPr>
          <w:kern w:val="16"/>
          <w:lang w:val="en-GB"/>
        </w:rPr>
        <w:t>Historically, the Housing Financing System</w:t>
      </w:r>
      <w:r>
        <w:rPr>
          <w:kern w:val="16"/>
          <w:lang w:val="en-GB"/>
        </w:rPr>
        <w:noBreakHyphen/>
        <w:t>SFH considers that the percentage of income allocated to rent should not exceed 30 per cent, otherwise the lessee might not be able to meet payments.  In 1991, 1,033,069 families allocated more than 30 per cent of their monthly income to rent while for 334,406 families rent consumed more than 50 per cent of family income.  It can also be observed that the rent burden problem is concentrated in the poorer layer of the population, as about 65 per cent of this type of deficit affects households with a monthly income of less than five minimum salaries.  Estimates indicate that in 1997 about 2.65 per cent of permanent private homes allocated more than 30 per cent of family income to rent payment.</w:t>
      </w:r>
    </w:p>
    <w:p w:rsidR="00000000" w:rsidRDefault="00000000">
      <w:pPr>
        <w:rPr>
          <w:kern w:val="16"/>
        </w:rPr>
      </w:pPr>
    </w:p>
    <w:p w:rsidR="00000000" w:rsidRDefault="00000000">
      <w:pPr>
        <w:pStyle w:val="Heading1"/>
        <w:rPr>
          <w:kern w:val="16"/>
        </w:rPr>
      </w:pPr>
      <w:r>
        <w:rPr>
          <w:kern w:val="16"/>
        </w:rPr>
        <w:t>Table 71</w:t>
      </w:r>
    </w:p>
    <w:p w:rsidR="00000000" w:rsidRDefault="00000000"/>
    <w:p w:rsidR="00000000" w:rsidRDefault="00000000">
      <w:pPr>
        <w:pStyle w:val="Heading1"/>
        <w:rPr>
          <w:spacing w:val="20"/>
          <w:kern w:val="20"/>
        </w:rPr>
      </w:pPr>
      <w:r>
        <w:rPr>
          <w:kern w:val="20"/>
        </w:rPr>
        <w:t>Excessive allocation of family income to rent by income b</w:t>
      </w:r>
      <w:r>
        <w:rPr>
          <w:spacing w:val="20"/>
          <w:kern w:val="20"/>
        </w:rPr>
        <w:t>racket, 1991</w:t>
      </w:r>
    </w:p>
    <w:p w:rsidR="00000000" w:rsidRDefault="00000000">
      <w:pPr>
        <w:rPr>
          <w:spacing w:val="20"/>
          <w:kern w:val="20"/>
        </w:rPr>
      </w:pPr>
    </w:p>
    <w:tbl>
      <w:tblPr>
        <w:tblW w:w="0" w:type="auto"/>
        <w:jc w:val="center"/>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843"/>
        <w:gridCol w:w="1937"/>
        <w:gridCol w:w="2104"/>
        <w:gridCol w:w="1843"/>
        <w:gridCol w:w="1488"/>
      </w:tblGrid>
      <w:tr w:rsidR="00000000">
        <w:tblPrEx>
          <w:tblCellMar>
            <w:top w:w="0" w:type="dxa"/>
            <w:bottom w:w="0" w:type="dxa"/>
          </w:tblCellMar>
        </w:tblPrEx>
        <w:trPr>
          <w:cantSplit/>
          <w:jc w:val="center"/>
        </w:trPr>
        <w:tc>
          <w:tcPr>
            <w:tcW w:w="1843" w:type="dxa"/>
            <w:tcBorders>
              <w:bottom w:val="single" w:sz="6" w:space="0" w:color="auto"/>
            </w:tcBorders>
            <w:shd w:val="clear" w:color="auto" w:fill="FFFFFF"/>
          </w:tcPr>
          <w:p w:rsidR="00000000" w:rsidRDefault="00000000">
            <w:pPr>
              <w:jc w:val="center"/>
            </w:pPr>
            <w:r>
              <w:t>Allocation of family income</w:t>
            </w:r>
          </w:p>
        </w:tc>
        <w:tc>
          <w:tcPr>
            <w:tcW w:w="1937" w:type="dxa"/>
            <w:tcBorders>
              <w:bottom w:val="single" w:sz="6" w:space="0" w:color="auto"/>
            </w:tcBorders>
            <w:shd w:val="clear" w:color="auto" w:fill="FFFFFF"/>
          </w:tcPr>
          <w:p w:rsidR="00000000" w:rsidRDefault="00000000">
            <w:pPr>
              <w:jc w:val="center"/>
            </w:pPr>
            <w:r>
              <w:t>Up to 2 minimum salaries</w:t>
            </w:r>
          </w:p>
        </w:tc>
        <w:tc>
          <w:tcPr>
            <w:tcW w:w="2104" w:type="dxa"/>
            <w:tcBorders>
              <w:bottom w:val="single" w:sz="6" w:space="0" w:color="auto"/>
            </w:tcBorders>
            <w:shd w:val="clear" w:color="auto" w:fill="FFFFFF"/>
          </w:tcPr>
          <w:p w:rsidR="00000000" w:rsidRDefault="00000000">
            <w:pPr>
              <w:spacing w:before="40" w:after="40"/>
              <w:jc w:val="center"/>
            </w:pPr>
            <w:r>
              <w:t>From 2 to 5 minimum salaries</w:t>
            </w:r>
          </w:p>
        </w:tc>
        <w:tc>
          <w:tcPr>
            <w:tcW w:w="1843" w:type="dxa"/>
            <w:tcBorders>
              <w:bottom w:val="single" w:sz="6" w:space="0" w:color="auto"/>
            </w:tcBorders>
            <w:shd w:val="clear" w:color="auto" w:fill="FFFFFF"/>
          </w:tcPr>
          <w:p w:rsidR="00000000" w:rsidRDefault="00000000">
            <w:pPr>
              <w:jc w:val="center"/>
            </w:pPr>
            <w:r>
              <w:t>More than 5 minimum salaries.</w:t>
            </w:r>
          </w:p>
        </w:tc>
        <w:tc>
          <w:tcPr>
            <w:tcW w:w="1488" w:type="dxa"/>
            <w:tcBorders>
              <w:bottom w:val="single" w:sz="6" w:space="0" w:color="auto"/>
            </w:tcBorders>
            <w:shd w:val="clear" w:color="auto" w:fill="FFFFFF"/>
          </w:tcPr>
          <w:p w:rsidR="00000000" w:rsidRDefault="00000000">
            <w:pPr>
              <w:spacing w:before="40" w:after="40"/>
              <w:jc w:val="center"/>
            </w:pPr>
            <w:r>
              <w:t>Total</w:t>
            </w:r>
          </w:p>
        </w:tc>
      </w:tr>
      <w:tr w:rsidR="00000000">
        <w:tblPrEx>
          <w:tblCellMar>
            <w:top w:w="0" w:type="dxa"/>
            <w:bottom w:w="0" w:type="dxa"/>
          </w:tblCellMar>
        </w:tblPrEx>
        <w:trPr>
          <w:cantSplit/>
          <w:jc w:val="center"/>
        </w:trPr>
        <w:tc>
          <w:tcPr>
            <w:tcW w:w="1843" w:type="dxa"/>
            <w:tcBorders>
              <w:top w:val="single" w:sz="6" w:space="0" w:color="auto"/>
              <w:bottom w:val="nil"/>
            </w:tcBorders>
            <w:shd w:val="clear" w:color="auto" w:fill="FFFFFF"/>
            <w:vAlign w:val="center"/>
          </w:tcPr>
          <w:p w:rsidR="00000000" w:rsidRDefault="00000000">
            <w:pPr>
              <w:spacing w:before="40" w:after="40"/>
              <w:jc w:val="center"/>
            </w:pPr>
            <w:r>
              <w:t>&gt; 30%</w:t>
            </w:r>
          </w:p>
        </w:tc>
        <w:tc>
          <w:tcPr>
            <w:tcW w:w="1937" w:type="dxa"/>
            <w:tcBorders>
              <w:top w:val="single" w:sz="6" w:space="0" w:color="auto"/>
              <w:bottom w:val="nil"/>
            </w:tcBorders>
            <w:shd w:val="clear" w:color="auto" w:fill="FFFFFF"/>
            <w:vAlign w:val="center"/>
          </w:tcPr>
          <w:p w:rsidR="00000000" w:rsidRDefault="00000000">
            <w:pPr>
              <w:spacing w:before="40" w:after="40"/>
              <w:jc w:val="center"/>
            </w:pPr>
            <w:r>
              <w:t>290 402</w:t>
            </w:r>
          </w:p>
        </w:tc>
        <w:tc>
          <w:tcPr>
            <w:tcW w:w="2104" w:type="dxa"/>
            <w:tcBorders>
              <w:top w:val="single" w:sz="6" w:space="0" w:color="auto"/>
              <w:bottom w:val="nil"/>
            </w:tcBorders>
            <w:shd w:val="clear" w:color="auto" w:fill="FFFFFF"/>
            <w:vAlign w:val="center"/>
          </w:tcPr>
          <w:p w:rsidR="00000000" w:rsidRDefault="00000000">
            <w:pPr>
              <w:spacing w:before="40" w:after="40"/>
              <w:jc w:val="center"/>
            </w:pPr>
            <w:r>
              <w:t>380 368</w:t>
            </w:r>
          </w:p>
        </w:tc>
        <w:tc>
          <w:tcPr>
            <w:tcW w:w="1843" w:type="dxa"/>
            <w:tcBorders>
              <w:top w:val="single" w:sz="6" w:space="0" w:color="auto"/>
              <w:bottom w:val="nil"/>
            </w:tcBorders>
            <w:shd w:val="clear" w:color="auto" w:fill="FFFFFF"/>
            <w:vAlign w:val="center"/>
          </w:tcPr>
          <w:p w:rsidR="00000000" w:rsidRDefault="00000000">
            <w:pPr>
              <w:spacing w:before="40" w:after="40"/>
              <w:ind w:right="567"/>
              <w:jc w:val="right"/>
            </w:pPr>
            <w:r>
              <w:t>362 299</w:t>
            </w:r>
          </w:p>
        </w:tc>
        <w:tc>
          <w:tcPr>
            <w:tcW w:w="1488" w:type="dxa"/>
            <w:tcBorders>
              <w:top w:val="single" w:sz="6" w:space="0" w:color="auto"/>
              <w:bottom w:val="nil"/>
            </w:tcBorders>
            <w:shd w:val="clear" w:color="auto" w:fill="FFFFFF"/>
            <w:vAlign w:val="center"/>
          </w:tcPr>
          <w:p w:rsidR="00000000" w:rsidRDefault="00000000">
            <w:pPr>
              <w:spacing w:before="40" w:after="40"/>
              <w:ind w:right="113"/>
              <w:jc w:val="right"/>
            </w:pPr>
            <w:r>
              <w:t>1 033 069</w:t>
            </w:r>
          </w:p>
        </w:tc>
      </w:tr>
      <w:tr w:rsidR="00000000">
        <w:tblPrEx>
          <w:tblCellMar>
            <w:top w:w="0" w:type="dxa"/>
            <w:bottom w:w="0" w:type="dxa"/>
          </w:tblCellMar>
        </w:tblPrEx>
        <w:trPr>
          <w:cantSplit/>
          <w:jc w:val="center"/>
        </w:trPr>
        <w:tc>
          <w:tcPr>
            <w:tcW w:w="1843" w:type="dxa"/>
            <w:tcBorders>
              <w:top w:val="nil"/>
            </w:tcBorders>
            <w:shd w:val="clear" w:color="auto" w:fill="FFFFFF"/>
            <w:vAlign w:val="center"/>
          </w:tcPr>
          <w:p w:rsidR="00000000" w:rsidRDefault="00000000">
            <w:pPr>
              <w:spacing w:before="40" w:after="40"/>
              <w:jc w:val="center"/>
            </w:pPr>
            <w:r>
              <w:t>&gt; 50%</w:t>
            </w:r>
          </w:p>
        </w:tc>
        <w:tc>
          <w:tcPr>
            <w:tcW w:w="1937" w:type="dxa"/>
            <w:tcBorders>
              <w:top w:val="nil"/>
            </w:tcBorders>
            <w:shd w:val="clear" w:color="auto" w:fill="FFFFFF"/>
            <w:vAlign w:val="center"/>
          </w:tcPr>
          <w:p w:rsidR="00000000" w:rsidRDefault="00000000">
            <w:pPr>
              <w:spacing w:before="40" w:after="40"/>
              <w:jc w:val="center"/>
            </w:pPr>
            <w:r>
              <w:t>126 709</w:t>
            </w:r>
          </w:p>
        </w:tc>
        <w:tc>
          <w:tcPr>
            <w:tcW w:w="2104" w:type="dxa"/>
            <w:tcBorders>
              <w:top w:val="nil"/>
            </w:tcBorders>
            <w:shd w:val="clear" w:color="auto" w:fill="FFFFFF"/>
            <w:vAlign w:val="center"/>
          </w:tcPr>
          <w:p w:rsidR="00000000" w:rsidRDefault="00000000">
            <w:pPr>
              <w:spacing w:before="40" w:after="40"/>
              <w:jc w:val="center"/>
            </w:pPr>
            <w:r>
              <w:t>125 424</w:t>
            </w:r>
          </w:p>
        </w:tc>
        <w:tc>
          <w:tcPr>
            <w:tcW w:w="1843" w:type="dxa"/>
            <w:tcBorders>
              <w:top w:val="nil"/>
            </w:tcBorders>
            <w:shd w:val="clear" w:color="auto" w:fill="FFFFFF"/>
            <w:vAlign w:val="center"/>
          </w:tcPr>
          <w:p w:rsidR="00000000" w:rsidRDefault="00000000">
            <w:pPr>
              <w:spacing w:before="40" w:after="40"/>
              <w:ind w:right="567"/>
              <w:jc w:val="right"/>
            </w:pPr>
            <w:r>
              <w:t>82 273</w:t>
            </w:r>
          </w:p>
        </w:tc>
        <w:tc>
          <w:tcPr>
            <w:tcW w:w="1488" w:type="dxa"/>
            <w:tcBorders>
              <w:top w:val="nil"/>
            </w:tcBorders>
            <w:shd w:val="clear" w:color="auto" w:fill="FFFFFF"/>
            <w:vAlign w:val="center"/>
          </w:tcPr>
          <w:p w:rsidR="00000000" w:rsidRDefault="00000000">
            <w:pPr>
              <w:spacing w:before="40" w:after="40"/>
              <w:ind w:right="113"/>
              <w:jc w:val="right"/>
            </w:pPr>
            <w:r>
              <w:t>334 406</w:t>
            </w:r>
          </w:p>
        </w:tc>
      </w:tr>
    </w:tbl>
    <w:p w:rsidR="00000000" w:rsidRDefault="00000000">
      <w:pPr>
        <w:rPr>
          <w:spacing w:val="20"/>
          <w:kern w:val="16"/>
        </w:rPr>
      </w:pPr>
    </w:p>
    <w:p w:rsidR="00000000" w:rsidRDefault="00000000">
      <w:pPr>
        <w:rPr>
          <w:kern w:val="16"/>
        </w:rPr>
      </w:pPr>
      <w:r>
        <w:rPr>
          <w:kern w:val="16"/>
        </w:rPr>
        <w:tab/>
      </w:r>
      <w:r>
        <w:rPr>
          <w:kern w:val="16"/>
          <w:u w:val="single"/>
        </w:rPr>
        <w:t>Source</w:t>
      </w:r>
      <w:r>
        <w:rPr>
          <w:kern w:val="16"/>
        </w:rPr>
        <w:t>:  João Pinheiro Foundation, 1995.</w:t>
      </w:r>
    </w:p>
    <w:p w:rsidR="00000000" w:rsidRDefault="00000000">
      <w:pPr>
        <w:rPr>
          <w:spacing w:val="20"/>
          <w:kern w:val="16"/>
        </w:rPr>
      </w:pPr>
    </w:p>
    <w:p w:rsidR="00000000" w:rsidRDefault="00000000">
      <w:pPr>
        <w:pStyle w:val="ParaNo"/>
        <w:tabs>
          <w:tab w:val="clear" w:pos="360"/>
          <w:tab w:val="clear" w:pos="737"/>
        </w:tabs>
        <w:rPr>
          <w:kern w:val="16"/>
          <w:lang w:val="en-GB"/>
        </w:rPr>
      </w:pPr>
      <w:r>
        <w:rPr>
          <w:kern w:val="16"/>
          <w:lang w:val="en-GB"/>
        </w:rPr>
        <w:t>Waiting lists for housing are often adopted by State and municipal institutions responsible for the housing sector, on the basis of pre</w:t>
      </w:r>
      <w:r>
        <w:rPr>
          <w:kern w:val="16"/>
          <w:lang w:val="en-GB"/>
        </w:rPr>
        <w:noBreakHyphen/>
        <w:t xml:space="preserve">established criteria.  In general, the measures adopted to </w:t>
      </w:r>
      <w:r>
        <w:rPr>
          <w:lang w:val="en-GB"/>
        </w:rPr>
        <w:t>assist</w:t>
      </w:r>
      <w:r>
        <w:rPr>
          <w:kern w:val="16"/>
          <w:lang w:val="en-GB"/>
        </w:rPr>
        <w:t xml:space="preserve"> people on these lists are housing programmes for low</w:t>
      </w:r>
      <w:r>
        <w:rPr>
          <w:kern w:val="16"/>
          <w:lang w:val="en-GB"/>
        </w:rPr>
        <w:noBreakHyphen/>
        <w:t>income people.  In an emergency, authorities accommodate people in public housing.  There are no data of national coverage to answer this question.</w:t>
      </w:r>
    </w:p>
    <w:p w:rsidR="00000000" w:rsidRDefault="00000000">
      <w:pPr>
        <w:rPr>
          <w:kern w:val="16"/>
        </w:rPr>
      </w:pPr>
    </w:p>
    <w:p w:rsidR="00000000" w:rsidRDefault="00000000">
      <w:pPr>
        <w:pStyle w:val="ParaNo"/>
        <w:tabs>
          <w:tab w:val="clear" w:pos="360"/>
          <w:tab w:val="clear" w:pos="737"/>
        </w:tabs>
        <w:rPr>
          <w:kern w:val="16"/>
          <w:lang w:val="en-GB"/>
        </w:rPr>
      </w:pPr>
      <w:r>
        <w:rPr>
          <w:kern w:val="16"/>
          <w:lang w:val="en-GB"/>
        </w:rPr>
        <w:t>In Brazil, only 20 per cent</w:t>
      </w:r>
      <w:r>
        <w:rPr>
          <w:rStyle w:val="EndnoteReference"/>
          <w:bCs/>
          <w:kern w:val="16"/>
          <w:lang w:val="en-GB"/>
        </w:rPr>
        <w:endnoteReference w:id="19"/>
      </w:r>
      <w:r>
        <w:rPr>
          <w:kern w:val="16"/>
          <w:lang w:val="en-GB"/>
        </w:rPr>
        <w:t xml:space="preserve"> of homes are built with the assistance of the public and private housing financing sectors.  The remaining 80 per cent are built through individual initiative, without direct assistance from the public sector.  Public housing production in 1975</w:t>
      </w:r>
      <w:r>
        <w:rPr>
          <w:kern w:val="16"/>
          <w:lang w:val="en-GB"/>
        </w:rPr>
        <w:noBreakHyphen/>
        <w:t xml:space="preserve">1995 accounted for 5.6 </w:t>
      </w:r>
      <w:r>
        <w:rPr>
          <w:lang w:val="en-GB"/>
        </w:rPr>
        <w:t>million</w:t>
      </w:r>
      <w:r>
        <w:rPr>
          <w:kern w:val="16"/>
          <w:lang w:val="en-GB"/>
        </w:rPr>
        <w:t xml:space="preserve"> housing units.  It should be noted that there has been an increase in the number of own homes and other forms of occupation.  The 1996 Family Budget Survey shows that 69.8 per cent were own homes, 18.8 per cent were rented, 9.6 per cent were borrowed and 1.8 per cent were otherwise occupied.  Considering that in the last 15 years there has been a contraction in government home production, particularly for the middle and low</w:t>
      </w:r>
      <w:r>
        <w:rPr>
          <w:kern w:val="16"/>
          <w:lang w:val="en-GB"/>
        </w:rPr>
        <w:noBreakHyphen/>
        <w:t>income segments of the population, the increase in own homes may be explained by illegal urban occupation, especially in urban agglomerations (slums, clandestine subdivisions and apartment blocks).  The size of informal urban areas (illegal settlements and homes) varies significantly, encompassing as much as 50 per cent of the population of major urban agglomerations.</w:t>
      </w:r>
    </w:p>
    <w:p w:rsidR="00000000" w:rsidRDefault="00000000">
      <w:pPr>
        <w:rPr>
          <w:kern w:val="16"/>
        </w:rPr>
      </w:pPr>
    </w:p>
    <w:p w:rsidR="00000000" w:rsidRDefault="00000000">
      <w:pPr>
        <w:pStyle w:val="ParaNo"/>
        <w:tabs>
          <w:tab w:val="clear" w:pos="360"/>
          <w:tab w:val="clear" w:pos="737"/>
        </w:tabs>
        <w:rPr>
          <w:kern w:val="16"/>
          <w:lang w:val="en-GB"/>
        </w:rPr>
      </w:pPr>
      <w:r>
        <w:rPr>
          <w:kern w:val="16"/>
          <w:lang w:val="en-GB"/>
        </w:rPr>
        <w:t>The Constitution of the Federative Republic of Brazil does not include housing as an individual’s right but provides that urban property should perform its social function by conforming to the municipal master plan.</w:t>
      </w:r>
    </w:p>
    <w:p w:rsidR="00000000" w:rsidRDefault="00000000">
      <w:pPr>
        <w:rPr>
          <w:kern w:val="16"/>
        </w:rPr>
      </w:pPr>
    </w:p>
    <w:p w:rsidR="00000000" w:rsidRDefault="00000000">
      <w:pPr>
        <w:pStyle w:val="ParaNo"/>
        <w:tabs>
          <w:tab w:val="clear" w:pos="360"/>
          <w:tab w:val="clear" w:pos="737"/>
        </w:tabs>
        <w:rPr>
          <w:kern w:val="16"/>
          <w:lang w:val="en-GB"/>
        </w:rPr>
      </w:pPr>
      <w:r>
        <w:rPr>
          <w:kern w:val="16"/>
          <w:lang w:val="en-GB"/>
        </w:rPr>
        <w:t xml:space="preserve">With respect to housing, the Federal Constitution assigns responsibilities as follows:  to the Federation falls the task of legislating on general guidelines, and to the Federation, states, Federal District and municipalities, the </w:t>
      </w:r>
      <w:r>
        <w:rPr>
          <w:lang w:val="en-GB"/>
        </w:rPr>
        <w:t>promotion</w:t>
      </w:r>
      <w:r>
        <w:rPr>
          <w:kern w:val="16"/>
          <w:lang w:val="en-GB"/>
        </w:rPr>
        <w:t xml:space="preserve"> of house</w:t>
      </w:r>
      <w:r>
        <w:rPr>
          <w:kern w:val="16"/>
          <w:lang w:val="en-GB"/>
        </w:rPr>
        <w:noBreakHyphen/>
        <w:t>building programmes and improvement of housing conditions.  The Federation is also responsible for legislating urbanistic regulations.  There are numerous state and municipal laws on home building and improvement.  Municipalities legislate on matters of local interest and supplement federal and state legislation as appropriate.  To a large extent, housing laws are municipal laws and address mainly compliance with urbanistic standards, debureaucratization of procedures for home registration, concession of public areas to poor families, engineering requirements, hygienic conditions, salubrity, illumination, size of rooms, and regularization of irregular and clandestine subdivisions.</w:t>
      </w:r>
    </w:p>
    <w:p w:rsidR="00000000" w:rsidRDefault="00000000">
      <w:pPr>
        <w:rPr>
          <w:kern w:val="16"/>
        </w:rPr>
      </w:pPr>
    </w:p>
    <w:p w:rsidR="00000000" w:rsidRDefault="00000000">
      <w:pPr>
        <w:pStyle w:val="ParaNo"/>
        <w:tabs>
          <w:tab w:val="clear" w:pos="360"/>
          <w:tab w:val="clear" w:pos="737"/>
        </w:tabs>
        <w:rPr>
          <w:kern w:val="16"/>
          <w:lang w:val="en-GB"/>
        </w:rPr>
      </w:pPr>
      <w:r>
        <w:rPr>
          <w:kern w:val="16"/>
          <w:lang w:val="en-GB"/>
        </w:rPr>
        <w:t xml:space="preserve">Civil law is included in the federal legislation.  Eviction, for instance, is addressed in Law 8245 of 18 October 1991 (Tenancy Law) which specifies the conditions under which lease contracts may be rescinded, including mutual agreement, legal or contractual infraction and default on payments.  </w:t>
      </w:r>
      <w:r>
        <w:rPr>
          <w:lang w:val="en-GB"/>
        </w:rPr>
        <w:t>The</w:t>
      </w:r>
      <w:r>
        <w:rPr>
          <w:kern w:val="16"/>
          <w:lang w:val="en-GB"/>
        </w:rPr>
        <w:t xml:space="preserve"> Law provides that eviction should conform to regular procedures, including the issuing of a preliminary order determining that the property should be vacated within 15 days, independently from a hearing with the adverse party and provided that a bond equivalent to three months’ rent is put up.</w:t>
      </w:r>
    </w:p>
    <w:p w:rsidR="00000000" w:rsidRDefault="00000000">
      <w:pPr>
        <w:rPr>
          <w:kern w:val="16"/>
        </w:rPr>
      </w:pPr>
    </w:p>
    <w:p w:rsidR="00000000" w:rsidRDefault="00000000">
      <w:pPr>
        <w:pStyle w:val="ParaNo"/>
        <w:tabs>
          <w:tab w:val="clear" w:pos="360"/>
          <w:tab w:val="clear" w:pos="737"/>
        </w:tabs>
        <w:rPr>
          <w:kern w:val="16"/>
          <w:lang w:val="en-GB"/>
        </w:rPr>
      </w:pPr>
      <w:r>
        <w:rPr>
          <w:kern w:val="16"/>
          <w:lang w:val="en-GB"/>
        </w:rPr>
        <w:br w:type="page"/>
        <w:t>With respect to adverse possession, article 183 of the Federal Constitution provides that a person who has been in uninterrupted and unopposed possession of an urban area of up to 250 m</w:t>
      </w:r>
      <w:r>
        <w:rPr>
          <w:kern w:val="16"/>
          <w:vertAlign w:val="superscript"/>
          <w:lang w:val="en-GB"/>
        </w:rPr>
        <w:t>2</w:t>
      </w:r>
      <w:r>
        <w:rPr>
          <w:kern w:val="16"/>
          <w:lang w:val="en-GB"/>
        </w:rPr>
        <w:t xml:space="preserve"> for five years, using it as a home for himself or his family, shall have presumption of title, </w:t>
      </w:r>
      <w:r>
        <w:rPr>
          <w:lang w:val="en-GB"/>
        </w:rPr>
        <w:t>provided</w:t>
      </w:r>
      <w:r>
        <w:rPr>
          <w:kern w:val="16"/>
          <w:lang w:val="en-GB"/>
        </w:rPr>
        <w:t xml:space="preserve"> that he does not own any other urban or rural property.  The presumption of title and right of use shall be granted the man or the woman or both, regardless of their marital status.  The same person cannot claim this right more than once.  Public property cannot be acquired by adverse possession.  The law on public registration allows for provisional registration of possession and respective assignment and promise of assignment to the Federation, states and municipalities or their delegated entities for the purposes of popular urban subdivision to benefit lower</w:t>
      </w:r>
      <w:r>
        <w:rPr>
          <w:kern w:val="16"/>
          <w:lang w:val="en-GB"/>
        </w:rPr>
        <w:noBreakHyphen/>
        <w:t>income classes.</w:t>
      </w:r>
    </w:p>
    <w:p w:rsidR="00000000" w:rsidRDefault="00000000">
      <w:pPr>
        <w:rPr>
          <w:kern w:val="16"/>
        </w:rPr>
      </w:pPr>
    </w:p>
    <w:p w:rsidR="00000000" w:rsidRDefault="00000000">
      <w:pPr>
        <w:pStyle w:val="ParaNo"/>
        <w:tabs>
          <w:tab w:val="clear" w:pos="360"/>
          <w:tab w:val="clear" w:pos="737"/>
        </w:tabs>
        <w:rPr>
          <w:kern w:val="16"/>
          <w:lang w:val="en-GB"/>
        </w:rPr>
      </w:pPr>
      <w:r>
        <w:rPr>
          <w:kern w:val="16"/>
          <w:lang w:val="en-GB"/>
        </w:rPr>
        <w:t>In case of urban subdivisions to benefit lower</w:t>
      </w:r>
      <w:r>
        <w:rPr>
          <w:kern w:val="16"/>
          <w:lang w:val="en-GB"/>
        </w:rPr>
        <w:noBreakHyphen/>
        <w:t xml:space="preserve">income classes, federal law waives the need for property title if the property has been declared of public interest and is being judicially expropriated by the Federation, the states, or the Federal District and/or delegated entities legally authorized to implement housing projects.  The law also provides for the assignment of possession in popular subdivisions.  In these, assignment of possession is allowed if provisional assignees are the Federation, states, the </w:t>
      </w:r>
      <w:r>
        <w:rPr>
          <w:lang w:val="en-GB"/>
        </w:rPr>
        <w:t>Federal</w:t>
      </w:r>
      <w:r>
        <w:rPr>
          <w:kern w:val="16"/>
          <w:lang w:val="en-GB"/>
        </w:rPr>
        <w:t xml:space="preserve"> District and municipalities and their delegated entities.  This shall be done by an act under private signature which, for all purposes, shall have the value of a deed and be exempt from the provisions of article 134 </w:t>
      </w:r>
      <w:r>
        <w:rPr>
          <w:i/>
          <w:kern w:val="16"/>
          <w:lang w:val="en-GB"/>
        </w:rPr>
        <w:t>ii</w:t>
      </w:r>
      <w:r>
        <w:rPr>
          <w:kern w:val="16"/>
          <w:lang w:val="en-GB"/>
        </w:rPr>
        <w:t xml:space="preserve"> of the Civil Code.</w:t>
      </w:r>
    </w:p>
    <w:p w:rsidR="00000000" w:rsidRDefault="00000000">
      <w:pPr>
        <w:rPr>
          <w:kern w:val="16"/>
        </w:rPr>
      </w:pPr>
    </w:p>
    <w:p w:rsidR="00000000" w:rsidRDefault="00000000">
      <w:pPr>
        <w:pStyle w:val="ParaNo"/>
        <w:tabs>
          <w:tab w:val="clear" w:pos="360"/>
          <w:tab w:val="clear" w:pos="737"/>
        </w:tabs>
        <w:rPr>
          <w:kern w:val="16"/>
          <w:lang w:val="en-GB"/>
        </w:rPr>
      </w:pPr>
      <w:r>
        <w:rPr>
          <w:kern w:val="16"/>
          <w:lang w:val="en-GB"/>
        </w:rPr>
        <w:t xml:space="preserve">The Federal Constitution also ascribes concurrent jurisdictional power to the Federation, the states and municipalities with </w:t>
      </w:r>
      <w:r>
        <w:rPr>
          <w:lang w:val="en-GB"/>
        </w:rPr>
        <w:t>respect</w:t>
      </w:r>
      <w:r>
        <w:rPr>
          <w:kern w:val="16"/>
          <w:lang w:val="en-GB"/>
        </w:rPr>
        <w:t xml:space="preserve"> to protection of the environment and preservation of forests, fauna and flora.  Various environmental provisions of the Federal Constitution ensure the effectiveness of the right to a healthy environment.  It charges the Government with preserving and restoring essential ecological processes and providing for the ecological management of species and ecosystems; preserving the diversity and integrity of the country’s genetic patrimony; defining areas and their components to be specially protected in every state; and requiring prior environmental impact studies as prescribed by the law.  The environmental legislation also encompasses the Forest Code, the Mining Code, and the resolutions of the National Environmental Council and Administration Directives.</w:t>
      </w:r>
    </w:p>
    <w:p w:rsidR="00000000" w:rsidRDefault="00000000">
      <w:pPr>
        <w:rPr>
          <w:kern w:val="16"/>
        </w:rPr>
      </w:pPr>
    </w:p>
    <w:p w:rsidR="00000000" w:rsidRDefault="00000000">
      <w:pPr>
        <w:pStyle w:val="ParaNo"/>
        <w:tabs>
          <w:tab w:val="clear" w:pos="360"/>
          <w:tab w:val="clear" w:pos="737"/>
        </w:tabs>
        <w:rPr>
          <w:kern w:val="16"/>
          <w:lang w:val="en-GB"/>
        </w:rPr>
      </w:pPr>
      <w:r>
        <w:rPr>
          <w:kern w:val="16"/>
          <w:lang w:val="en-GB"/>
        </w:rPr>
        <w:t xml:space="preserve">The stated objectives of the National Housing Policy implemented by the Government since 1995 are the following:  (i) universal access to housing; (ii) expansion of the stock of homes and improvement of </w:t>
      </w:r>
      <w:r>
        <w:rPr>
          <w:lang w:val="en-GB"/>
        </w:rPr>
        <w:t>existing</w:t>
      </w:r>
      <w:r>
        <w:rPr>
          <w:kern w:val="16"/>
          <w:lang w:val="en-GB"/>
        </w:rPr>
        <w:t xml:space="preserve"> homes; (iii) regularization of irregular settlements and promotion of access to land; and (iv) modernization of the housing sector by improving legislation and agencies.</w:t>
      </w:r>
    </w:p>
    <w:p w:rsidR="00000000" w:rsidRDefault="00000000">
      <w:pPr>
        <w:rPr>
          <w:kern w:val="16"/>
        </w:rPr>
      </w:pPr>
    </w:p>
    <w:p w:rsidR="00000000" w:rsidRDefault="00000000">
      <w:pPr>
        <w:pStyle w:val="ParaNo"/>
        <w:tabs>
          <w:tab w:val="clear" w:pos="360"/>
          <w:tab w:val="clear" w:pos="737"/>
        </w:tabs>
        <w:rPr>
          <w:kern w:val="16"/>
          <w:lang w:val="en-GB"/>
        </w:rPr>
      </w:pPr>
      <w:r>
        <w:rPr>
          <w:kern w:val="16"/>
          <w:lang w:val="en-GB"/>
        </w:rPr>
        <w:t>Federal housing programmes that receive official financing may be classified into three major groups:  (i) financing programmes that receive grants or subsidies in support of state and municipal investment aimed at improving the quality of life of population segments with family income under three minimum salaries; (ii) programmes providing financing for home construction and/</w:t>
      </w:r>
      <w:r>
        <w:rPr>
          <w:lang w:val="en-GB"/>
        </w:rPr>
        <w:t>or</w:t>
      </w:r>
      <w:r>
        <w:rPr>
          <w:kern w:val="16"/>
          <w:lang w:val="en-GB"/>
        </w:rPr>
        <w:t xml:space="preserve"> improvement of housing conditions of families whose monthly income is lower than 12 minimum salaries (Individual and Associative Letter of Credit and Production Support Programme); and (iii) programmes and initiatives aimed at improving the operation of the housing market.</w:t>
      </w:r>
    </w:p>
    <w:p w:rsidR="00000000" w:rsidRDefault="00000000">
      <w:pPr>
        <w:rPr>
          <w:kern w:val="16"/>
        </w:rPr>
      </w:pPr>
    </w:p>
    <w:p w:rsidR="00000000" w:rsidRDefault="00000000">
      <w:pPr>
        <w:pStyle w:val="ParaNo"/>
        <w:tabs>
          <w:tab w:val="clear" w:pos="360"/>
          <w:tab w:val="clear" w:pos="737"/>
        </w:tabs>
        <w:rPr>
          <w:kern w:val="16"/>
          <w:lang w:val="en-GB"/>
        </w:rPr>
      </w:pPr>
      <w:r>
        <w:rPr>
          <w:kern w:val="16"/>
          <w:lang w:val="en-GB"/>
        </w:rPr>
        <w:t xml:space="preserve">The purpose of programmes associated with the poor’s right to housing is to assist the states, municipalities and the Federal District in raising housing standards and the quality of life of rural and urban dwellers with incomes of less than three minimum salaries who live in risk areas or areas occupied by substandard dwellings (shacks, slums, stilt houses, tenement </w:t>
      </w:r>
    </w:p>
    <w:p w:rsidR="00000000" w:rsidRDefault="00000000">
      <w:pPr>
        <w:rPr>
          <w:kern w:val="16"/>
        </w:rPr>
      </w:pPr>
      <w:r>
        <w:rPr>
          <w:kern w:val="16"/>
        </w:rPr>
        <w:t>houses, etc.).  The programmes also include measures such as urbanization of residential areas, acquisition or production of urbanized lots and construction materials, implementation of infrastructure in housing complexes and building of housing complexes.</w:t>
      </w:r>
    </w:p>
    <w:p w:rsidR="00000000" w:rsidRDefault="00000000">
      <w:pPr>
        <w:rPr>
          <w:kern w:val="16"/>
        </w:rPr>
      </w:pPr>
    </w:p>
    <w:p w:rsidR="00000000" w:rsidRDefault="00000000">
      <w:pPr>
        <w:pStyle w:val="ParaNo"/>
        <w:tabs>
          <w:tab w:val="clear" w:pos="360"/>
          <w:tab w:val="clear" w:pos="737"/>
        </w:tabs>
        <w:rPr>
          <w:kern w:val="16"/>
          <w:lang w:val="en-GB"/>
        </w:rPr>
      </w:pPr>
      <w:r>
        <w:rPr>
          <w:kern w:val="16"/>
          <w:lang w:val="en-GB"/>
        </w:rPr>
        <w:t xml:space="preserve">There are also programmes geared towards the population that has a lower income, such as the Individual Letter of Credit programme.  This programme finances the acquisition and purchase of homes or the </w:t>
      </w:r>
      <w:r>
        <w:rPr>
          <w:lang w:val="en-GB"/>
        </w:rPr>
        <w:t>improvement</w:t>
      </w:r>
      <w:r>
        <w:rPr>
          <w:kern w:val="16"/>
          <w:lang w:val="en-GB"/>
        </w:rPr>
        <w:t xml:space="preserve"> of housing conditions of families with a monthly income of up to 12 minimum salaries.  The various types of programmes cover the acquisition of housing units or urbanized lots, home construction and home completion, expansion, remodelling and improvement.  The </w:t>
      </w:r>
      <w:r>
        <w:rPr>
          <w:lang w:val="en-GB"/>
        </w:rPr>
        <w:t>financing</w:t>
      </w:r>
      <w:r>
        <w:rPr>
          <w:kern w:val="16"/>
          <w:lang w:val="en-GB"/>
        </w:rPr>
        <w:t xml:space="preserve"> ceiling is calculated according to the type of programme and the applicant’s income.  There is also the Associative Letter of Credit, which finances the construction of housing units and the production of urbanized lots by unions, cooperatives, associations, private entities and housing corporations that extend credit to physical persons with a monthly income of less than 12 minimum salaries.  As the interest charged by Letter of Credit programmes is substantially lower than market rates, these programmes provide a not negligible direct subsidy.  Another characteristic of these programmes is that they meet the spontaneous home financing demand on the part of individuals by providing direct consumer credit.  This is a major change in governmental strategy.  Programmes also promote the concept that major responsibility for solving the housing problem lies with society itself, while the Government’s role is that of an inducer and facilitator.  Moreover, it should be noted that these programmes impart flexibility to the mechanisms whereby the borrower’s income is verified, without discriminating against those who work in informal activities.</w:t>
      </w:r>
    </w:p>
    <w:p w:rsidR="00000000" w:rsidRDefault="00000000">
      <w:pPr>
        <w:rPr>
          <w:kern w:val="16"/>
        </w:rPr>
      </w:pPr>
    </w:p>
    <w:p w:rsidR="00000000" w:rsidRDefault="00000000">
      <w:pPr>
        <w:pStyle w:val="ParaNo"/>
        <w:tabs>
          <w:tab w:val="clear" w:pos="360"/>
          <w:tab w:val="clear" w:pos="737"/>
        </w:tabs>
        <w:rPr>
          <w:kern w:val="16"/>
          <w:lang w:val="en-GB"/>
        </w:rPr>
      </w:pPr>
      <w:r>
        <w:rPr>
          <w:kern w:val="16"/>
          <w:lang w:val="en-GB"/>
        </w:rPr>
        <w:t>The purpose of the Housing Production Support Programme is to finance the popular home building companies’ production of homes for the population with incomes lower than 12 minimum salaries.  Disbursement of funds is subject to the effective sale of a minimum of 50 per cent of the units produced.</w:t>
      </w:r>
    </w:p>
    <w:p w:rsidR="00000000" w:rsidRDefault="00000000">
      <w:pPr>
        <w:rPr>
          <w:kern w:val="16"/>
        </w:rPr>
      </w:pPr>
    </w:p>
    <w:p w:rsidR="00000000" w:rsidRDefault="00000000">
      <w:pPr>
        <w:pStyle w:val="ParaNo"/>
        <w:tabs>
          <w:tab w:val="clear" w:pos="360"/>
          <w:tab w:val="clear" w:pos="737"/>
        </w:tabs>
        <w:rPr>
          <w:kern w:val="16"/>
          <w:lang w:val="en-GB"/>
        </w:rPr>
      </w:pPr>
      <w:r>
        <w:rPr>
          <w:kern w:val="16"/>
          <w:lang w:val="en-GB"/>
        </w:rPr>
        <w:t xml:space="preserve">Important Federal Government initiatives in implementation of the strategy for increasing the market’s participation in the housing sector during the period under review include the following:  the </w:t>
      </w:r>
      <w:r>
        <w:rPr>
          <w:lang w:val="en-GB"/>
        </w:rPr>
        <w:t>establishment</w:t>
      </w:r>
      <w:r>
        <w:rPr>
          <w:kern w:val="16"/>
          <w:lang w:val="en-GB"/>
        </w:rPr>
        <w:t xml:space="preserve"> of the Real Estate Financing System</w:t>
      </w:r>
      <w:r>
        <w:rPr>
          <w:kern w:val="16"/>
          <w:lang w:val="en-GB"/>
        </w:rPr>
        <w:noBreakHyphen/>
        <w:t>SFI; the implementation of the Brazilian Home Building Quality and Productivity Programme</w:t>
      </w:r>
      <w:r>
        <w:rPr>
          <w:kern w:val="16"/>
          <w:lang w:val="en-GB"/>
        </w:rPr>
        <w:noBreakHyphen/>
        <w:t>PBQP</w:t>
      </w:r>
      <w:r>
        <w:rPr>
          <w:kern w:val="16"/>
          <w:lang w:val="en-GB"/>
        </w:rPr>
        <w:noBreakHyphen/>
        <w:t>H; the improvement of urban legislation, such as the recent revision of the Land Subdivision Law (Law 6.766) by Federal Law 9785/99; and initiatives recently implemented to diversify the means of access to housing, such as social leasing, along the lines of the Residential Leasing Programme</w:t>
      </w:r>
      <w:r>
        <w:rPr>
          <w:kern w:val="16"/>
          <w:lang w:val="en-GB"/>
        </w:rPr>
        <w:noBreakHyphen/>
        <w:t>PAR.  The Individual and Associative Letter of Credit programmes and the Home Production Support Programme also aim at increasing market participation by supporting own construction and self</w:t>
      </w:r>
      <w:r>
        <w:rPr>
          <w:kern w:val="16"/>
          <w:lang w:val="en-GB"/>
        </w:rPr>
        <w:noBreakHyphen/>
        <w:t>financing.</w:t>
      </w:r>
    </w:p>
    <w:p w:rsidR="00000000" w:rsidRDefault="00000000">
      <w:pPr>
        <w:rPr>
          <w:kern w:val="16"/>
        </w:rPr>
      </w:pPr>
    </w:p>
    <w:p w:rsidR="00000000" w:rsidRDefault="00000000">
      <w:pPr>
        <w:pStyle w:val="ParaNo"/>
        <w:tabs>
          <w:tab w:val="clear" w:pos="360"/>
          <w:tab w:val="clear" w:pos="737"/>
        </w:tabs>
        <w:rPr>
          <w:kern w:val="16"/>
          <w:lang w:val="en-GB"/>
        </w:rPr>
      </w:pPr>
      <w:r>
        <w:rPr>
          <w:kern w:val="16"/>
          <w:lang w:val="en-GB"/>
        </w:rPr>
        <w:t>The Brazilian Government specifically highlights the performance of housing investment programmes in the period 1995</w:t>
      </w:r>
      <w:r>
        <w:rPr>
          <w:kern w:val="16"/>
          <w:lang w:val="en-GB"/>
        </w:rPr>
        <w:noBreakHyphen/>
        <w:t xml:space="preserve">1998.  Total investment was Cr$ 10,115,764,000 benefiting 1,239,636 families as well as creating 502,273 jobs, according to data supplied by </w:t>
      </w:r>
    </w:p>
    <w:p w:rsidR="00000000" w:rsidRDefault="00000000">
      <w:pPr>
        <w:rPr>
          <w:kern w:val="16"/>
        </w:rPr>
      </w:pPr>
      <w:r>
        <w:rPr>
          <w:kern w:val="16"/>
        </w:rPr>
        <w:br w:type="page"/>
        <w:t>SEPURB/SEDU.  The main source of programme financing was the Length of Service</w:t>
      </w:r>
      <w:r>
        <w:rPr>
          <w:kern w:val="16"/>
        </w:rPr>
        <w:noBreakHyphen/>
        <w:t>Based Fund</w:t>
      </w:r>
      <w:r>
        <w:rPr>
          <w:kern w:val="16"/>
        </w:rPr>
        <w:noBreakHyphen/>
        <w:t xml:space="preserve">FGTS, which provided 90 per cent of the funds, the remaining 10 per cent coming from the State general budget.  The main programme in terms of share in total investment was the Individual Letter of Credit programme (61.23 per cent), followed by the Associative Letter of </w:t>
      </w:r>
    </w:p>
    <w:p w:rsidR="00000000" w:rsidRDefault="00000000">
      <w:pPr>
        <w:rPr>
          <w:kern w:val="16"/>
        </w:rPr>
      </w:pPr>
      <w:r>
        <w:rPr>
          <w:kern w:val="16"/>
        </w:rPr>
        <w:t>Credit programme (15.81 per cent), which shows that there is a demand for financing on the part of private economic agents.  The main programmes implemented through government agents and directed at the lower</w:t>
      </w:r>
      <w:r>
        <w:rPr>
          <w:kern w:val="16"/>
        </w:rPr>
        <w:noBreakHyphen/>
        <w:t>income population accounted for only 20 per cent of the funds invested.</w:t>
      </w:r>
    </w:p>
    <w:p w:rsidR="00000000" w:rsidRDefault="00000000">
      <w:pPr>
        <w:rPr>
          <w:kern w:val="16"/>
        </w:rPr>
      </w:pPr>
    </w:p>
    <w:p w:rsidR="00000000" w:rsidRDefault="00000000">
      <w:pPr>
        <w:pStyle w:val="ParaNo"/>
        <w:tabs>
          <w:tab w:val="clear" w:pos="360"/>
          <w:tab w:val="clear" w:pos="737"/>
        </w:tabs>
        <w:rPr>
          <w:kern w:val="16"/>
          <w:lang w:val="en-GB"/>
        </w:rPr>
      </w:pPr>
      <w:r>
        <w:rPr>
          <w:kern w:val="16"/>
          <w:lang w:val="en-GB"/>
        </w:rPr>
        <w:t>Services rendered in connection with home construction include the provision of transportation, sanitation, electricity, etc.  The National Sanitation Policy implemented by the Government from 1995 through 1999 comprises two types of programs:  (i) programmes aimed at expanding the supply of sanitation services, focused especially on lower</w:t>
      </w:r>
      <w:r>
        <w:rPr>
          <w:kern w:val="16"/>
          <w:lang w:val="en-GB"/>
        </w:rPr>
        <w:noBreakHyphen/>
        <w:t>income segments (Pro</w:t>
      </w:r>
      <w:r>
        <w:rPr>
          <w:kern w:val="16"/>
          <w:lang w:val="en-GB"/>
        </w:rPr>
        <w:noBreakHyphen/>
        <w:t>Sanitation, Sanitation Social Action</w:t>
      </w:r>
      <w:r>
        <w:rPr>
          <w:kern w:val="16"/>
          <w:lang w:val="en-GB"/>
        </w:rPr>
        <w:noBreakHyphen/>
        <w:t>PASS and Sanitation Action Programme</w:t>
      </w:r>
      <w:r>
        <w:rPr>
          <w:kern w:val="16"/>
          <w:lang w:val="en-GB"/>
        </w:rPr>
        <w:noBreakHyphen/>
        <w:t>PROSEGE; and (ii) programmes aimed at restructuring the sanitation sector (Sanitation Sector Modernization Programme</w:t>
      </w:r>
      <w:r>
        <w:rPr>
          <w:kern w:val="16"/>
          <w:lang w:val="en-GB"/>
        </w:rPr>
        <w:noBreakHyphen/>
        <w:t>PMSS, Water Quality Programme</w:t>
      </w:r>
      <w:r>
        <w:rPr>
          <w:kern w:val="16"/>
          <w:lang w:val="en-GB"/>
        </w:rPr>
        <w:noBreakHyphen/>
        <w:t>PQA, National Water Wastage Control Programme and Programmes in Support of Solid Waste Management</w:t>
      </w:r>
      <w:r>
        <w:rPr>
          <w:kern w:val="16"/>
          <w:lang w:val="en-GB"/>
        </w:rPr>
        <w:noBreakHyphen/>
        <w:t>PROGEST).  These programmes accounted for investment of Cr$ 5,264,100,000 between January 1995 and October 1998.</w:t>
      </w:r>
    </w:p>
    <w:p w:rsidR="00000000" w:rsidRDefault="00000000">
      <w:pPr>
        <w:rPr>
          <w:kern w:val="16"/>
        </w:rPr>
      </w:pPr>
    </w:p>
    <w:p w:rsidR="00000000" w:rsidRDefault="00000000">
      <w:pPr>
        <w:pStyle w:val="ParaNo"/>
        <w:tabs>
          <w:tab w:val="clear" w:pos="360"/>
          <w:tab w:val="clear" w:pos="737"/>
        </w:tabs>
        <w:rPr>
          <w:kern w:val="16"/>
          <w:lang w:val="en-GB"/>
        </w:rPr>
      </w:pPr>
      <w:r>
        <w:rPr>
          <w:kern w:val="16"/>
          <w:lang w:val="en-GB"/>
        </w:rPr>
        <w:t>In Brazil, it has proved more equitable to benefit the poorer segments of the population irrespective of the size of the urban centres where they live.  The HABITAR/BRASIL/BID, PASS/BID and PROSEGE programmes, all targeted at the low</w:t>
      </w:r>
      <w:r>
        <w:rPr>
          <w:kern w:val="16"/>
          <w:lang w:val="en-GB"/>
        </w:rPr>
        <w:noBreakHyphen/>
        <w:t xml:space="preserve">income population (under PROSEGE, families with a monthly income of up to three minimum salaries), are designed specifically to reduce </w:t>
      </w:r>
      <w:r>
        <w:rPr>
          <w:lang w:val="en-GB"/>
        </w:rPr>
        <w:t>social</w:t>
      </w:r>
      <w:r>
        <w:rPr>
          <w:kern w:val="16"/>
          <w:lang w:val="en-GB"/>
        </w:rPr>
        <w:t xml:space="preserve"> inequalities, giving priority to investment aimed at meeting the needs of disadvantaged segments of the population.  These programmes’ priority criteria are established after identification of the extent of the lack of urban services.  In this connection, states are subjected to a hierarchical order based on the number of urban homes in more precarious conditions.  The areas eligible for intervention must meet the following requirements:</w:t>
      </w:r>
    </w:p>
    <w:p w:rsidR="00000000" w:rsidRDefault="00000000">
      <w:pPr>
        <w:rPr>
          <w:kern w:val="16"/>
        </w:rPr>
      </w:pPr>
    </w:p>
    <w:p w:rsidR="00000000" w:rsidRDefault="00000000">
      <w:pPr>
        <w:rPr>
          <w:kern w:val="16"/>
        </w:rPr>
      </w:pPr>
      <w:r>
        <w:rPr>
          <w:kern w:val="16"/>
        </w:rPr>
        <w:tab/>
        <w:t>(a)</w:t>
      </w:r>
      <w:r>
        <w:rPr>
          <w:kern w:val="16"/>
        </w:rPr>
        <w:tab/>
        <w:t xml:space="preserve">They must have been </w:t>
      </w:r>
      <w:r>
        <w:t>occupied</w:t>
      </w:r>
      <w:r>
        <w:rPr>
          <w:kern w:val="16"/>
        </w:rPr>
        <w:t xml:space="preserve"> by a substandard settlement for more than five years and at least 60 per cent of residents must have a family income of three minimum salaries at the most;</w:t>
      </w:r>
    </w:p>
    <w:p w:rsidR="00000000" w:rsidRDefault="00000000">
      <w:pPr>
        <w:rPr>
          <w:kern w:val="16"/>
        </w:rPr>
      </w:pPr>
    </w:p>
    <w:p w:rsidR="00000000" w:rsidRDefault="00000000">
      <w:pPr>
        <w:rPr>
          <w:kern w:val="16"/>
        </w:rPr>
      </w:pPr>
      <w:r>
        <w:rPr>
          <w:kern w:val="16"/>
        </w:rPr>
        <w:tab/>
        <w:t>(b)</w:t>
      </w:r>
      <w:r>
        <w:rPr>
          <w:kern w:val="16"/>
        </w:rPr>
        <w:tab/>
        <w:t xml:space="preserve">Their location must be </w:t>
      </w:r>
      <w:r>
        <w:t>hazardous</w:t>
      </w:r>
      <w:r>
        <w:rPr>
          <w:kern w:val="16"/>
        </w:rPr>
        <w:t xml:space="preserve"> or insalubrious, or they must be affected by legislation prohibiting their use for housing </w:t>
      </w:r>
      <w:r>
        <w:rPr>
          <w:kern w:val="16"/>
        </w:rPr>
        <w:noBreakHyphen/>
        <w:t xml:space="preserve"> in this case, any form of occupation; and</w:t>
      </w:r>
    </w:p>
    <w:p w:rsidR="00000000" w:rsidRDefault="00000000">
      <w:pPr>
        <w:rPr>
          <w:kern w:val="16"/>
        </w:rPr>
      </w:pPr>
    </w:p>
    <w:p w:rsidR="00000000" w:rsidRDefault="00000000">
      <w:pPr>
        <w:rPr>
          <w:kern w:val="16"/>
        </w:rPr>
      </w:pPr>
      <w:r>
        <w:rPr>
          <w:kern w:val="16"/>
        </w:rPr>
        <w:tab/>
        <w:t>(c)</w:t>
      </w:r>
      <w:r>
        <w:rPr>
          <w:kern w:val="16"/>
        </w:rPr>
        <w:tab/>
        <w:t>They must be assigned priority, on the basis of a hierarchical order, at the initial stage of the Municipal Strategic Plan for Substandard Settlements</w:t>
      </w:r>
      <w:r>
        <w:rPr>
          <w:kern w:val="16"/>
        </w:rPr>
        <w:noBreakHyphen/>
        <w:t>PEMAS, in the case of the first area subjected to intervention.  Other areas shall be subjected to the definitive hierarchical order established by PEMAS.</w:t>
      </w:r>
    </w:p>
    <w:p w:rsidR="00000000" w:rsidRDefault="00000000">
      <w:pPr>
        <w:rPr>
          <w:kern w:val="16"/>
        </w:rPr>
      </w:pPr>
    </w:p>
    <w:p w:rsidR="00000000" w:rsidRDefault="00000000">
      <w:pPr>
        <w:pStyle w:val="ParaNo"/>
        <w:tabs>
          <w:tab w:val="clear" w:pos="360"/>
          <w:tab w:val="clear" w:pos="737"/>
        </w:tabs>
        <w:rPr>
          <w:kern w:val="16"/>
          <w:lang w:val="en-GB"/>
        </w:rPr>
      </w:pPr>
      <w:r>
        <w:rPr>
          <w:kern w:val="16"/>
          <w:lang w:val="en-GB"/>
        </w:rPr>
        <w:t>The Government’s 2000</w:t>
      </w:r>
      <w:r>
        <w:rPr>
          <w:kern w:val="16"/>
          <w:lang w:val="en-GB"/>
        </w:rPr>
        <w:noBreakHyphen/>
        <w:t>2003 Pluri</w:t>
      </w:r>
      <w:r>
        <w:rPr>
          <w:kern w:val="16"/>
          <w:lang w:val="en-GB"/>
        </w:rPr>
        <w:noBreakHyphen/>
        <w:t>Annual Plan (PPA) envisages various actions related to urban development.  As of 2000, pre</w:t>
      </w:r>
      <w:r>
        <w:rPr>
          <w:kern w:val="16"/>
          <w:lang w:val="en-GB"/>
        </w:rPr>
        <w:noBreakHyphen/>
        <w:t xml:space="preserve">existing programmes are incorporated into the </w:t>
      </w:r>
      <w:r>
        <w:rPr>
          <w:iCs/>
          <w:kern w:val="16"/>
          <w:u w:val="single"/>
          <w:lang w:val="en-GB"/>
        </w:rPr>
        <w:t>Avança, Brasil</w:t>
      </w:r>
      <w:r>
        <w:rPr>
          <w:kern w:val="16"/>
          <w:lang w:val="en-GB"/>
        </w:rPr>
        <w:t xml:space="preserve"> programme, which comprises the following end</w:t>
      </w:r>
      <w:r>
        <w:rPr>
          <w:kern w:val="16"/>
          <w:lang w:val="en-GB"/>
        </w:rPr>
        <w:noBreakHyphen/>
        <w:t>programmes:</w:t>
      </w:r>
    </w:p>
    <w:p w:rsidR="00000000" w:rsidRDefault="00000000">
      <w:pPr>
        <w:pStyle w:val="Heading1"/>
      </w:pPr>
      <w:r>
        <w:t>Table 72</w:t>
      </w:r>
    </w:p>
    <w:p w:rsidR="00000000" w:rsidRDefault="00000000">
      <w:pPr>
        <w:pStyle w:val="Heading1"/>
      </w:pPr>
    </w:p>
    <w:p w:rsidR="00000000" w:rsidRDefault="00000000">
      <w:pPr>
        <w:pStyle w:val="Heading1"/>
      </w:pPr>
      <w:r>
        <w:t>Urban development programmes under PPA</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3260"/>
        <w:gridCol w:w="2835"/>
      </w:tblGrid>
      <w:tr w:rsidR="00000000">
        <w:tblPrEx>
          <w:tblCellMar>
            <w:top w:w="0" w:type="dxa"/>
            <w:bottom w:w="0" w:type="dxa"/>
          </w:tblCellMar>
        </w:tblPrEx>
        <w:tc>
          <w:tcPr>
            <w:tcW w:w="3261" w:type="dxa"/>
            <w:tcBorders>
              <w:bottom w:val="single" w:sz="4" w:space="0" w:color="auto"/>
            </w:tcBorders>
          </w:tcPr>
          <w:p w:rsidR="00000000" w:rsidRDefault="00000000">
            <w:pPr>
              <w:spacing w:before="120" w:after="120"/>
              <w:jc w:val="center"/>
              <w:rPr>
                <w:sz w:val="20"/>
              </w:rPr>
            </w:pPr>
            <w:r>
              <w:rPr>
                <w:sz w:val="20"/>
              </w:rPr>
              <w:t>Programme</w:t>
            </w:r>
          </w:p>
        </w:tc>
        <w:tc>
          <w:tcPr>
            <w:tcW w:w="3260" w:type="dxa"/>
            <w:tcBorders>
              <w:bottom w:val="single" w:sz="4" w:space="0" w:color="auto"/>
            </w:tcBorders>
          </w:tcPr>
          <w:p w:rsidR="00000000" w:rsidRDefault="00000000">
            <w:pPr>
              <w:spacing w:before="120" w:after="120"/>
              <w:jc w:val="center"/>
              <w:rPr>
                <w:sz w:val="20"/>
              </w:rPr>
            </w:pPr>
            <w:r>
              <w:rPr>
                <w:sz w:val="20"/>
              </w:rPr>
              <w:t>Objective</w:t>
            </w:r>
          </w:p>
        </w:tc>
        <w:tc>
          <w:tcPr>
            <w:tcW w:w="2835" w:type="dxa"/>
            <w:tcBorders>
              <w:bottom w:val="single" w:sz="4" w:space="0" w:color="auto"/>
            </w:tcBorders>
          </w:tcPr>
          <w:p w:rsidR="00000000" w:rsidRDefault="00000000">
            <w:pPr>
              <w:spacing w:before="120" w:after="120"/>
              <w:jc w:val="center"/>
              <w:rPr>
                <w:sz w:val="20"/>
              </w:rPr>
            </w:pPr>
            <w:r>
              <w:rPr>
                <w:sz w:val="20"/>
              </w:rPr>
              <w:t>Funds source and total amount (Cr$)</w:t>
            </w:r>
          </w:p>
        </w:tc>
      </w:tr>
      <w:tr w:rsidR="00000000">
        <w:tblPrEx>
          <w:tblCellMar>
            <w:top w:w="0" w:type="dxa"/>
            <w:bottom w:w="0" w:type="dxa"/>
          </w:tblCellMar>
        </w:tblPrEx>
        <w:tc>
          <w:tcPr>
            <w:tcW w:w="3261" w:type="dxa"/>
            <w:tcBorders>
              <w:bottom w:val="nil"/>
            </w:tcBorders>
          </w:tcPr>
          <w:p w:rsidR="00000000" w:rsidRDefault="00000000">
            <w:pPr>
              <w:spacing w:after="120"/>
              <w:rPr>
                <w:sz w:val="20"/>
              </w:rPr>
            </w:pPr>
            <w:r>
              <w:rPr>
                <w:sz w:val="20"/>
              </w:rPr>
              <w:t>Road and Urban Transportation</w:t>
            </w:r>
          </w:p>
        </w:tc>
        <w:tc>
          <w:tcPr>
            <w:tcW w:w="3260" w:type="dxa"/>
            <w:tcBorders>
              <w:bottom w:val="nil"/>
            </w:tcBorders>
          </w:tcPr>
          <w:p w:rsidR="00000000" w:rsidRDefault="00000000">
            <w:pPr>
              <w:spacing w:after="120"/>
              <w:rPr>
                <w:sz w:val="20"/>
              </w:rPr>
            </w:pPr>
            <w:r>
              <w:rPr>
                <w:sz w:val="20"/>
              </w:rPr>
              <w:t>Improve the quality of public road and urban transportation services in municipalities with a population over 75,000</w:t>
            </w:r>
          </w:p>
        </w:tc>
        <w:tc>
          <w:tcPr>
            <w:tcW w:w="2835" w:type="dxa"/>
            <w:tcBorders>
              <w:bottom w:val="nil"/>
            </w:tcBorders>
          </w:tcPr>
          <w:p w:rsidR="00000000" w:rsidRDefault="00000000">
            <w:pPr>
              <w:rPr>
                <w:sz w:val="20"/>
              </w:rPr>
            </w:pPr>
            <w:r>
              <w:rPr>
                <w:sz w:val="20"/>
              </w:rPr>
              <w:t xml:space="preserve">State budget </w:t>
            </w:r>
            <w:r>
              <w:rPr>
                <w:sz w:val="20"/>
              </w:rPr>
              <w:noBreakHyphen/>
              <w:t xml:space="preserve">                            0</w:t>
            </w:r>
          </w:p>
          <w:p w:rsidR="00000000" w:rsidRDefault="00000000">
            <w:pPr>
              <w:rPr>
                <w:sz w:val="20"/>
              </w:rPr>
            </w:pPr>
            <w:r>
              <w:rPr>
                <w:sz w:val="20"/>
              </w:rPr>
              <w:t xml:space="preserve">           Other </w:t>
            </w:r>
            <w:r>
              <w:rPr>
                <w:sz w:val="20"/>
              </w:rPr>
              <w:noBreakHyphen/>
              <w:t xml:space="preserve">           75 000 000</w:t>
            </w:r>
          </w:p>
          <w:p w:rsidR="00000000" w:rsidRDefault="00000000">
            <w:pPr>
              <w:rPr>
                <w:sz w:val="20"/>
              </w:rPr>
            </w:pPr>
            <w:r>
              <w:rPr>
                <w:sz w:val="20"/>
              </w:rPr>
              <w:t xml:space="preserve">            Total </w:t>
            </w:r>
            <w:r>
              <w:rPr>
                <w:sz w:val="20"/>
              </w:rPr>
              <w:noBreakHyphen/>
              <w:t xml:space="preserve">           75 000 000</w:t>
            </w:r>
          </w:p>
        </w:tc>
      </w:tr>
      <w:tr w:rsidR="00000000">
        <w:tblPrEx>
          <w:tblCellMar>
            <w:top w:w="0" w:type="dxa"/>
            <w:bottom w:w="0" w:type="dxa"/>
          </w:tblCellMar>
        </w:tblPrEx>
        <w:tc>
          <w:tcPr>
            <w:tcW w:w="3261" w:type="dxa"/>
            <w:tcBorders>
              <w:top w:val="nil"/>
              <w:bottom w:val="nil"/>
            </w:tcBorders>
          </w:tcPr>
          <w:p w:rsidR="00000000" w:rsidRDefault="00000000">
            <w:pPr>
              <w:spacing w:after="120"/>
              <w:rPr>
                <w:sz w:val="20"/>
              </w:rPr>
            </w:pPr>
            <w:r>
              <w:rPr>
                <w:sz w:val="20"/>
              </w:rPr>
              <w:t>Restructuring of Metropolitan Areas</w:t>
            </w:r>
          </w:p>
        </w:tc>
        <w:tc>
          <w:tcPr>
            <w:tcW w:w="3260" w:type="dxa"/>
            <w:tcBorders>
              <w:top w:val="nil"/>
              <w:bottom w:val="nil"/>
            </w:tcBorders>
          </w:tcPr>
          <w:p w:rsidR="00000000" w:rsidRDefault="00000000">
            <w:pPr>
              <w:spacing w:after="120"/>
              <w:rPr>
                <w:sz w:val="20"/>
              </w:rPr>
            </w:pPr>
            <w:r>
              <w:rPr>
                <w:sz w:val="20"/>
              </w:rPr>
              <w:t>Promote the economic ordering of space and the urban and economic dynamism of metropolitan areas</w:t>
            </w:r>
          </w:p>
        </w:tc>
        <w:tc>
          <w:tcPr>
            <w:tcW w:w="2835" w:type="dxa"/>
            <w:tcBorders>
              <w:top w:val="nil"/>
              <w:bottom w:val="nil"/>
            </w:tcBorders>
          </w:tcPr>
          <w:p w:rsidR="00000000" w:rsidRDefault="00000000">
            <w:pPr>
              <w:rPr>
                <w:sz w:val="20"/>
              </w:rPr>
            </w:pPr>
            <w:r>
              <w:rPr>
                <w:sz w:val="20"/>
              </w:rPr>
              <w:t xml:space="preserve">State budget </w:t>
            </w:r>
            <w:r>
              <w:rPr>
                <w:sz w:val="20"/>
              </w:rPr>
              <w:noBreakHyphen/>
              <w:t xml:space="preserve">              4 914 000</w:t>
            </w:r>
          </w:p>
          <w:p w:rsidR="00000000" w:rsidRDefault="00000000">
            <w:pPr>
              <w:rPr>
                <w:sz w:val="20"/>
              </w:rPr>
            </w:pPr>
            <w:r>
              <w:rPr>
                <w:sz w:val="20"/>
              </w:rPr>
              <w:t xml:space="preserve">           Other </w:t>
            </w:r>
            <w:r>
              <w:rPr>
                <w:sz w:val="20"/>
              </w:rPr>
              <w:noBreakHyphen/>
              <w:t xml:space="preserve">         720 595 900</w:t>
            </w:r>
          </w:p>
          <w:p w:rsidR="00000000" w:rsidRDefault="00000000">
            <w:pPr>
              <w:rPr>
                <w:sz w:val="20"/>
              </w:rPr>
            </w:pPr>
            <w:r>
              <w:rPr>
                <w:sz w:val="20"/>
              </w:rPr>
              <w:t xml:space="preserve">            Total </w:t>
            </w:r>
            <w:r>
              <w:rPr>
                <w:sz w:val="20"/>
              </w:rPr>
              <w:noBreakHyphen/>
              <w:t xml:space="preserve">         725 509 900</w:t>
            </w:r>
          </w:p>
        </w:tc>
      </w:tr>
      <w:tr w:rsidR="00000000">
        <w:tblPrEx>
          <w:tblCellMar>
            <w:top w:w="0" w:type="dxa"/>
            <w:bottom w:w="0" w:type="dxa"/>
          </w:tblCellMar>
        </w:tblPrEx>
        <w:tc>
          <w:tcPr>
            <w:tcW w:w="3261" w:type="dxa"/>
            <w:tcBorders>
              <w:top w:val="nil"/>
              <w:bottom w:val="nil"/>
            </w:tcBorders>
          </w:tcPr>
          <w:p w:rsidR="00000000" w:rsidRDefault="00000000">
            <w:pPr>
              <w:spacing w:after="120"/>
              <w:rPr>
                <w:sz w:val="20"/>
              </w:rPr>
            </w:pPr>
            <w:r>
              <w:rPr>
                <w:sz w:val="20"/>
              </w:rPr>
              <w:t xml:space="preserve">Brazilian Quality and Productivity Programme </w:t>
            </w:r>
            <w:r>
              <w:rPr>
                <w:sz w:val="20"/>
              </w:rPr>
              <w:noBreakHyphen/>
              <w:t xml:space="preserve"> PBQP</w:t>
            </w:r>
          </w:p>
        </w:tc>
        <w:tc>
          <w:tcPr>
            <w:tcW w:w="3260" w:type="dxa"/>
            <w:tcBorders>
              <w:top w:val="nil"/>
              <w:bottom w:val="nil"/>
            </w:tcBorders>
          </w:tcPr>
          <w:p w:rsidR="00000000" w:rsidRDefault="00000000">
            <w:pPr>
              <w:spacing w:after="120"/>
              <w:rPr>
                <w:sz w:val="20"/>
              </w:rPr>
            </w:pPr>
            <w:r>
              <w:rPr>
                <w:sz w:val="20"/>
              </w:rPr>
              <w:t>Increase mobilization for improving quality and productivity so as to raise the quality of life of the Brazilian population and promote increased competitiveness of Brazilian goods and services</w:t>
            </w:r>
          </w:p>
        </w:tc>
        <w:tc>
          <w:tcPr>
            <w:tcW w:w="2835" w:type="dxa"/>
            <w:tcBorders>
              <w:top w:val="nil"/>
              <w:bottom w:val="nil"/>
            </w:tcBorders>
          </w:tcPr>
          <w:p w:rsidR="00000000" w:rsidRDefault="00000000">
            <w:pPr>
              <w:rPr>
                <w:sz w:val="20"/>
              </w:rPr>
            </w:pPr>
            <w:r>
              <w:rPr>
                <w:sz w:val="20"/>
              </w:rPr>
              <w:t xml:space="preserve">State budget </w:t>
            </w:r>
            <w:r>
              <w:rPr>
                <w:sz w:val="20"/>
              </w:rPr>
              <w:noBreakHyphen/>
              <w:t xml:space="preserve">            18 609 128</w:t>
            </w:r>
          </w:p>
          <w:p w:rsidR="00000000" w:rsidRDefault="00000000">
            <w:pPr>
              <w:rPr>
                <w:sz w:val="20"/>
              </w:rPr>
            </w:pPr>
            <w:r>
              <w:rPr>
                <w:sz w:val="20"/>
              </w:rPr>
              <w:t xml:space="preserve">          Other </w:t>
            </w:r>
            <w:r>
              <w:rPr>
                <w:sz w:val="20"/>
              </w:rPr>
              <w:noBreakHyphen/>
              <w:t xml:space="preserve">            12 826 540</w:t>
            </w:r>
          </w:p>
          <w:p w:rsidR="00000000" w:rsidRDefault="00000000">
            <w:pPr>
              <w:rPr>
                <w:sz w:val="20"/>
              </w:rPr>
            </w:pPr>
            <w:r>
              <w:rPr>
                <w:sz w:val="20"/>
              </w:rPr>
              <w:t xml:space="preserve">           Total </w:t>
            </w:r>
            <w:r>
              <w:rPr>
                <w:sz w:val="20"/>
              </w:rPr>
              <w:noBreakHyphen/>
              <w:t xml:space="preserve">            31 435 668</w:t>
            </w:r>
          </w:p>
        </w:tc>
      </w:tr>
      <w:tr w:rsidR="00000000">
        <w:tblPrEx>
          <w:tblCellMar>
            <w:top w:w="0" w:type="dxa"/>
            <w:bottom w:w="0" w:type="dxa"/>
          </w:tblCellMar>
        </w:tblPrEx>
        <w:tc>
          <w:tcPr>
            <w:tcW w:w="3261" w:type="dxa"/>
            <w:tcBorders>
              <w:top w:val="nil"/>
              <w:bottom w:val="nil"/>
            </w:tcBorders>
          </w:tcPr>
          <w:p w:rsidR="00000000" w:rsidRDefault="00000000">
            <w:pPr>
              <w:spacing w:after="120"/>
              <w:rPr>
                <w:sz w:val="20"/>
              </w:rPr>
            </w:pPr>
            <w:r>
              <w:rPr>
                <w:sz w:val="20"/>
              </w:rPr>
              <w:t>Our Neighbourhood</w:t>
            </w:r>
          </w:p>
        </w:tc>
        <w:tc>
          <w:tcPr>
            <w:tcW w:w="3260" w:type="dxa"/>
            <w:tcBorders>
              <w:top w:val="nil"/>
              <w:bottom w:val="nil"/>
            </w:tcBorders>
          </w:tcPr>
          <w:p w:rsidR="00000000" w:rsidRDefault="00000000">
            <w:pPr>
              <w:spacing w:after="120"/>
              <w:rPr>
                <w:sz w:val="20"/>
              </w:rPr>
            </w:pPr>
            <w:r>
              <w:rPr>
                <w:sz w:val="20"/>
              </w:rPr>
              <w:t>Improve living conditions of families with incomes of up to three minimum salaries that live in substandard settlements in urban agglomerations.  This is to be accomplished by integrated housing, sanitation, and urban infrastructure initiatives</w:t>
            </w:r>
          </w:p>
        </w:tc>
        <w:tc>
          <w:tcPr>
            <w:tcW w:w="2835" w:type="dxa"/>
            <w:tcBorders>
              <w:top w:val="nil"/>
              <w:bottom w:val="nil"/>
            </w:tcBorders>
          </w:tcPr>
          <w:p w:rsidR="00000000" w:rsidRDefault="00000000">
            <w:pPr>
              <w:rPr>
                <w:sz w:val="20"/>
              </w:rPr>
            </w:pPr>
            <w:r>
              <w:rPr>
                <w:sz w:val="20"/>
              </w:rPr>
              <w:t xml:space="preserve">State budget </w:t>
            </w:r>
            <w:r>
              <w:rPr>
                <w:sz w:val="20"/>
              </w:rPr>
              <w:noBreakHyphen/>
              <w:t xml:space="preserve">          701 922 693</w:t>
            </w:r>
          </w:p>
          <w:p w:rsidR="00000000" w:rsidRDefault="00000000">
            <w:pPr>
              <w:rPr>
                <w:sz w:val="20"/>
              </w:rPr>
            </w:pPr>
            <w:r>
              <w:rPr>
                <w:sz w:val="20"/>
              </w:rPr>
              <w:t xml:space="preserve">           Other </w:t>
            </w:r>
            <w:r>
              <w:rPr>
                <w:sz w:val="20"/>
              </w:rPr>
              <w:noBreakHyphen/>
              <w:t xml:space="preserve">      3 024 333 014</w:t>
            </w:r>
          </w:p>
          <w:p w:rsidR="00000000" w:rsidRDefault="00000000">
            <w:pPr>
              <w:rPr>
                <w:sz w:val="20"/>
              </w:rPr>
            </w:pPr>
            <w:r>
              <w:rPr>
                <w:sz w:val="20"/>
              </w:rPr>
              <w:t xml:space="preserve">            Total </w:t>
            </w:r>
            <w:r>
              <w:rPr>
                <w:sz w:val="20"/>
              </w:rPr>
              <w:noBreakHyphen/>
              <w:t xml:space="preserve">      3 726 255 707</w:t>
            </w:r>
          </w:p>
        </w:tc>
      </w:tr>
      <w:tr w:rsidR="00000000">
        <w:tblPrEx>
          <w:tblCellMar>
            <w:top w:w="0" w:type="dxa"/>
            <w:bottom w:w="0" w:type="dxa"/>
          </w:tblCellMar>
        </w:tblPrEx>
        <w:tc>
          <w:tcPr>
            <w:tcW w:w="3261" w:type="dxa"/>
            <w:tcBorders>
              <w:top w:val="nil"/>
              <w:bottom w:val="nil"/>
            </w:tcBorders>
          </w:tcPr>
          <w:p w:rsidR="00000000" w:rsidRDefault="00000000">
            <w:pPr>
              <w:spacing w:after="120"/>
              <w:rPr>
                <w:sz w:val="20"/>
              </w:rPr>
            </w:pPr>
            <w:r>
              <w:rPr>
                <w:sz w:val="20"/>
              </w:rPr>
              <w:t>Live Better</w:t>
            </w:r>
          </w:p>
        </w:tc>
        <w:tc>
          <w:tcPr>
            <w:tcW w:w="3260" w:type="dxa"/>
            <w:tcBorders>
              <w:top w:val="nil"/>
              <w:bottom w:val="nil"/>
            </w:tcBorders>
          </w:tcPr>
          <w:p w:rsidR="00000000" w:rsidRDefault="00000000">
            <w:pPr>
              <w:spacing w:after="120"/>
              <w:rPr>
                <w:sz w:val="20"/>
              </w:rPr>
            </w:pPr>
            <w:r>
              <w:rPr>
                <w:sz w:val="20"/>
              </w:rPr>
              <w:t>Make basic sanitation services universal, reduce the national housing deficit, and improve urban infrastructure for the population victims of social exclusion</w:t>
            </w:r>
          </w:p>
        </w:tc>
        <w:tc>
          <w:tcPr>
            <w:tcW w:w="2835" w:type="dxa"/>
            <w:tcBorders>
              <w:top w:val="nil"/>
              <w:bottom w:val="nil"/>
            </w:tcBorders>
          </w:tcPr>
          <w:p w:rsidR="00000000" w:rsidRDefault="00000000">
            <w:pPr>
              <w:rPr>
                <w:sz w:val="20"/>
              </w:rPr>
            </w:pPr>
            <w:r>
              <w:rPr>
                <w:sz w:val="20"/>
              </w:rPr>
              <w:t xml:space="preserve">State budget </w:t>
            </w:r>
            <w:r>
              <w:rPr>
                <w:sz w:val="20"/>
              </w:rPr>
              <w:noBreakHyphen/>
              <w:t xml:space="preserve">          297 260 376</w:t>
            </w:r>
          </w:p>
          <w:p w:rsidR="00000000" w:rsidRDefault="00000000">
            <w:pPr>
              <w:rPr>
                <w:sz w:val="20"/>
              </w:rPr>
            </w:pPr>
            <w:r>
              <w:rPr>
                <w:sz w:val="20"/>
              </w:rPr>
              <w:t xml:space="preserve">           Other </w:t>
            </w:r>
            <w:r>
              <w:rPr>
                <w:sz w:val="20"/>
              </w:rPr>
              <w:noBreakHyphen/>
              <w:t xml:space="preserve">           14 729 185</w:t>
            </w:r>
          </w:p>
          <w:p w:rsidR="00000000" w:rsidRDefault="00000000">
            <w:pPr>
              <w:rPr>
                <w:sz w:val="20"/>
              </w:rPr>
            </w:pPr>
            <w:r>
              <w:rPr>
                <w:sz w:val="20"/>
              </w:rPr>
              <w:t xml:space="preserve">            Total </w:t>
            </w:r>
            <w:r>
              <w:rPr>
                <w:sz w:val="20"/>
              </w:rPr>
              <w:noBreakHyphen/>
              <w:t xml:space="preserve">         311 989 561</w:t>
            </w:r>
          </w:p>
        </w:tc>
      </w:tr>
      <w:tr w:rsidR="00000000">
        <w:tblPrEx>
          <w:tblCellMar>
            <w:top w:w="0" w:type="dxa"/>
            <w:bottom w:w="0" w:type="dxa"/>
          </w:tblCellMar>
        </w:tblPrEx>
        <w:tc>
          <w:tcPr>
            <w:tcW w:w="3261" w:type="dxa"/>
            <w:tcBorders>
              <w:top w:val="nil"/>
              <w:bottom w:val="nil"/>
            </w:tcBorders>
          </w:tcPr>
          <w:p w:rsidR="00000000" w:rsidRDefault="00000000">
            <w:pPr>
              <w:spacing w:after="120"/>
              <w:rPr>
                <w:sz w:val="20"/>
              </w:rPr>
            </w:pPr>
            <w:r>
              <w:rPr>
                <w:sz w:val="20"/>
              </w:rPr>
              <w:t>My Home</w:t>
            </w:r>
          </w:p>
        </w:tc>
        <w:tc>
          <w:tcPr>
            <w:tcW w:w="3260" w:type="dxa"/>
            <w:tcBorders>
              <w:top w:val="nil"/>
              <w:bottom w:val="nil"/>
            </w:tcBorders>
          </w:tcPr>
          <w:p w:rsidR="00000000" w:rsidRDefault="00000000">
            <w:pPr>
              <w:spacing w:after="120"/>
              <w:rPr>
                <w:sz w:val="20"/>
              </w:rPr>
            </w:pPr>
            <w:r>
              <w:rPr>
                <w:sz w:val="20"/>
              </w:rPr>
              <w:t>Permit low</w:t>
            </w:r>
            <w:r>
              <w:rPr>
                <w:sz w:val="20"/>
              </w:rPr>
              <w:noBreakHyphen/>
              <w:t>income families living in urban agglomerations, metropolitan areas and State capitals to have access to housing through rental with option to buy</w:t>
            </w:r>
          </w:p>
        </w:tc>
        <w:tc>
          <w:tcPr>
            <w:tcW w:w="2835" w:type="dxa"/>
            <w:tcBorders>
              <w:top w:val="nil"/>
              <w:bottom w:val="nil"/>
            </w:tcBorders>
          </w:tcPr>
          <w:p w:rsidR="00000000" w:rsidRDefault="00000000">
            <w:pPr>
              <w:rPr>
                <w:sz w:val="20"/>
              </w:rPr>
            </w:pPr>
            <w:r>
              <w:rPr>
                <w:sz w:val="20"/>
              </w:rPr>
              <w:t xml:space="preserve">State budget </w:t>
            </w:r>
            <w:r>
              <w:rPr>
                <w:sz w:val="20"/>
              </w:rPr>
              <w:noBreakHyphen/>
              <w:t xml:space="preserve">                            0</w:t>
            </w:r>
          </w:p>
          <w:p w:rsidR="00000000" w:rsidRDefault="00000000">
            <w:pPr>
              <w:rPr>
                <w:sz w:val="20"/>
              </w:rPr>
            </w:pPr>
            <w:r>
              <w:rPr>
                <w:sz w:val="20"/>
              </w:rPr>
              <w:t xml:space="preserve">          Other </w:t>
            </w:r>
            <w:r>
              <w:rPr>
                <w:sz w:val="20"/>
              </w:rPr>
              <w:noBreakHyphen/>
              <w:t xml:space="preserve">          495 000 000</w:t>
            </w:r>
          </w:p>
          <w:p w:rsidR="00000000" w:rsidRDefault="00000000">
            <w:pPr>
              <w:rPr>
                <w:sz w:val="20"/>
              </w:rPr>
            </w:pPr>
            <w:r>
              <w:rPr>
                <w:sz w:val="20"/>
              </w:rPr>
              <w:t xml:space="preserve">           Total </w:t>
            </w:r>
            <w:r>
              <w:rPr>
                <w:sz w:val="20"/>
              </w:rPr>
              <w:noBreakHyphen/>
              <w:t xml:space="preserve">          495 000 000</w:t>
            </w:r>
          </w:p>
        </w:tc>
      </w:tr>
      <w:tr w:rsidR="00000000">
        <w:tblPrEx>
          <w:tblCellMar>
            <w:top w:w="0" w:type="dxa"/>
            <w:bottom w:w="0" w:type="dxa"/>
          </w:tblCellMar>
        </w:tblPrEx>
        <w:tc>
          <w:tcPr>
            <w:tcW w:w="3261" w:type="dxa"/>
            <w:tcBorders>
              <w:top w:val="nil"/>
              <w:bottom w:val="nil"/>
            </w:tcBorders>
          </w:tcPr>
          <w:p w:rsidR="00000000" w:rsidRDefault="00000000">
            <w:pPr>
              <w:spacing w:after="120"/>
              <w:rPr>
                <w:sz w:val="20"/>
              </w:rPr>
            </w:pPr>
            <w:r>
              <w:rPr>
                <w:sz w:val="20"/>
              </w:rPr>
              <w:t>Urban Management</w:t>
            </w:r>
          </w:p>
        </w:tc>
        <w:tc>
          <w:tcPr>
            <w:tcW w:w="3260" w:type="dxa"/>
            <w:tcBorders>
              <w:top w:val="nil"/>
              <w:bottom w:val="nil"/>
            </w:tcBorders>
          </w:tcPr>
          <w:p w:rsidR="00000000" w:rsidRDefault="00000000">
            <w:pPr>
              <w:spacing w:after="120"/>
              <w:rPr>
                <w:sz w:val="20"/>
              </w:rPr>
            </w:pPr>
            <w:r>
              <w:rPr>
                <w:sz w:val="20"/>
              </w:rPr>
              <w:t>Increase the efficiency and effectiveness of urban management and the quality and productivity of the production of basic sanitation and transportation services</w:t>
            </w:r>
          </w:p>
        </w:tc>
        <w:tc>
          <w:tcPr>
            <w:tcW w:w="2835" w:type="dxa"/>
            <w:tcBorders>
              <w:top w:val="nil"/>
              <w:bottom w:val="nil"/>
            </w:tcBorders>
          </w:tcPr>
          <w:p w:rsidR="00000000" w:rsidRDefault="00000000">
            <w:pPr>
              <w:rPr>
                <w:sz w:val="20"/>
              </w:rPr>
            </w:pPr>
            <w:r>
              <w:rPr>
                <w:sz w:val="20"/>
              </w:rPr>
              <w:t xml:space="preserve">State budget </w:t>
            </w:r>
            <w:r>
              <w:rPr>
                <w:sz w:val="20"/>
              </w:rPr>
              <w:noBreakHyphen/>
              <w:t xml:space="preserve">            65 167 940</w:t>
            </w:r>
          </w:p>
          <w:p w:rsidR="00000000" w:rsidRDefault="00000000">
            <w:pPr>
              <w:rPr>
                <w:sz w:val="20"/>
              </w:rPr>
            </w:pPr>
            <w:r>
              <w:rPr>
                <w:sz w:val="20"/>
              </w:rPr>
              <w:t xml:space="preserve">           Other </w:t>
            </w:r>
            <w:r>
              <w:rPr>
                <w:sz w:val="20"/>
              </w:rPr>
              <w:noBreakHyphen/>
              <w:t xml:space="preserve">         772 009 644</w:t>
            </w:r>
          </w:p>
          <w:p w:rsidR="00000000" w:rsidRDefault="00000000">
            <w:pPr>
              <w:rPr>
                <w:sz w:val="20"/>
              </w:rPr>
            </w:pPr>
            <w:r>
              <w:rPr>
                <w:sz w:val="20"/>
              </w:rPr>
              <w:t xml:space="preserve">            Total </w:t>
            </w:r>
            <w:r>
              <w:rPr>
                <w:sz w:val="20"/>
              </w:rPr>
              <w:noBreakHyphen/>
              <w:t xml:space="preserve">         837 177 584</w:t>
            </w:r>
          </w:p>
        </w:tc>
      </w:tr>
      <w:tr w:rsidR="00000000">
        <w:tblPrEx>
          <w:tblCellMar>
            <w:top w:w="0" w:type="dxa"/>
            <w:bottom w:w="0" w:type="dxa"/>
          </w:tblCellMar>
        </w:tblPrEx>
        <w:tc>
          <w:tcPr>
            <w:tcW w:w="3261" w:type="dxa"/>
            <w:tcBorders>
              <w:top w:val="nil"/>
              <w:bottom w:val="nil"/>
            </w:tcBorders>
          </w:tcPr>
          <w:p w:rsidR="00000000" w:rsidRDefault="00000000">
            <w:pPr>
              <w:spacing w:after="120"/>
              <w:rPr>
                <w:sz w:val="20"/>
              </w:rPr>
            </w:pPr>
            <w:r>
              <w:rPr>
                <w:sz w:val="20"/>
              </w:rPr>
              <w:t>Letter of Credit</w:t>
            </w:r>
          </w:p>
        </w:tc>
        <w:tc>
          <w:tcPr>
            <w:tcW w:w="3260" w:type="dxa"/>
            <w:tcBorders>
              <w:top w:val="nil"/>
              <w:bottom w:val="nil"/>
            </w:tcBorders>
          </w:tcPr>
          <w:p w:rsidR="00000000" w:rsidRDefault="00000000">
            <w:pPr>
              <w:spacing w:after="120"/>
              <w:rPr>
                <w:sz w:val="20"/>
              </w:rPr>
            </w:pPr>
            <w:r>
              <w:rPr>
                <w:sz w:val="20"/>
              </w:rPr>
              <w:t>Reduce the quantitative and qualitative housing deficit of the urban population with a monthly income of up to 20 minimum salaries</w:t>
            </w:r>
          </w:p>
        </w:tc>
        <w:tc>
          <w:tcPr>
            <w:tcW w:w="2835" w:type="dxa"/>
            <w:tcBorders>
              <w:top w:val="nil"/>
              <w:bottom w:val="nil"/>
            </w:tcBorders>
          </w:tcPr>
          <w:p w:rsidR="00000000" w:rsidRDefault="00000000">
            <w:pPr>
              <w:rPr>
                <w:sz w:val="20"/>
              </w:rPr>
            </w:pPr>
            <w:r>
              <w:rPr>
                <w:sz w:val="20"/>
              </w:rPr>
              <w:t xml:space="preserve">State budget </w:t>
            </w:r>
            <w:r>
              <w:rPr>
                <w:sz w:val="20"/>
              </w:rPr>
              <w:noBreakHyphen/>
              <w:t xml:space="preserve">                            0</w:t>
            </w:r>
          </w:p>
          <w:p w:rsidR="00000000" w:rsidRDefault="00000000">
            <w:pPr>
              <w:rPr>
                <w:sz w:val="20"/>
              </w:rPr>
            </w:pPr>
            <w:r>
              <w:rPr>
                <w:sz w:val="20"/>
              </w:rPr>
              <w:t xml:space="preserve">          Other </w:t>
            </w:r>
            <w:r>
              <w:rPr>
                <w:sz w:val="20"/>
              </w:rPr>
              <w:noBreakHyphen/>
              <w:t xml:space="preserve">          984 000 000</w:t>
            </w:r>
          </w:p>
          <w:p w:rsidR="00000000" w:rsidRDefault="00000000">
            <w:pPr>
              <w:rPr>
                <w:sz w:val="20"/>
              </w:rPr>
            </w:pPr>
            <w:r>
              <w:rPr>
                <w:sz w:val="20"/>
              </w:rPr>
              <w:t xml:space="preserve">          Total </w:t>
            </w:r>
            <w:r>
              <w:rPr>
                <w:sz w:val="20"/>
              </w:rPr>
              <w:noBreakHyphen/>
              <w:t xml:space="preserve">           984 000 000</w:t>
            </w:r>
          </w:p>
        </w:tc>
      </w:tr>
      <w:tr w:rsidR="00000000">
        <w:tblPrEx>
          <w:tblCellMar>
            <w:top w:w="0" w:type="dxa"/>
            <w:bottom w:w="0" w:type="dxa"/>
          </w:tblCellMar>
        </w:tblPrEx>
        <w:tc>
          <w:tcPr>
            <w:tcW w:w="3261" w:type="dxa"/>
            <w:tcBorders>
              <w:top w:val="nil"/>
            </w:tcBorders>
          </w:tcPr>
          <w:p w:rsidR="00000000" w:rsidRDefault="00000000">
            <w:pPr>
              <w:tabs>
                <w:tab w:val="left" w:pos="176"/>
              </w:tabs>
              <w:rPr>
                <w:sz w:val="20"/>
              </w:rPr>
            </w:pPr>
            <w:r>
              <w:rPr>
                <w:sz w:val="20"/>
              </w:rPr>
              <w:t>Total Investment Planned</w:t>
            </w:r>
          </w:p>
          <w:p w:rsidR="00000000" w:rsidRDefault="00000000">
            <w:pPr>
              <w:tabs>
                <w:tab w:val="left" w:pos="176"/>
              </w:tabs>
              <w:spacing w:after="120"/>
              <w:rPr>
                <w:sz w:val="20"/>
              </w:rPr>
            </w:pPr>
            <w:r>
              <w:rPr>
                <w:sz w:val="20"/>
              </w:rPr>
              <w:t>2000</w:t>
            </w:r>
            <w:r>
              <w:rPr>
                <w:sz w:val="20"/>
              </w:rPr>
              <w:noBreakHyphen/>
              <w:t>2003</w:t>
            </w:r>
          </w:p>
        </w:tc>
        <w:tc>
          <w:tcPr>
            <w:tcW w:w="3260" w:type="dxa"/>
            <w:tcBorders>
              <w:top w:val="nil"/>
            </w:tcBorders>
          </w:tcPr>
          <w:p w:rsidR="00000000" w:rsidRDefault="00000000">
            <w:pPr>
              <w:spacing w:after="120"/>
              <w:rPr>
                <w:sz w:val="20"/>
              </w:rPr>
            </w:pPr>
          </w:p>
        </w:tc>
        <w:tc>
          <w:tcPr>
            <w:tcW w:w="2835" w:type="dxa"/>
            <w:tcBorders>
              <w:top w:val="nil"/>
            </w:tcBorders>
          </w:tcPr>
          <w:p w:rsidR="00000000" w:rsidRDefault="00000000">
            <w:pPr>
              <w:rPr>
                <w:sz w:val="20"/>
              </w:rPr>
            </w:pPr>
            <w:r>
              <w:rPr>
                <w:sz w:val="20"/>
              </w:rPr>
              <w:t xml:space="preserve">State budget </w:t>
            </w:r>
            <w:r>
              <w:rPr>
                <w:sz w:val="20"/>
              </w:rPr>
              <w:noBreakHyphen/>
              <w:t xml:space="preserve">       1 087 874 137</w:t>
            </w:r>
          </w:p>
          <w:p w:rsidR="00000000" w:rsidRDefault="00000000">
            <w:pPr>
              <w:rPr>
                <w:sz w:val="20"/>
              </w:rPr>
            </w:pPr>
            <w:r>
              <w:rPr>
                <w:sz w:val="20"/>
              </w:rPr>
              <w:t xml:space="preserve">          Other </w:t>
            </w:r>
            <w:r>
              <w:rPr>
                <w:sz w:val="20"/>
              </w:rPr>
              <w:noBreakHyphen/>
              <w:t xml:space="preserve">       6 098 494 283</w:t>
            </w:r>
          </w:p>
          <w:p w:rsidR="00000000" w:rsidRDefault="00000000">
            <w:pPr>
              <w:rPr>
                <w:sz w:val="20"/>
              </w:rPr>
            </w:pPr>
            <w:r>
              <w:rPr>
                <w:sz w:val="20"/>
              </w:rPr>
              <w:t xml:space="preserve">          Total </w:t>
            </w:r>
            <w:r>
              <w:rPr>
                <w:sz w:val="20"/>
              </w:rPr>
              <w:noBreakHyphen/>
              <w:t xml:space="preserve">        7 186 368 420</w:t>
            </w:r>
          </w:p>
        </w:tc>
      </w:tr>
    </w:tbl>
    <w:p w:rsidR="00000000" w:rsidRDefault="00000000"/>
    <w:p w:rsidR="00000000" w:rsidRDefault="00000000">
      <w:r>
        <w:tab/>
      </w:r>
      <w:r>
        <w:rPr>
          <w:u w:val="single"/>
        </w:rPr>
        <w:t>Source</w:t>
      </w:r>
      <w:r>
        <w:t>:   PPA.</w:t>
      </w:r>
    </w:p>
    <w:p w:rsidR="00000000" w:rsidRDefault="00000000">
      <w:pPr>
        <w:pStyle w:val="ParaNo"/>
        <w:tabs>
          <w:tab w:val="clear" w:pos="360"/>
          <w:tab w:val="clear" w:pos="737"/>
        </w:tabs>
        <w:rPr>
          <w:lang w:val="en-GB"/>
        </w:rPr>
      </w:pPr>
      <w:r>
        <w:rPr>
          <w:lang w:val="en-GB"/>
        </w:rPr>
        <w:t>It should be noted that the PPA only indicates the investment planned for 2000</w:t>
      </w:r>
      <w:r>
        <w:rPr>
          <w:lang w:val="en-GB"/>
        </w:rPr>
        <w:noBreakHyphen/>
        <w:t>2003 in urban development programmes; it is currently awaiting approval by the National Congress, which may subject it to cuts and changes.</w:t>
      </w:r>
    </w:p>
    <w:p w:rsidR="00000000" w:rsidRDefault="00000000"/>
    <w:p w:rsidR="00000000" w:rsidRDefault="00000000">
      <w:pPr>
        <w:pStyle w:val="ParaNo"/>
        <w:tabs>
          <w:tab w:val="clear" w:pos="360"/>
          <w:tab w:val="clear" w:pos="737"/>
        </w:tabs>
        <w:rPr>
          <w:lang w:val="en-GB"/>
        </w:rPr>
      </w:pPr>
      <w:r>
        <w:rPr>
          <w:lang w:val="en-GB"/>
        </w:rPr>
        <w:t>According to article 182, paragraph 4, of the Federal Constitution, the municipal government may, by means of a specific law regarding areas included in the master plan, demand, in accordance with federal law, that the owner of unbuilt, underutilized, or unutilized urban land provide for the adequate use thereof, under penalty of the following in succession:  compulsory subdivision or construction; progressive urban property and land tax; and expropriation.</w:t>
      </w:r>
    </w:p>
    <w:p w:rsidR="00000000" w:rsidRDefault="00000000"/>
    <w:p w:rsidR="00000000" w:rsidRDefault="00000000">
      <w:pPr>
        <w:pStyle w:val="ParaNo"/>
        <w:tabs>
          <w:tab w:val="clear" w:pos="360"/>
          <w:tab w:val="clear" w:pos="737"/>
        </w:tabs>
        <w:rPr>
          <w:lang w:val="en-GB"/>
        </w:rPr>
      </w:pPr>
      <w:r>
        <w:rPr>
          <w:lang w:val="en-GB"/>
        </w:rPr>
        <w:t>In commenting on the housing issue, the Government mentioned measures adopted at the federal level to solve housing problems.  It is important to note that additional measures will be adopted by states and municipalities within their respective competence.  With respect to federal legislation on the housing sector, the following basic laws should be mentioned:</w:t>
      </w:r>
    </w:p>
    <w:p w:rsidR="00000000" w:rsidRDefault="00000000"/>
    <w:p w:rsidR="00000000" w:rsidRDefault="00000000">
      <w:pPr>
        <w:ind w:left="720"/>
      </w:pPr>
      <w:r>
        <w:t>Expropriation (Decree</w:t>
      </w:r>
      <w:r>
        <w:noBreakHyphen/>
        <w:t>Law No. 3365/41); recently amended by Law 9785/99;</w:t>
      </w:r>
    </w:p>
    <w:p w:rsidR="00000000" w:rsidRDefault="00000000">
      <w:pPr>
        <w:ind w:left="720"/>
      </w:pPr>
    </w:p>
    <w:p w:rsidR="00000000" w:rsidRDefault="00000000">
      <w:pPr>
        <w:ind w:left="720"/>
      </w:pPr>
      <w:r>
        <w:t>Housing Financing System</w:t>
      </w:r>
      <w:r>
        <w:noBreakHyphen/>
        <w:t>SFH (Law 4380/64); outdated, it should be subject to harmonization with the other laws on this matter;</w:t>
      </w:r>
    </w:p>
    <w:p w:rsidR="00000000" w:rsidRDefault="00000000">
      <w:pPr>
        <w:ind w:left="720"/>
      </w:pPr>
    </w:p>
    <w:p w:rsidR="00000000" w:rsidRDefault="00000000">
      <w:pPr>
        <w:ind w:left="720"/>
      </w:pPr>
      <w:r>
        <w:t>Extrajudicial execution (Decree</w:t>
      </w:r>
      <w:r>
        <w:noBreakHyphen/>
        <w:t>Law No. 70/66);</w:t>
      </w:r>
    </w:p>
    <w:p w:rsidR="00000000" w:rsidRDefault="00000000">
      <w:pPr>
        <w:ind w:left="720"/>
      </w:pPr>
    </w:p>
    <w:p w:rsidR="00000000" w:rsidRDefault="00000000">
      <w:pPr>
        <w:ind w:left="720"/>
      </w:pPr>
      <w:r>
        <w:t>Real Estate Incorporations (Law 4591/64); should be changed so as to ensure greater juridical security for buyers of real property still on the drafting board;</w:t>
      </w:r>
    </w:p>
    <w:p w:rsidR="00000000" w:rsidRDefault="00000000">
      <w:pPr>
        <w:ind w:left="720"/>
      </w:pPr>
    </w:p>
    <w:p w:rsidR="00000000" w:rsidRDefault="00000000">
      <w:pPr>
        <w:ind w:left="720"/>
      </w:pPr>
      <w:r>
        <w:t>Special SFH execution (Law 5741/71); should be changed to expedite the repossession of real property and expand the imputation of crime to anyone that invades or occupies real property earmarked for the Government’s housing programme;</w:t>
      </w:r>
    </w:p>
    <w:p w:rsidR="00000000" w:rsidRDefault="00000000">
      <w:pPr>
        <w:ind w:left="720"/>
      </w:pPr>
    </w:p>
    <w:p w:rsidR="00000000" w:rsidRDefault="00000000">
      <w:pPr>
        <w:ind w:left="720"/>
      </w:pPr>
      <w:r>
        <w:t>Public records (Law 6015/73); has been simplified by Law 9785/99 providing for debureacratization and reduction of costs;</w:t>
      </w:r>
    </w:p>
    <w:p w:rsidR="00000000" w:rsidRDefault="00000000">
      <w:pPr>
        <w:ind w:left="720"/>
      </w:pPr>
    </w:p>
    <w:p w:rsidR="00000000" w:rsidRDefault="00000000">
      <w:pPr>
        <w:ind w:left="720"/>
      </w:pPr>
      <w:r>
        <w:t>Urban land subdivision (Law 6766/79); its recent amendment by Law 9785/99 should be continued for further improvement;</w:t>
      </w:r>
    </w:p>
    <w:p w:rsidR="00000000" w:rsidRDefault="00000000">
      <w:pPr>
        <w:ind w:left="720"/>
      </w:pPr>
    </w:p>
    <w:p w:rsidR="00000000" w:rsidRDefault="00000000">
      <w:pPr>
        <w:ind w:left="720"/>
      </w:pPr>
      <w:r>
        <w:t>Documentation required for property acquisition through the SFH (Law 6748/79); should also be made compatible with Law 4380/64 (SFH);</w:t>
      </w:r>
    </w:p>
    <w:p w:rsidR="00000000" w:rsidRDefault="00000000">
      <w:pPr>
        <w:ind w:left="720"/>
      </w:pPr>
    </w:p>
    <w:p w:rsidR="00000000" w:rsidRDefault="00000000">
      <w:pPr>
        <w:ind w:left="720"/>
      </w:pPr>
      <w:r>
        <w:t>Public deeds (Law 7433/85); changed so as to reduce the large number of required documents, which is incompatible with small</w:t>
      </w:r>
      <w:r>
        <w:noBreakHyphen/>
        <w:t xml:space="preserve"> and medium</w:t>
      </w:r>
      <w:r>
        <w:noBreakHyphen/>
        <w:t xml:space="preserve">sized real estate markets.  This law has significantly reduced the number of documents required for the recording of public deeds.  Further simplification might entail less juridical security for the parties.  Law 8009/90 prohibits the attachment of family property, placing it out of the reach of creditors.  But the law could foresee civil suits by the seller’s creditors, so that the latter </w:t>
      </w:r>
    </w:p>
    <w:p w:rsidR="00000000" w:rsidRDefault="00000000">
      <w:pPr>
        <w:ind w:left="720"/>
      </w:pPr>
      <w:r>
        <w:br w:type="page"/>
        <w:t>could be exempted from the exceptions under the Family Property Law that do not hinder the sale of said family property, as creditors could not in any case have it legally attached.  Rather than benefiting the debtor, this provision would have the effect of facilitating the circulation of property within the Housing Financing System and preventing the ill</w:t>
      </w:r>
      <w:r>
        <w:noBreakHyphen/>
        <w:t>famed pro</w:t>
      </w:r>
      <w:r>
        <w:noBreakHyphen/>
        <w:t xml:space="preserve">forma contracts known as </w:t>
      </w:r>
      <w:r>
        <w:rPr>
          <w:u w:val="single"/>
        </w:rPr>
        <w:t>contratos de gaveta</w:t>
      </w:r>
      <w:r>
        <w:t xml:space="preserve"> (drawer contracts);</w:t>
      </w:r>
    </w:p>
    <w:p w:rsidR="00000000" w:rsidRDefault="00000000">
      <w:pPr>
        <w:ind w:left="720"/>
      </w:pPr>
    </w:p>
    <w:p w:rsidR="00000000" w:rsidRDefault="00000000">
      <w:pPr>
        <w:ind w:left="720"/>
      </w:pPr>
      <w:r>
        <w:t>Criteria for readjusting the value of contractual obligations related to the alienation of real property not subject to SFH norms, to which Law 7774/89 refers (Law 7989/89).  This Law regulates the indexing of some contracts foreseen in the previous law.  In view of the latest Economic Plan that did away with indexing and its attendant regulation, this law has lost its meaning and can thus be considered virtually revoked;</w:t>
      </w:r>
    </w:p>
    <w:p w:rsidR="00000000" w:rsidRDefault="00000000">
      <w:pPr>
        <w:ind w:left="720"/>
      </w:pPr>
    </w:p>
    <w:p w:rsidR="00000000" w:rsidRDefault="00000000">
      <w:pPr>
        <w:ind w:left="720"/>
      </w:pPr>
      <w:r>
        <w:t>Transfer of financing under the Housing Financing System (Law 8004/90); appropriate changes in this law are the object of Provisional Measure MP 1768</w:t>
      </w:r>
      <w:r>
        <w:noBreakHyphen/>
        <w:t>31/99, which establishes a new regulation for the Compensation for Salary Variations Fund</w:t>
      </w:r>
      <w:r>
        <w:noBreakHyphen/>
        <w:t>FCVS;</w:t>
      </w:r>
    </w:p>
    <w:p w:rsidR="00000000" w:rsidRDefault="00000000">
      <w:pPr>
        <w:ind w:left="720"/>
      </w:pPr>
    </w:p>
    <w:p w:rsidR="00000000" w:rsidRDefault="00000000">
      <w:pPr>
        <w:ind w:left="720"/>
      </w:pPr>
      <w:r>
        <w:t>Readjustment of agreed payments under financing contracts signed in the framework of the Housing Financing System, linked to the Salary Equivalence Plan (Law 8100/90); appropriate changes in this law are contemplated in MP 1768</w:t>
      </w:r>
      <w:r>
        <w:noBreakHyphen/>
        <w:t>31/99, which establishes a new FCVS regulation;</w:t>
      </w:r>
    </w:p>
    <w:p w:rsidR="00000000" w:rsidRDefault="00000000">
      <w:pPr>
        <w:ind w:left="720"/>
      </w:pPr>
    </w:p>
    <w:p w:rsidR="00000000" w:rsidRDefault="00000000">
      <w:pPr>
        <w:ind w:left="720"/>
      </w:pPr>
      <w:r>
        <w:t>Leasing of urban real property and pertinent procedures (Law 8245/91</w:t>
      </w:r>
      <w:r>
        <w:noBreakHyphen/>
        <w:t>Tenancy Law).  The change pointed out is to be made according to the government plan for social leasing, geared particularly to sub</w:t>
      </w:r>
      <w:r>
        <w:noBreakHyphen/>
        <w:t>letting and collective housing;</w:t>
      </w:r>
    </w:p>
    <w:p w:rsidR="00000000" w:rsidRDefault="00000000">
      <w:pPr>
        <w:ind w:left="720"/>
      </w:pPr>
    </w:p>
    <w:p w:rsidR="00000000" w:rsidRDefault="00000000">
      <w:pPr>
        <w:ind w:left="720"/>
      </w:pPr>
      <w:r>
        <w:t>Readjustment of monthly payments and outstanding balance under housing financing contracts under the Housing Financing system (Law 8692/93); recently changed by MP 1762</w:t>
      </w:r>
      <w:r>
        <w:noBreakHyphen/>
        <w:t>/99 and MP 1768</w:t>
      </w:r>
      <w:r>
        <w:noBreakHyphen/>
        <w:t>31/99;</w:t>
      </w:r>
    </w:p>
    <w:p w:rsidR="00000000" w:rsidRDefault="00000000">
      <w:pPr>
        <w:ind w:left="720"/>
      </w:pPr>
    </w:p>
    <w:p w:rsidR="00000000" w:rsidRDefault="00000000">
      <w:pPr>
        <w:ind w:left="720"/>
      </w:pPr>
      <w:r>
        <w:t xml:space="preserve">Consolidation of FGTS norms </w:t>
      </w:r>
      <w:r>
        <w:noBreakHyphen/>
        <w:t xml:space="preserve"> Decree No. 99684/90 (Law 8036/90); recently changed by MP 1691/98);</w:t>
      </w:r>
    </w:p>
    <w:p w:rsidR="00000000" w:rsidRDefault="00000000">
      <w:pPr>
        <w:ind w:left="720"/>
      </w:pPr>
    </w:p>
    <w:p w:rsidR="00000000" w:rsidRDefault="00000000">
      <w:pPr>
        <w:ind w:left="720"/>
      </w:pPr>
      <w:r>
        <w:t>Real Property System (Law 9514/97);</w:t>
      </w:r>
    </w:p>
    <w:p w:rsidR="00000000" w:rsidRDefault="00000000">
      <w:pPr>
        <w:ind w:left="720"/>
      </w:pPr>
    </w:p>
    <w:p w:rsidR="00000000" w:rsidRDefault="00000000">
      <w:pPr>
        <w:ind w:left="720"/>
      </w:pPr>
      <w:r>
        <w:t>MP 1762</w:t>
      </w:r>
      <w:r>
        <w:noBreakHyphen/>
        <w:t xml:space="preserve"> /99 adopts measures related to the Housing Financing System</w:t>
      </w:r>
      <w:r>
        <w:noBreakHyphen/>
        <w:t>SFH, changing Law 4380 of 21 August 1964, Law 8036 of 11 May 1990 and Law 8692 of 28 July 1993 and makes other provisions; and</w:t>
      </w:r>
    </w:p>
    <w:p w:rsidR="00000000" w:rsidRDefault="00000000">
      <w:pPr>
        <w:ind w:left="720"/>
      </w:pPr>
    </w:p>
    <w:p w:rsidR="00000000" w:rsidRDefault="00000000">
      <w:pPr>
        <w:ind w:left="720"/>
      </w:pPr>
      <w:r>
        <w:t>MP 1768</w:t>
      </w:r>
      <w:r>
        <w:noBreakHyphen/>
        <w:t>31/99 provided for renewal of debts and obligations to FCVS; changes Decree</w:t>
      </w:r>
      <w:r>
        <w:noBreakHyphen/>
        <w:t xml:space="preserve">Law No. 2406, of 5 January 1988 and Law 8004 of 14 March 1990, Law 8100 of 5 December 1990 and Law 8692 of 28 July1993, and makes other provisions.  </w:t>
      </w:r>
    </w:p>
    <w:p w:rsidR="00000000" w:rsidRDefault="00000000"/>
    <w:p w:rsidR="00000000" w:rsidRDefault="00000000">
      <w:pPr>
        <w:pStyle w:val="ParaNo"/>
        <w:tabs>
          <w:tab w:val="clear" w:pos="360"/>
          <w:tab w:val="clear" w:pos="737"/>
        </w:tabs>
        <w:rPr>
          <w:lang w:val="en-GB"/>
        </w:rPr>
      </w:pPr>
      <w:r>
        <w:rPr>
          <w:lang w:val="en-GB"/>
        </w:rPr>
        <w:t>The following laws are municipal legislation related to the housing sector:</w:t>
      </w:r>
      <w:r>
        <w:rPr>
          <w:rStyle w:val="EndnoteReference"/>
          <w:lang w:val="en-GB"/>
        </w:rPr>
        <w:endnoteReference w:id="20"/>
      </w:r>
      <w:r>
        <w:rPr>
          <w:lang w:val="en-GB"/>
        </w:rPr>
        <w:t xml:space="preserve">  </w:t>
      </w:r>
    </w:p>
    <w:p w:rsidR="00000000" w:rsidRDefault="00000000"/>
    <w:p w:rsidR="00000000" w:rsidRDefault="00000000">
      <w:pPr>
        <w:ind w:left="720"/>
      </w:pPr>
      <w:r>
        <w:t>Municipal Housing Fund</w:t>
      </w:r>
      <w:r>
        <w:noBreakHyphen/>
        <w:t>FMH (Law 7412/90, Curitiba; Municipal Law 7592/95, Porto Alegre);</w:t>
      </w:r>
    </w:p>
    <w:p w:rsidR="00000000" w:rsidRDefault="00000000">
      <w:pPr>
        <w:ind w:left="720"/>
      </w:pPr>
      <w:r>
        <w:t>Acquisition of invaded private areas for regularization purposes.  Under specific legislation, invaded private areas are transferred to the FMH for regularization.  The establishment of the FMH permits the regularization of the situation of thousands of families that occupy public areas and makes possible the implementation of a municipal housing programme.   The FMH may also channel resources to the implementation of housing programmes;</w:t>
      </w:r>
    </w:p>
    <w:p w:rsidR="00000000" w:rsidRDefault="00000000">
      <w:pPr>
        <w:ind w:left="720"/>
      </w:pPr>
    </w:p>
    <w:p w:rsidR="00000000" w:rsidRDefault="00000000">
      <w:pPr>
        <w:ind w:left="720"/>
      </w:pPr>
      <w:r>
        <w:t>Incentives for the implementation of housing programmes of social interest (Law 7841/91; regulated by Decree 86/91, Curitiba).  Payment of constructive incentives provides resources for the implementation of housing programmes, including regularization, removal and clearance of slums.  Collected funds have allowed the municipality to maintain housing programmes independently from federal or State funds;</w:t>
      </w:r>
    </w:p>
    <w:p w:rsidR="00000000" w:rsidRDefault="00000000">
      <w:pPr>
        <w:ind w:left="720"/>
      </w:pPr>
    </w:p>
    <w:p w:rsidR="00000000" w:rsidRDefault="00000000">
      <w:pPr>
        <w:ind w:left="720"/>
      </w:pPr>
      <w:r>
        <w:t xml:space="preserve">Special housing sectors of social interest (Decree 901/80, Curitiba; Municipal Law 2901/65, Porto Alegre); sets specific guidelines for slum clearance, relocation and regularization (housing units </w:t>
      </w:r>
      <w:r>
        <w:noBreakHyphen/>
        <w:t xml:space="preserve"> public and private areas).  The setting of specific guidelines for irregular occupation has proved very useful for the urbanization of invaded areas that could not be assisted under the provisions of the law.  This legislation defines housing of social interest and the housing policy of social interest with a view to housing production;</w:t>
      </w:r>
    </w:p>
    <w:p w:rsidR="00000000" w:rsidRDefault="00000000">
      <w:pPr>
        <w:ind w:left="720"/>
      </w:pPr>
    </w:p>
    <w:p w:rsidR="00000000" w:rsidRDefault="00000000">
      <w:pPr>
        <w:ind w:left="720"/>
      </w:pPr>
      <w:r>
        <w:t>Master plan, legislation on land use and occupation (Law 2828/66, Curitiba; Law 17 of 28 January 1997; Brasilia; Laws 15547/91 and 16176, Recife; Law 6031 and Complementary Law 04/96, Campinas; Laws 7805/72 and 9413/81, São Paulo; Decree No. 322/76, and Complementary Law 16/92, Rio de Janeiro; Complementary Law 43/79, Porto Alegre; Laws 007/94, 402/78, 403/78 and 408/78, Natal).  This legislation establishes basic guidelines for the municipality’s integrated development and regulates land use and subdivision, as well as the implementation of urban physical structures and equipment;</w:t>
      </w:r>
    </w:p>
    <w:p w:rsidR="00000000" w:rsidRDefault="00000000">
      <w:pPr>
        <w:ind w:left="720"/>
      </w:pPr>
    </w:p>
    <w:p w:rsidR="00000000" w:rsidRDefault="00000000">
      <w:pPr>
        <w:ind w:left="720"/>
      </w:pPr>
      <w:r>
        <w:t>Urban land subdivision (Law 16285/97, Recife; Laws 1993/59 and 8736/96 on enclosed subdivisions, Law 8853/96 on urban pockets in rural areas, Law 6681/91 on approval of subdivisions and housing of social interest, Campinas; Law 9413/81, São Paulo; and Decree No. 322/76, Rio de Janeiro);</w:t>
      </w:r>
    </w:p>
    <w:p w:rsidR="00000000" w:rsidRDefault="00000000">
      <w:pPr>
        <w:ind w:left="720"/>
      </w:pPr>
    </w:p>
    <w:p w:rsidR="00000000" w:rsidRDefault="00000000">
      <w:pPr>
        <w:ind w:left="720"/>
      </w:pPr>
      <w:r>
        <w:t>Renewal of slum areas/land regularization (Law 1497/87 on urbanization and legalization of land possession, Recife; Law 11632/94, São Paulo; Law 7603/93 on urban adverse possession and special zones of social interest</w:t>
      </w:r>
      <w:r>
        <w:noBreakHyphen/>
        <w:t xml:space="preserve">ZEIS, Belem; Decree No. 9218/90 and </w:t>
      </w:r>
    </w:p>
    <w:p w:rsidR="00000000" w:rsidRDefault="00000000">
      <w:pPr>
        <w:ind w:left="720"/>
      </w:pPr>
      <w:r>
        <w:t xml:space="preserve">Law 2120/94, Rio de Janeiro; Municipal Law 7593/95 and Complementary Law 338/95, </w:t>
      </w:r>
    </w:p>
    <w:p w:rsidR="00000000" w:rsidRDefault="00000000">
      <w:pPr>
        <w:ind w:left="720"/>
      </w:pPr>
      <w:r>
        <w:t>Porto Alegre.  The preceding refers to legislation establishing special zones of social interest</w:t>
      </w:r>
      <w:r>
        <w:noBreakHyphen/>
        <w:t>ZEIS and a programme of regularization of these areas, land regularization with the population’s participation, and legal instruments for the creation of special areas of social interest;</w:t>
      </w:r>
    </w:p>
    <w:p w:rsidR="00000000" w:rsidRDefault="00000000">
      <w:pPr>
        <w:ind w:left="720"/>
      </w:pPr>
    </w:p>
    <w:p w:rsidR="00000000" w:rsidRDefault="00000000">
      <w:pPr>
        <w:ind w:left="720"/>
      </w:pPr>
      <w:r>
        <w:t xml:space="preserve">Hygiene, salubrity, illumination, and size of rooms (Law 7427/61, Recife); </w:t>
      </w:r>
    </w:p>
    <w:p w:rsidR="00000000" w:rsidRDefault="00000000">
      <w:pPr>
        <w:ind w:left="720"/>
      </w:pPr>
    </w:p>
    <w:p w:rsidR="00000000" w:rsidRDefault="00000000">
      <w:pPr>
        <w:ind w:left="720"/>
      </w:pPr>
      <w:r>
        <w:t>Regularization of clandestine and irregular subdivisions (Municipal Decree No. 6782/81, SERLA, Campinas; Municipal Law 6820/86, Curitiba;</w:t>
      </w:r>
    </w:p>
    <w:p w:rsidR="00000000" w:rsidRDefault="00000000">
      <w:pPr>
        <w:ind w:left="720"/>
      </w:pPr>
    </w:p>
    <w:p w:rsidR="00000000" w:rsidRDefault="00000000">
      <w:pPr>
        <w:ind w:left="720"/>
      </w:pPr>
      <w:r>
        <w:t>Recording of illegal housing (Municipal Law 8275/95, Campinas); granting of incentives to owners for recording clandestine constructions antedating December 1994, pursuant to some requirements;</w:t>
      </w:r>
    </w:p>
    <w:p w:rsidR="00000000" w:rsidRDefault="00000000">
      <w:pPr>
        <w:ind w:left="720"/>
      </w:pPr>
    </w:p>
    <w:p w:rsidR="00000000" w:rsidRDefault="00000000">
      <w:pPr>
        <w:ind w:left="720"/>
      </w:pPr>
      <w:r>
        <w:t>Elimination of slums (Municipal Law 3506/71, Porto Alegre); and</w:t>
      </w:r>
    </w:p>
    <w:p w:rsidR="00000000" w:rsidRDefault="00000000">
      <w:pPr>
        <w:ind w:left="720"/>
      </w:pPr>
    </w:p>
    <w:p w:rsidR="00000000" w:rsidRDefault="00000000">
      <w:pPr>
        <w:ind w:left="720"/>
      </w:pPr>
      <w:r>
        <w:t>Land Bank (Complementary Law 269/92, Porto Alegre).  Implementation of the programme for municipal acquisition of land for implementing urban development policy and housing programmes.</w:t>
      </w:r>
    </w:p>
    <w:p w:rsidR="00000000" w:rsidRDefault="00000000"/>
    <w:p w:rsidR="00000000" w:rsidRDefault="00000000">
      <w:pPr>
        <w:pStyle w:val="ParaNo"/>
        <w:tabs>
          <w:tab w:val="clear" w:pos="360"/>
          <w:tab w:val="clear" w:pos="737"/>
        </w:tabs>
        <w:rPr>
          <w:lang w:val="en-GB"/>
        </w:rPr>
      </w:pPr>
      <w:r>
        <w:rPr>
          <w:lang w:val="en-GB"/>
        </w:rPr>
        <w:t>With respect to legislation on land use and distribution, land acquisition, subdivision, lot demarcation, expropriation (including indemnification provisions) and real property ordering (including procedures for community participation), it should be noted that the Constitution has empowered the Federation, the states, and the Federal District to legislate on urbanistic matters and the municipality to legislate on matters of social interest.</w:t>
      </w:r>
    </w:p>
    <w:p w:rsidR="00000000" w:rsidRDefault="00000000"/>
    <w:p w:rsidR="00000000" w:rsidRDefault="00000000">
      <w:pPr>
        <w:pStyle w:val="ParaNo"/>
        <w:tabs>
          <w:tab w:val="clear" w:pos="360"/>
          <w:tab w:val="clear" w:pos="737"/>
        </w:tabs>
        <w:rPr>
          <w:lang w:val="en-GB"/>
        </w:rPr>
      </w:pPr>
      <w:r>
        <w:rPr>
          <w:lang w:val="en-GB"/>
        </w:rPr>
        <w:t xml:space="preserve">It is incumbent upon municipalities to draft a master plan and the legislation on the use and occupation of urban land (permitted uses, urbanistic indexes), urban zoning and subdivision (urban occupation indexes, lot size and use coefficients), all in accordance with federal legislation on urban land subdivision.  It is also incumbent on the Federation to legislate on expropriation and to draw up national and regional territorial ordering plans </w:t>
      </w:r>
      <w:r>
        <w:rPr>
          <w:lang w:val="en-GB"/>
        </w:rPr>
        <w:noBreakHyphen/>
        <w:t xml:space="preserve"> but the latter have not been drawn up yet.  Community participation in municipal planning is compulsory.  The Municipal Master Plan must respect the principle of the social function of urban property.</w:t>
      </w:r>
    </w:p>
    <w:p w:rsidR="00000000" w:rsidRDefault="00000000"/>
    <w:p w:rsidR="00000000" w:rsidRDefault="00000000">
      <w:pPr>
        <w:pStyle w:val="ParaNo"/>
        <w:tabs>
          <w:tab w:val="clear" w:pos="360"/>
          <w:tab w:val="clear" w:pos="737"/>
        </w:tabs>
        <w:rPr>
          <w:lang w:val="en-GB"/>
        </w:rPr>
      </w:pPr>
      <w:r>
        <w:rPr>
          <w:lang w:val="en-GB"/>
        </w:rPr>
        <w:t>With regard to tenants’ right to security of occupation, protection from eviction, home financing, and rent control (or rent subsidy) and housing availability, the pertinent legislation has been included above on the list of federal laws pertaining to the housing sector.</w:t>
      </w:r>
    </w:p>
    <w:p w:rsidR="00000000" w:rsidRDefault="00000000"/>
    <w:p w:rsidR="00000000" w:rsidRDefault="00000000">
      <w:pPr>
        <w:pStyle w:val="ParaNo"/>
        <w:tabs>
          <w:tab w:val="clear" w:pos="360"/>
          <w:tab w:val="clear" w:pos="737"/>
        </w:tabs>
        <w:rPr>
          <w:lang w:val="en-GB"/>
        </w:rPr>
      </w:pPr>
      <w:r>
        <w:rPr>
          <w:lang w:val="en-GB"/>
        </w:rPr>
        <w:t>The Federation is empowered by the Constitution and the Civil Code to establish general norms related to urban property.  The Civil Code contains provision on the noxious use of property and the right to build.  Establishing building codes and construction standards is incumbent upon the municipalities, which must legislate according to local peculiarities.</w:t>
      </w:r>
    </w:p>
    <w:p w:rsidR="00000000" w:rsidRDefault="00000000"/>
    <w:p w:rsidR="00000000" w:rsidRDefault="00000000">
      <w:pPr>
        <w:pStyle w:val="ParaNo"/>
        <w:tabs>
          <w:tab w:val="clear" w:pos="360"/>
          <w:tab w:val="clear" w:pos="737"/>
        </w:tabs>
        <w:rPr>
          <w:lang w:val="en-GB"/>
        </w:rPr>
      </w:pPr>
      <w:r>
        <w:rPr>
          <w:lang w:val="en-GB"/>
        </w:rPr>
        <w:t>Eviction is addressed in Law 8245 of 18 October 1991 (Tenancy Law) which specifies the conditions under which lease contracts may be rescinded, including the following:  by mutual agreement; owing to legal or contractual infraction; and for default on payments.  The Law provides that eviction should conform to regular procedures, including the issuing of a preliminary order determining that the property should be vacated within 15 days, independently from a hearing with the adverse party and provided that a bond equivalent to three months’ rent is put up.</w:t>
      </w:r>
    </w:p>
    <w:p w:rsidR="00000000" w:rsidRDefault="00000000"/>
    <w:p w:rsidR="00000000" w:rsidRDefault="00000000">
      <w:pPr>
        <w:pStyle w:val="ParaNo"/>
        <w:tabs>
          <w:tab w:val="clear" w:pos="360"/>
          <w:tab w:val="clear" w:pos="737"/>
        </w:tabs>
        <w:rPr>
          <w:lang w:val="en-GB"/>
        </w:rPr>
      </w:pPr>
      <w:r>
        <w:rPr>
          <w:lang w:val="en-GB"/>
        </w:rPr>
        <w:br w:type="page"/>
        <w:t>Speculation in housing or property, particularly when it militates against the right to housing of all sectors of society, is addressed in article 182 (4) of the Federal Constitution, which provides that the owner of unbuilt, underutilized, or unutilized urban land must provide for the adequate utilization thereof.</w:t>
      </w:r>
    </w:p>
    <w:p w:rsidR="00000000" w:rsidRDefault="00000000"/>
    <w:p w:rsidR="00000000" w:rsidRDefault="00000000">
      <w:pPr>
        <w:pStyle w:val="ParaNo"/>
        <w:tabs>
          <w:tab w:val="clear" w:pos="360"/>
          <w:tab w:val="clear" w:pos="737"/>
        </w:tabs>
        <w:rPr>
          <w:lang w:val="en-GB"/>
        </w:rPr>
      </w:pPr>
      <w:r>
        <w:rPr>
          <w:lang w:val="en-GB"/>
        </w:rPr>
        <w:t>Despite having similar objectives and targeting a similar public, the HABITAR BRASIL and PRO</w:t>
      </w:r>
      <w:r>
        <w:rPr>
          <w:lang w:val="en-GB"/>
        </w:rPr>
        <w:noBreakHyphen/>
        <w:t>MORADIA programmes differ as to their source of funds and the nature of their financing.</w:t>
      </w:r>
    </w:p>
    <w:p w:rsidR="00000000" w:rsidRDefault="00000000"/>
    <w:p w:rsidR="00000000" w:rsidRDefault="00000000">
      <w:pPr>
        <w:pStyle w:val="ParaNo"/>
        <w:tabs>
          <w:tab w:val="clear" w:pos="360"/>
          <w:tab w:val="clear" w:pos="737"/>
        </w:tabs>
        <w:rPr>
          <w:lang w:val="en-GB"/>
        </w:rPr>
      </w:pPr>
      <w:r>
        <w:rPr>
          <w:lang w:val="en-GB"/>
        </w:rPr>
        <w:t>HABITAR’s purpose is to assist the states, municipalities and the Federal District in raising housing standards and the quality of life of rural and urban dwellers with incomes of less than three minimum salaries who live in risk areas or areas of substandard dwellings (shacks, slums, palafittes, tenement blocks, etc.).  Under this programme, municipalities that participate in the Solidary Community Programme have priority.  The programme is financed by grants from the State Budget and has two modalities:  urbanization of areas of substandard dwellings and urbanization of unoccupied areas.</w:t>
      </w:r>
    </w:p>
    <w:p w:rsidR="00000000" w:rsidRDefault="00000000"/>
    <w:p w:rsidR="00000000" w:rsidRDefault="00000000">
      <w:pPr>
        <w:pStyle w:val="ParaNo"/>
        <w:tabs>
          <w:tab w:val="clear" w:pos="360"/>
          <w:tab w:val="clear" w:pos="737"/>
        </w:tabs>
        <w:rPr>
          <w:lang w:val="en-GB"/>
        </w:rPr>
      </w:pPr>
      <w:r>
        <w:rPr>
          <w:lang w:val="en-GB"/>
        </w:rPr>
        <w:t>The PRO</w:t>
      </w:r>
      <w:r>
        <w:rPr>
          <w:lang w:val="en-GB"/>
        </w:rPr>
        <w:noBreakHyphen/>
        <w:t>MORADIA programme’s purpose is also to improve the quality of life of the rural and urban population with incomes of less than three minimum salaries by assisting the Government to implement integrated initiatives in coordination with other sectoral policies pertaining to housing alternatives.  Programme resources come from the FGTS.  The programme covers the urbanization of residential areas; the acquisition and/or creation of urbanized lots; the provision of baskets of construction materials, and the provision of infrastructure in and construction of housing complexes.</w:t>
      </w:r>
    </w:p>
    <w:p w:rsidR="00000000" w:rsidRDefault="00000000"/>
    <w:p w:rsidR="00000000" w:rsidRDefault="00000000">
      <w:pPr>
        <w:pStyle w:val="ParaNo"/>
        <w:tabs>
          <w:tab w:val="clear" w:pos="360"/>
          <w:tab w:val="clear" w:pos="737"/>
        </w:tabs>
        <w:rPr>
          <w:lang w:val="en-GB"/>
        </w:rPr>
      </w:pPr>
      <w:r>
        <w:rPr>
          <w:lang w:val="en-GB"/>
        </w:rPr>
        <w:t>The Individual Letter of Credit programme’s purpose is to finance the acquisition and building of homes or the improvement of housing conditions of families with a monthly income of up to 12 minimum salaries.  The various modalities of this programme cover the acquisition of housing units or urbanized lots, and home construction, completion, expansion, remodelling and improvement.  Funds come from the FGTS and the financing ceiling is calculated according to the type of programme and the applicant’s income.</w:t>
      </w:r>
    </w:p>
    <w:p w:rsidR="00000000" w:rsidRDefault="00000000"/>
    <w:p w:rsidR="00000000" w:rsidRDefault="00000000">
      <w:pPr>
        <w:pStyle w:val="ParaNo"/>
        <w:tabs>
          <w:tab w:val="clear" w:pos="360"/>
          <w:tab w:val="clear" w:pos="737"/>
        </w:tabs>
        <w:rPr>
          <w:lang w:val="en-GB"/>
        </w:rPr>
      </w:pPr>
      <w:r>
        <w:rPr>
          <w:lang w:val="en-GB"/>
        </w:rPr>
        <w:t xml:space="preserve">The Associative Letter of Credit finances the construction of housing units and the creation of urbanized lots by unions, cooperatives, associations, private entities and housing corporations (COHABs) that extend credit to physical persons with a monthly income of less than 12 minimum salaries.  The programme covers two areas:  the building of housing units and the creation of urbanized lots.  </w:t>
      </w:r>
    </w:p>
    <w:p w:rsidR="00000000" w:rsidRDefault="00000000"/>
    <w:p w:rsidR="00000000" w:rsidRDefault="00000000">
      <w:pPr>
        <w:pStyle w:val="ParaNo"/>
        <w:tabs>
          <w:tab w:val="clear" w:pos="360"/>
          <w:tab w:val="clear" w:pos="737"/>
        </w:tabs>
        <w:rPr>
          <w:lang w:val="en-GB"/>
        </w:rPr>
      </w:pPr>
      <w:r>
        <w:rPr>
          <w:lang w:val="en-GB"/>
        </w:rPr>
        <w:t>It should be pointed out that as the interest charged by Letter of Credit programmes is substantially lower than market rates, these programmes provide a not negligible direct subsidy.  Another characteristic of these programmes is that they meet the spontaneous home financing demand on the part of individuals by providing direct consumer credit.  This is a major change in governmental strategy.  These two programmes also promote the concept that major responsibility for solving the housing problem lies with society itself, while the Government’s role is that of an inducer and facilitator.  Moreover, it should be noted that these programmes impart flexibility to the mechanisms whereby the borrower’s income is verified, without discriminating against those who work in informal activities.</w:t>
      </w:r>
    </w:p>
    <w:p w:rsidR="00000000" w:rsidRDefault="00000000">
      <w:pPr>
        <w:pStyle w:val="ParaNo"/>
        <w:tabs>
          <w:tab w:val="clear" w:pos="360"/>
          <w:tab w:val="clear" w:pos="737"/>
        </w:tabs>
        <w:rPr>
          <w:lang w:val="en-GB"/>
        </w:rPr>
      </w:pPr>
      <w:r>
        <w:rPr>
          <w:lang w:val="en-GB"/>
        </w:rPr>
        <w:t>The purpose of the Housing Production Support Programme is to finance popular home</w:t>
      </w:r>
      <w:r>
        <w:rPr>
          <w:lang w:val="en-GB"/>
        </w:rPr>
        <w:noBreakHyphen/>
        <w:t>building companies’ construction of homes for the population with incomes lower than 12 minimum salaries; disbursement of funds is subject to the effective sale of a minimum of 50 per cent of the units produced.  Funds for financing this programme also come from the FGTS.</w:t>
      </w:r>
    </w:p>
    <w:p w:rsidR="00000000" w:rsidRDefault="00000000"/>
    <w:p w:rsidR="00000000" w:rsidRDefault="00000000">
      <w:pPr>
        <w:pStyle w:val="ParaNo"/>
        <w:tabs>
          <w:tab w:val="clear" w:pos="360"/>
          <w:tab w:val="clear" w:pos="737"/>
        </w:tabs>
        <w:rPr>
          <w:lang w:val="en-GB"/>
        </w:rPr>
      </w:pPr>
      <w:r>
        <w:rPr>
          <w:lang w:val="en-GB"/>
        </w:rPr>
        <w:t>Important federal government initiatives in implementation of the strategy for increasing the market’s participation in the housing sector during the period under review include the following:  the establishment of the Real Estate Financing System</w:t>
      </w:r>
      <w:r>
        <w:rPr>
          <w:lang w:val="en-GB"/>
        </w:rPr>
        <w:noBreakHyphen/>
        <w:t>SFI; the implementation of the Brazilian Home Building Quality and Productivity Programme</w:t>
      </w:r>
      <w:r>
        <w:rPr>
          <w:lang w:val="en-GB"/>
        </w:rPr>
        <w:noBreakHyphen/>
        <w:t>PBQP</w:t>
      </w:r>
      <w:r>
        <w:rPr>
          <w:lang w:val="en-GB"/>
        </w:rPr>
        <w:noBreakHyphen/>
        <w:t>H; the improvement of urban legislation, such as the recent revision of the Land Subdivision Law (Law 6.766) by Federal Law 9785/99; and initiatives recently implemented to diversify the means of access to housing, such as social leasing, along the lines of the Residential Leasing Programme</w:t>
      </w:r>
      <w:r>
        <w:rPr>
          <w:lang w:val="en-GB"/>
        </w:rPr>
        <w:noBreakHyphen/>
        <w:t>PAR.</w:t>
      </w:r>
    </w:p>
    <w:p w:rsidR="00000000" w:rsidRDefault="00000000"/>
    <w:p w:rsidR="00000000" w:rsidRDefault="00000000">
      <w:pPr>
        <w:pStyle w:val="ParaNo"/>
        <w:tabs>
          <w:tab w:val="clear" w:pos="360"/>
          <w:tab w:val="clear" w:pos="737"/>
        </w:tabs>
        <w:rPr>
          <w:lang w:val="en-GB"/>
        </w:rPr>
      </w:pPr>
      <w:r>
        <w:rPr>
          <w:lang w:val="en-GB"/>
        </w:rPr>
        <w:t>The Individual and Associative Letter of Credit Programme and the Home Production Support Programme also aim at increasing market participation by supporting own construction and self</w:t>
      </w:r>
      <w:r>
        <w:rPr>
          <w:lang w:val="en-GB"/>
        </w:rPr>
        <w:noBreakHyphen/>
        <w:t>financing.</w:t>
      </w:r>
    </w:p>
    <w:p w:rsidR="00000000" w:rsidRDefault="00000000"/>
    <w:p w:rsidR="00000000" w:rsidRDefault="00000000">
      <w:pPr>
        <w:pStyle w:val="ParaNo"/>
        <w:tabs>
          <w:tab w:val="clear" w:pos="360"/>
          <w:tab w:val="clear" w:pos="737"/>
        </w:tabs>
        <w:rPr>
          <w:lang w:val="en-GB"/>
        </w:rPr>
      </w:pPr>
      <w:r>
        <w:rPr>
          <w:lang w:val="en-GB"/>
        </w:rPr>
        <w:t>The Brazilian Government specifically points to the performance of housing investment programmes in the period 1995</w:t>
      </w:r>
      <w:r>
        <w:rPr>
          <w:lang w:val="en-GB"/>
        </w:rPr>
        <w:noBreakHyphen/>
        <w:t>1998.  Total investment was Cr$ 10,115,764,000 benefiting 1,239,636 families and creating 502,273 jobs, according to data supplied by SEPURB/SEDU.  The main source of programme financing was the Length of Service</w:t>
      </w:r>
      <w:r>
        <w:rPr>
          <w:lang w:val="en-GB"/>
        </w:rPr>
        <w:noBreakHyphen/>
        <w:t>Based Fund</w:t>
      </w:r>
      <w:r>
        <w:rPr>
          <w:lang w:val="en-GB"/>
        </w:rPr>
        <w:noBreakHyphen/>
        <w:t>FGTS, which provided 90 per cent of the funds, the remaining 10 per cent coming from the State Budget.  The main SEPURB programme in terms of share in total investment was the Individual Letter of Credit Programme (61.23 per cent), followed by the Associative Letter of Credit Programme (15.81 per cent), which shows that there is a demand for financing on the part of private economic agents.  The main programmes implemented through government agents and directed at the lower</w:t>
      </w:r>
      <w:r>
        <w:rPr>
          <w:lang w:val="en-GB"/>
        </w:rPr>
        <w:noBreakHyphen/>
        <w:t>income population, such as HABITAR BRASIL and PRO</w:t>
      </w:r>
      <w:r>
        <w:rPr>
          <w:lang w:val="en-GB"/>
        </w:rPr>
        <w:noBreakHyphen/>
        <w:t>MORADIA, accounted for only 10.9 per cent and 9.99 per cent of the funds invested (see table below).</w:t>
      </w:r>
    </w:p>
    <w:p w:rsidR="00000000" w:rsidRDefault="00000000">
      <w:pPr>
        <w:pStyle w:val="Heading1"/>
      </w:pPr>
    </w:p>
    <w:p w:rsidR="00000000" w:rsidRDefault="00000000">
      <w:pPr>
        <w:pStyle w:val="Heading1"/>
      </w:pPr>
      <w:r>
        <w:t>Table 73</w:t>
      </w:r>
    </w:p>
    <w:p w:rsidR="00000000" w:rsidRDefault="00000000"/>
    <w:p w:rsidR="00000000" w:rsidRDefault="00000000">
      <w:pPr>
        <w:pStyle w:val="Heading1"/>
      </w:pPr>
      <w:r>
        <w:t>National Housing Policy:  performance of major programmes, 1995</w:t>
      </w:r>
      <w:r>
        <w:noBreakHyphen/>
        <w:t>1999</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276"/>
        <w:gridCol w:w="1134"/>
        <w:gridCol w:w="1276"/>
        <w:gridCol w:w="1276"/>
        <w:gridCol w:w="1134"/>
        <w:gridCol w:w="992"/>
      </w:tblGrid>
      <w:tr w:rsidR="00000000">
        <w:tblPrEx>
          <w:tblCellMar>
            <w:top w:w="0" w:type="dxa"/>
            <w:bottom w:w="0" w:type="dxa"/>
          </w:tblCellMar>
        </w:tblPrEx>
        <w:trPr>
          <w:trHeight w:val="841"/>
        </w:trPr>
        <w:tc>
          <w:tcPr>
            <w:tcW w:w="2268" w:type="dxa"/>
            <w:tcBorders>
              <w:bottom w:val="single" w:sz="4" w:space="0" w:color="auto"/>
            </w:tcBorders>
          </w:tcPr>
          <w:p w:rsidR="00000000" w:rsidRDefault="00000000">
            <w:pPr>
              <w:spacing w:before="120"/>
              <w:jc w:val="center"/>
              <w:rPr>
                <w:sz w:val="16"/>
              </w:rPr>
            </w:pPr>
            <w:r>
              <w:rPr>
                <w:sz w:val="16"/>
              </w:rPr>
              <w:t>Programme</w:t>
            </w:r>
          </w:p>
        </w:tc>
        <w:tc>
          <w:tcPr>
            <w:tcW w:w="1276" w:type="dxa"/>
            <w:tcBorders>
              <w:bottom w:val="single" w:sz="4" w:space="0" w:color="auto"/>
            </w:tcBorders>
          </w:tcPr>
          <w:p w:rsidR="00000000" w:rsidRDefault="00000000">
            <w:pPr>
              <w:spacing w:before="120"/>
              <w:jc w:val="center"/>
              <w:rPr>
                <w:sz w:val="16"/>
              </w:rPr>
            </w:pPr>
            <w:r>
              <w:rPr>
                <w:sz w:val="16"/>
              </w:rPr>
              <w:t>Investment  (Cr$ thousands)</w:t>
            </w:r>
          </w:p>
        </w:tc>
        <w:tc>
          <w:tcPr>
            <w:tcW w:w="1134" w:type="dxa"/>
            <w:tcBorders>
              <w:bottom w:val="single" w:sz="4" w:space="0" w:color="auto"/>
            </w:tcBorders>
          </w:tcPr>
          <w:p w:rsidR="00000000" w:rsidRDefault="00000000">
            <w:pPr>
              <w:spacing w:before="120"/>
              <w:jc w:val="center"/>
              <w:rPr>
                <w:sz w:val="16"/>
              </w:rPr>
            </w:pPr>
            <w:r>
              <w:rPr>
                <w:sz w:val="16"/>
              </w:rPr>
              <w:t>% investment</w:t>
            </w:r>
          </w:p>
        </w:tc>
        <w:tc>
          <w:tcPr>
            <w:tcW w:w="1276" w:type="dxa"/>
            <w:tcBorders>
              <w:bottom w:val="single" w:sz="4" w:space="0" w:color="auto"/>
            </w:tcBorders>
          </w:tcPr>
          <w:p w:rsidR="00000000" w:rsidRDefault="00000000">
            <w:pPr>
              <w:spacing w:before="120"/>
              <w:jc w:val="center"/>
              <w:rPr>
                <w:sz w:val="16"/>
              </w:rPr>
            </w:pPr>
            <w:r>
              <w:rPr>
                <w:sz w:val="16"/>
              </w:rPr>
              <w:t>Loan</w:t>
            </w:r>
          </w:p>
          <w:p w:rsidR="00000000" w:rsidRDefault="00000000">
            <w:pPr>
              <w:spacing w:after="120"/>
              <w:jc w:val="center"/>
              <w:rPr>
                <w:sz w:val="16"/>
              </w:rPr>
            </w:pPr>
            <w:r>
              <w:rPr>
                <w:sz w:val="16"/>
              </w:rPr>
              <w:t>(Cr$ thousands)</w:t>
            </w:r>
          </w:p>
        </w:tc>
        <w:tc>
          <w:tcPr>
            <w:tcW w:w="1276" w:type="dxa"/>
            <w:tcBorders>
              <w:bottom w:val="single" w:sz="4" w:space="0" w:color="auto"/>
            </w:tcBorders>
          </w:tcPr>
          <w:p w:rsidR="00000000" w:rsidRDefault="00000000">
            <w:pPr>
              <w:spacing w:before="120"/>
              <w:jc w:val="center"/>
              <w:rPr>
                <w:sz w:val="16"/>
              </w:rPr>
            </w:pPr>
            <w:r>
              <w:rPr>
                <w:sz w:val="16"/>
              </w:rPr>
              <w:t>Counterpart (Cr$ thousands)</w:t>
            </w:r>
          </w:p>
        </w:tc>
        <w:tc>
          <w:tcPr>
            <w:tcW w:w="1134" w:type="dxa"/>
            <w:tcBorders>
              <w:bottom w:val="single" w:sz="4" w:space="0" w:color="auto"/>
            </w:tcBorders>
          </w:tcPr>
          <w:p w:rsidR="00000000" w:rsidRDefault="00000000">
            <w:pPr>
              <w:spacing w:before="120"/>
              <w:jc w:val="center"/>
              <w:rPr>
                <w:sz w:val="16"/>
              </w:rPr>
            </w:pPr>
            <w:r>
              <w:rPr>
                <w:sz w:val="16"/>
              </w:rPr>
              <w:t>Benefited families</w:t>
            </w:r>
          </w:p>
        </w:tc>
        <w:tc>
          <w:tcPr>
            <w:tcW w:w="992" w:type="dxa"/>
            <w:tcBorders>
              <w:bottom w:val="single" w:sz="4" w:space="0" w:color="auto"/>
            </w:tcBorders>
          </w:tcPr>
          <w:p w:rsidR="00000000" w:rsidRDefault="00000000">
            <w:pPr>
              <w:spacing w:before="120"/>
              <w:jc w:val="center"/>
              <w:rPr>
                <w:sz w:val="16"/>
              </w:rPr>
            </w:pPr>
            <w:r>
              <w:rPr>
                <w:sz w:val="16"/>
              </w:rPr>
              <w:t>Jobs created</w:t>
            </w:r>
          </w:p>
        </w:tc>
      </w:tr>
      <w:tr w:rsidR="00000000">
        <w:tblPrEx>
          <w:tblCellMar>
            <w:top w:w="0" w:type="dxa"/>
            <w:bottom w:w="0" w:type="dxa"/>
          </w:tblCellMar>
        </w:tblPrEx>
        <w:tc>
          <w:tcPr>
            <w:tcW w:w="2268" w:type="dxa"/>
            <w:tcBorders>
              <w:bottom w:val="nil"/>
            </w:tcBorders>
          </w:tcPr>
          <w:p w:rsidR="00000000" w:rsidRDefault="00000000">
            <w:pPr>
              <w:spacing w:before="120"/>
              <w:rPr>
                <w:sz w:val="16"/>
              </w:rPr>
            </w:pPr>
            <w:r>
              <w:rPr>
                <w:sz w:val="16"/>
              </w:rPr>
              <w:t>Individual Letter of Credit</w:t>
            </w:r>
          </w:p>
        </w:tc>
        <w:tc>
          <w:tcPr>
            <w:tcW w:w="1276" w:type="dxa"/>
            <w:tcBorders>
              <w:bottom w:val="nil"/>
            </w:tcBorders>
          </w:tcPr>
          <w:p w:rsidR="00000000" w:rsidRDefault="00000000">
            <w:pPr>
              <w:spacing w:before="120"/>
              <w:jc w:val="center"/>
              <w:rPr>
                <w:sz w:val="16"/>
              </w:rPr>
            </w:pPr>
            <w:r>
              <w:rPr>
                <w:sz w:val="16"/>
              </w:rPr>
              <w:t xml:space="preserve">  6 194 329</w:t>
            </w:r>
          </w:p>
        </w:tc>
        <w:tc>
          <w:tcPr>
            <w:tcW w:w="1134" w:type="dxa"/>
            <w:tcBorders>
              <w:bottom w:val="nil"/>
            </w:tcBorders>
          </w:tcPr>
          <w:p w:rsidR="00000000" w:rsidRDefault="00000000">
            <w:pPr>
              <w:tabs>
                <w:tab w:val="decimal" w:pos="459"/>
              </w:tabs>
              <w:spacing w:before="120"/>
              <w:rPr>
                <w:sz w:val="16"/>
              </w:rPr>
            </w:pPr>
            <w:r>
              <w:rPr>
                <w:sz w:val="16"/>
              </w:rPr>
              <w:t>61.23</w:t>
            </w:r>
          </w:p>
        </w:tc>
        <w:tc>
          <w:tcPr>
            <w:tcW w:w="1276" w:type="dxa"/>
            <w:tcBorders>
              <w:bottom w:val="nil"/>
            </w:tcBorders>
          </w:tcPr>
          <w:p w:rsidR="00000000" w:rsidRDefault="00000000">
            <w:pPr>
              <w:spacing w:before="120"/>
              <w:jc w:val="center"/>
              <w:rPr>
                <w:sz w:val="16"/>
              </w:rPr>
            </w:pPr>
            <w:r>
              <w:rPr>
                <w:sz w:val="16"/>
              </w:rPr>
              <w:t>5 574 894</w:t>
            </w:r>
          </w:p>
        </w:tc>
        <w:tc>
          <w:tcPr>
            <w:tcW w:w="1276" w:type="dxa"/>
            <w:tcBorders>
              <w:bottom w:val="nil"/>
            </w:tcBorders>
          </w:tcPr>
          <w:p w:rsidR="00000000" w:rsidRDefault="00000000">
            <w:pPr>
              <w:spacing w:before="120"/>
              <w:jc w:val="center"/>
              <w:rPr>
                <w:sz w:val="16"/>
              </w:rPr>
            </w:pPr>
            <w:r>
              <w:rPr>
                <w:sz w:val="16"/>
              </w:rPr>
              <w:t xml:space="preserve">   619 435</w:t>
            </w:r>
          </w:p>
        </w:tc>
        <w:tc>
          <w:tcPr>
            <w:tcW w:w="1134" w:type="dxa"/>
            <w:tcBorders>
              <w:bottom w:val="nil"/>
            </w:tcBorders>
          </w:tcPr>
          <w:p w:rsidR="00000000" w:rsidRDefault="00000000">
            <w:pPr>
              <w:spacing w:before="120"/>
              <w:jc w:val="center"/>
              <w:rPr>
                <w:sz w:val="16"/>
              </w:rPr>
            </w:pPr>
            <w:r>
              <w:rPr>
                <w:sz w:val="16"/>
              </w:rPr>
              <w:t xml:space="preserve">   420 416</w:t>
            </w:r>
          </w:p>
        </w:tc>
        <w:tc>
          <w:tcPr>
            <w:tcW w:w="992" w:type="dxa"/>
            <w:tcBorders>
              <w:bottom w:val="nil"/>
            </w:tcBorders>
          </w:tcPr>
          <w:p w:rsidR="00000000" w:rsidRDefault="00000000">
            <w:pPr>
              <w:spacing w:before="120"/>
              <w:jc w:val="center"/>
              <w:rPr>
                <w:sz w:val="16"/>
              </w:rPr>
            </w:pPr>
            <w:r>
              <w:rPr>
                <w:sz w:val="16"/>
              </w:rPr>
              <w:t>128 429</w:t>
            </w:r>
          </w:p>
        </w:tc>
      </w:tr>
      <w:tr w:rsidR="00000000">
        <w:tblPrEx>
          <w:tblCellMar>
            <w:top w:w="0" w:type="dxa"/>
            <w:bottom w:w="0" w:type="dxa"/>
          </w:tblCellMar>
        </w:tblPrEx>
        <w:tc>
          <w:tcPr>
            <w:tcW w:w="2268" w:type="dxa"/>
            <w:tcBorders>
              <w:top w:val="nil"/>
              <w:bottom w:val="nil"/>
            </w:tcBorders>
          </w:tcPr>
          <w:p w:rsidR="00000000" w:rsidRDefault="00000000">
            <w:pPr>
              <w:rPr>
                <w:sz w:val="16"/>
              </w:rPr>
            </w:pPr>
            <w:r>
              <w:rPr>
                <w:sz w:val="16"/>
              </w:rPr>
              <w:t>Associative Letter of Credit</w:t>
            </w:r>
          </w:p>
        </w:tc>
        <w:tc>
          <w:tcPr>
            <w:tcW w:w="1276" w:type="dxa"/>
            <w:tcBorders>
              <w:top w:val="nil"/>
              <w:bottom w:val="nil"/>
            </w:tcBorders>
          </w:tcPr>
          <w:p w:rsidR="00000000" w:rsidRDefault="00000000">
            <w:pPr>
              <w:jc w:val="center"/>
              <w:rPr>
                <w:sz w:val="16"/>
              </w:rPr>
            </w:pPr>
            <w:r>
              <w:rPr>
                <w:sz w:val="16"/>
              </w:rPr>
              <w:t xml:space="preserve">  1 605 307</w:t>
            </w:r>
          </w:p>
        </w:tc>
        <w:tc>
          <w:tcPr>
            <w:tcW w:w="1134" w:type="dxa"/>
            <w:tcBorders>
              <w:top w:val="nil"/>
              <w:bottom w:val="nil"/>
            </w:tcBorders>
          </w:tcPr>
          <w:p w:rsidR="00000000" w:rsidRDefault="00000000">
            <w:pPr>
              <w:tabs>
                <w:tab w:val="decimal" w:pos="459"/>
              </w:tabs>
              <w:rPr>
                <w:sz w:val="16"/>
              </w:rPr>
            </w:pPr>
            <w:r>
              <w:rPr>
                <w:sz w:val="16"/>
              </w:rPr>
              <w:t>15.87</w:t>
            </w:r>
          </w:p>
        </w:tc>
        <w:tc>
          <w:tcPr>
            <w:tcW w:w="1276" w:type="dxa"/>
            <w:tcBorders>
              <w:top w:val="nil"/>
              <w:bottom w:val="nil"/>
            </w:tcBorders>
          </w:tcPr>
          <w:p w:rsidR="00000000" w:rsidRDefault="00000000">
            <w:pPr>
              <w:jc w:val="center"/>
              <w:rPr>
                <w:sz w:val="16"/>
              </w:rPr>
            </w:pPr>
            <w:r>
              <w:rPr>
                <w:sz w:val="16"/>
              </w:rPr>
              <w:t>1 304 234</w:t>
            </w:r>
          </w:p>
        </w:tc>
        <w:tc>
          <w:tcPr>
            <w:tcW w:w="1276" w:type="dxa"/>
            <w:tcBorders>
              <w:top w:val="nil"/>
              <w:bottom w:val="nil"/>
            </w:tcBorders>
          </w:tcPr>
          <w:p w:rsidR="00000000" w:rsidRDefault="00000000">
            <w:pPr>
              <w:jc w:val="center"/>
              <w:rPr>
                <w:sz w:val="16"/>
              </w:rPr>
            </w:pPr>
            <w:r>
              <w:rPr>
                <w:sz w:val="16"/>
              </w:rPr>
              <w:t xml:space="preserve">   301 073</w:t>
            </w:r>
          </w:p>
        </w:tc>
        <w:tc>
          <w:tcPr>
            <w:tcW w:w="1134" w:type="dxa"/>
            <w:tcBorders>
              <w:top w:val="nil"/>
              <w:bottom w:val="nil"/>
            </w:tcBorders>
          </w:tcPr>
          <w:p w:rsidR="00000000" w:rsidRDefault="00000000">
            <w:pPr>
              <w:jc w:val="center"/>
              <w:rPr>
                <w:sz w:val="16"/>
              </w:rPr>
            </w:pPr>
            <w:r>
              <w:rPr>
                <w:sz w:val="16"/>
              </w:rPr>
              <w:t xml:space="preserve">    75 898</w:t>
            </w:r>
          </w:p>
        </w:tc>
        <w:tc>
          <w:tcPr>
            <w:tcW w:w="992" w:type="dxa"/>
            <w:tcBorders>
              <w:top w:val="nil"/>
              <w:bottom w:val="nil"/>
            </w:tcBorders>
          </w:tcPr>
          <w:p w:rsidR="00000000" w:rsidRDefault="00000000">
            <w:pPr>
              <w:jc w:val="center"/>
              <w:rPr>
                <w:sz w:val="16"/>
              </w:rPr>
            </w:pPr>
            <w:r>
              <w:rPr>
                <w:sz w:val="16"/>
              </w:rPr>
              <w:t>153 039</w:t>
            </w:r>
          </w:p>
        </w:tc>
      </w:tr>
      <w:tr w:rsidR="00000000">
        <w:tblPrEx>
          <w:tblCellMar>
            <w:top w:w="0" w:type="dxa"/>
            <w:bottom w:w="0" w:type="dxa"/>
          </w:tblCellMar>
        </w:tblPrEx>
        <w:tc>
          <w:tcPr>
            <w:tcW w:w="2268" w:type="dxa"/>
            <w:tcBorders>
              <w:top w:val="nil"/>
              <w:bottom w:val="nil"/>
            </w:tcBorders>
          </w:tcPr>
          <w:p w:rsidR="00000000" w:rsidRDefault="00000000">
            <w:pPr>
              <w:rPr>
                <w:sz w:val="16"/>
              </w:rPr>
            </w:pPr>
            <w:r>
              <w:rPr>
                <w:sz w:val="16"/>
              </w:rPr>
              <w:t>PRO</w:t>
            </w:r>
            <w:r>
              <w:rPr>
                <w:sz w:val="16"/>
              </w:rPr>
              <w:noBreakHyphen/>
              <w:t>MORADIA</w:t>
            </w:r>
          </w:p>
        </w:tc>
        <w:tc>
          <w:tcPr>
            <w:tcW w:w="1276" w:type="dxa"/>
            <w:tcBorders>
              <w:top w:val="nil"/>
              <w:bottom w:val="nil"/>
            </w:tcBorders>
          </w:tcPr>
          <w:p w:rsidR="00000000" w:rsidRDefault="00000000">
            <w:pPr>
              <w:jc w:val="center"/>
              <w:rPr>
                <w:sz w:val="16"/>
              </w:rPr>
            </w:pPr>
            <w:r>
              <w:rPr>
                <w:sz w:val="16"/>
              </w:rPr>
              <w:t xml:space="preserve">  1 102 821</w:t>
            </w:r>
          </w:p>
        </w:tc>
        <w:tc>
          <w:tcPr>
            <w:tcW w:w="1134" w:type="dxa"/>
            <w:tcBorders>
              <w:top w:val="nil"/>
              <w:bottom w:val="nil"/>
            </w:tcBorders>
          </w:tcPr>
          <w:p w:rsidR="00000000" w:rsidRDefault="00000000">
            <w:pPr>
              <w:tabs>
                <w:tab w:val="decimal" w:pos="459"/>
              </w:tabs>
              <w:rPr>
                <w:sz w:val="16"/>
              </w:rPr>
            </w:pPr>
            <w:r>
              <w:rPr>
                <w:sz w:val="16"/>
              </w:rPr>
              <w:t>10.90</w:t>
            </w:r>
          </w:p>
        </w:tc>
        <w:tc>
          <w:tcPr>
            <w:tcW w:w="1276" w:type="dxa"/>
            <w:tcBorders>
              <w:top w:val="nil"/>
              <w:bottom w:val="nil"/>
            </w:tcBorders>
          </w:tcPr>
          <w:p w:rsidR="00000000" w:rsidRDefault="00000000">
            <w:pPr>
              <w:jc w:val="center"/>
              <w:rPr>
                <w:sz w:val="16"/>
              </w:rPr>
            </w:pPr>
            <w:r>
              <w:rPr>
                <w:sz w:val="16"/>
              </w:rPr>
              <w:t xml:space="preserve">   759 222</w:t>
            </w:r>
          </w:p>
        </w:tc>
        <w:tc>
          <w:tcPr>
            <w:tcW w:w="1276" w:type="dxa"/>
            <w:tcBorders>
              <w:top w:val="nil"/>
              <w:bottom w:val="nil"/>
            </w:tcBorders>
          </w:tcPr>
          <w:p w:rsidR="00000000" w:rsidRDefault="00000000">
            <w:pPr>
              <w:jc w:val="center"/>
              <w:rPr>
                <w:sz w:val="16"/>
              </w:rPr>
            </w:pPr>
            <w:r>
              <w:rPr>
                <w:sz w:val="16"/>
              </w:rPr>
              <w:t xml:space="preserve">   343 599</w:t>
            </w:r>
          </w:p>
        </w:tc>
        <w:tc>
          <w:tcPr>
            <w:tcW w:w="1134" w:type="dxa"/>
            <w:tcBorders>
              <w:top w:val="nil"/>
              <w:bottom w:val="nil"/>
            </w:tcBorders>
          </w:tcPr>
          <w:p w:rsidR="00000000" w:rsidRDefault="00000000">
            <w:pPr>
              <w:jc w:val="center"/>
              <w:rPr>
                <w:sz w:val="16"/>
              </w:rPr>
            </w:pPr>
            <w:r>
              <w:rPr>
                <w:sz w:val="16"/>
              </w:rPr>
              <w:t xml:space="preserve">   332 134</w:t>
            </w:r>
          </w:p>
        </w:tc>
        <w:tc>
          <w:tcPr>
            <w:tcW w:w="992" w:type="dxa"/>
            <w:tcBorders>
              <w:top w:val="nil"/>
              <w:bottom w:val="nil"/>
            </w:tcBorders>
          </w:tcPr>
          <w:p w:rsidR="00000000" w:rsidRDefault="00000000">
            <w:pPr>
              <w:jc w:val="center"/>
              <w:rPr>
                <w:sz w:val="16"/>
              </w:rPr>
            </w:pPr>
            <w:r>
              <w:rPr>
                <w:sz w:val="16"/>
              </w:rPr>
              <w:t>105 136</w:t>
            </w:r>
          </w:p>
        </w:tc>
      </w:tr>
      <w:tr w:rsidR="00000000">
        <w:tblPrEx>
          <w:tblCellMar>
            <w:top w:w="0" w:type="dxa"/>
            <w:bottom w:w="0" w:type="dxa"/>
          </w:tblCellMar>
        </w:tblPrEx>
        <w:tc>
          <w:tcPr>
            <w:tcW w:w="2268" w:type="dxa"/>
            <w:tcBorders>
              <w:top w:val="nil"/>
              <w:bottom w:val="nil"/>
            </w:tcBorders>
          </w:tcPr>
          <w:p w:rsidR="00000000" w:rsidRDefault="00000000">
            <w:pPr>
              <w:rPr>
                <w:sz w:val="16"/>
              </w:rPr>
            </w:pPr>
            <w:r>
              <w:rPr>
                <w:sz w:val="16"/>
              </w:rPr>
              <w:t>Resolutions 166</w:t>
            </w:r>
          </w:p>
        </w:tc>
        <w:tc>
          <w:tcPr>
            <w:tcW w:w="1276" w:type="dxa"/>
            <w:tcBorders>
              <w:top w:val="nil"/>
              <w:bottom w:val="nil"/>
            </w:tcBorders>
          </w:tcPr>
          <w:p w:rsidR="00000000" w:rsidRDefault="00000000">
            <w:pPr>
              <w:jc w:val="center"/>
              <w:rPr>
                <w:sz w:val="16"/>
              </w:rPr>
            </w:pPr>
            <w:r>
              <w:rPr>
                <w:sz w:val="16"/>
              </w:rPr>
              <w:t xml:space="preserve">       72 852</w:t>
            </w:r>
          </w:p>
        </w:tc>
        <w:tc>
          <w:tcPr>
            <w:tcW w:w="1134" w:type="dxa"/>
            <w:tcBorders>
              <w:top w:val="nil"/>
              <w:bottom w:val="nil"/>
            </w:tcBorders>
          </w:tcPr>
          <w:p w:rsidR="00000000" w:rsidRDefault="00000000">
            <w:pPr>
              <w:tabs>
                <w:tab w:val="decimal" w:pos="459"/>
              </w:tabs>
              <w:rPr>
                <w:sz w:val="16"/>
              </w:rPr>
            </w:pPr>
            <w:r>
              <w:rPr>
                <w:sz w:val="16"/>
              </w:rPr>
              <w:t>0.72</w:t>
            </w:r>
          </w:p>
        </w:tc>
        <w:tc>
          <w:tcPr>
            <w:tcW w:w="1276" w:type="dxa"/>
            <w:tcBorders>
              <w:top w:val="nil"/>
              <w:bottom w:val="nil"/>
            </w:tcBorders>
          </w:tcPr>
          <w:p w:rsidR="00000000" w:rsidRDefault="00000000">
            <w:pPr>
              <w:jc w:val="center"/>
              <w:rPr>
                <w:sz w:val="16"/>
              </w:rPr>
            </w:pPr>
            <w:r>
              <w:rPr>
                <w:sz w:val="16"/>
              </w:rPr>
              <w:t xml:space="preserve">     55 526</w:t>
            </w:r>
          </w:p>
        </w:tc>
        <w:tc>
          <w:tcPr>
            <w:tcW w:w="1276" w:type="dxa"/>
            <w:tcBorders>
              <w:top w:val="nil"/>
              <w:bottom w:val="nil"/>
            </w:tcBorders>
          </w:tcPr>
          <w:p w:rsidR="00000000" w:rsidRDefault="00000000">
            <w:pPr>
              <w:jc w:val="center"/>
              <w:rPr>
                <w:sz w:val="16"/>
              </w:rPr>
            </w:pPr>
            <w:r>
              <w:rPr>
                <w:sz w:val="16"/>
              </w:rPr>
              <w:t xml:space="preserve">     17 326</w:t>
            </w:r>
          </w:p>
        </w:tc>
        <w:tc>
          <w:tcPr>
            <w:tcW w:w="1134" w:type="dxa"/>
            <w:tcBorders>
              <w:top w:val="nil"/>
              <w:bottom w:val="nil"/>
            </w:tcBorders>
          </w:tcPr>
          <w:p w:rsidR="00000000" w:rsidRDefault="00000000">
            <w:pPr>
              <w:jc w:val="center"/>
              <w:rPr>
                <w:sz w:val="16"/>
              </w:rPr>
            </w:pPr>
            <w:r>
              <w:rPr>
                <w:sz w:val="16"/>
              </w:rPr>
              <w:t xml:space="preserve">      3 496</w:t>
            </w:r>
          </w:p>
        </w:tc>
        <w:tc>
          <w:tcPr>
            <w:tcW w:w="992" w:type="dxa"/>
            <w:tcBorders>
              <w:top w:val="nil"/>
              <w:bottom w:val="nil"/>
            </w:tcBorders>
          </w:tcPr>
          <w:p w:rsidR="00000000" w:rsidRDefault="00000000">
            <w:pPr>
              <w:jc w:val="center"/>
              <w:rPr>
                <w:sz w:val="16"/>
              </w:rPr>
            </w:pPr>
            <w:r>
              <w:rPr>
                <w:sz w:val="16"/>
              </w:rPr>
              <w:t xml:space="preserve">    6 945</w:t>
            </w:r>
          </w:p>
        </w:tc>
      </w:tr>
      <w:tr w:rsidR="00000000">
        <w:tblPrEx>
          <w:tblCellMar>
            <w:top w:w="0" w:type="dxa"/>
            <w:bottom w:w="0" w:type="dxa"/>
          </w:tblCellMar>
        </w:tblPrEx>
        <w:tc>
          <w:tcPr>
            <w:tcW w:w="2268" w:type="dxa"/>
            <w:tcBorders>
              <w:top w:val="nil"/>
              <w:bottom w:val="nil"/>
            </w:tcBorders>
          </w:tcPr>
          <w:p w:rsidR="00000000" w:rsidRDefault="00000000">
            <w:pPr>
              <w:rPr>
                <w:sz w:val="16"/>
              </w:rPr>
            </w:pPr>
            <w:r>
              <w:rPr>
                <w:sz w:val="16"/>
              </w:rPr>
              <w:t>Resolutions 211</w:t>
            </w:r>
          </w:p>
        </w:tc>
        <w:tc>
          <w:tcPr>
            <w:tcW w:w="1276" w:type="dxa"/>
            <w:tcBorders>
              <w:top w:val="nil"/>
              <w:bottom w:val="nil"/>
            </w:tcBorders>
          </w:tcPr>
          <w:p w:rsidR="00000000" w:rsidRDefault="00000000">
            <w:pPr>
              <w:jc w:val="center"/>
              <w:rPr>
                <w:sz w:val="16"/>
              </w:rPr>
            </w:pPr>
            <w:r>
              <w:rPr>
                <w:sz w:val="16"/>
              </w:rPr>
              <w:t xml:space="preserve">       22 722</w:t>
            </w:r>
          </w:p>
        </w:tc>
        <w:tc>
          <w:tcPr>
            <w:tcW w:w="1134" w:type="dxa"/>
            <w:tcBorders>
              <w:top w:val="nil"/>
              <w:bottom w:val="nil"/>
            </w:tcBorders>
          </w:tcPr>
          <w:p w:rsidR="00000000" w:rsidRDefault="00000000">
            <w:pPr>
              <w:tabs>
                <w:tab w:val="decimal" w:pos="459"/>
              </w:tabs>
              <w:rPr>
                <w:sz w:val="16"/>
              </w:rPr>
            </w:pPr>
            <w:r>
              <w:rPr>
                <w:sz w:val="16"/>
              </w:rPr>
              <w:t>0.22</w:t>
            </w:r>
          </w:p>
        </w:tc>
        <w:tc>
          <w:tcPr>
            <w:tcW w:w="1276" w:type="dxa"/>
            <w:tcBorders>
              <w:top w:val="nil"/>
              <w:bottom w:val="nil"/>
            </w:tcBorders>
          </w:tcPr>
          <w:p w:rsidR="00000000" w:rsidRDefault="00000000">
            <w:pPr>
              <w:jc w:val="center"/>
              <w:rPr>
                <w:sz w:val="16"/>
              </w:rPr>
            </w:pPr>
            <w:r>
              <w:rPr>
                <w:sz w:val="16"/>
              </w:rPr>
              <w:t xml:space="preserve">     13 720</w:t>
            </w:r>
          </w:p>
        </w:tc>
        <w:tc>
          <w:tcPr>
            <w:tcW w:w="1276" w:type="dxa"/>
            <w:tcBorders>
              <w:top w:val="nil"/>
              <w:bottom w:val="nil"/>
            </w:tcBorders>
          </w:tcPr>
          <w:p w:rsidR="00000000" w:rsidRDefault="00000000">
            <w:pPr>
              <w:jc w:val="center"/>
              <w:rPr>
                <w:sz w:val="16"/>
              </w:rPr>
            </w:pPr>
            <w:r>
              <w:rPr>
                <w:sz w:val="16"/>
              </w:rPr>
              <w:t xml:space="preserve">      9 002</w:t>
            </w:r>
          </w:p>
        </w:tc>
        <w:tc>
          <w:tcPr>
            <w:tcW w:w="1134" w:type="dxa"/>
            <w:tcBorders>
              <w:top w:val="nil"/>
              <w:bottom w:val="nil"/>
            </w:tcBorders>
          </w:tcPr>
          <w:p w:rsidR="00000000" w:rsidRDefault="00000000">
            <w:pPr>
              <w:jc w:val="center"/>
              <w:rPr>
                <w:sz w:val="16"/>
              </w:rPr>
            </w:pPr>
            <w:r>
              <w:rPr>
                <w:sz w:val="16"/>
              </w:rPr>
              <w:t xml:space="preserve">      2 662</w:t>
            </w:r>
          </w:p>
        </w:tc>
        <w:tc>
          <w:tcPr>
            <w:tcW w:w="992" w:type="dxa"/>
            <w:tcBorders>
              <w:top w:val="nil"/>
              <w:bottom w:val="nil"/>
            </w:tcBorders>
          </w:tcPr>
          <w:p w:rsidR="00000000" w:rsidRDefault="00000000">
            <w:pPr>
              <w:jc w:val="center"/>
              <w:rPr>
                <w:sz w:val="16"/>
              </w:rPr>
            </w:pPr>
            <w:r>
              <w:rPr>
                <w:sz w:val="16"/>
              </w:rPr>
              <w:t xml:space="preserve">    2 166</w:t>
            </w:r>
          </w:p>
        </w:tc>
      </w:tr>
      <w:tr w:rsidR="00000000">
        <w:tblPrEx>
          <w:tblCellMar>
            <w:top w:w="0" w:type="dxa"/>
            <w:bottom w:w="0" w:type="dxa"/>
          </w:tblCellMar>
        </w:tblPrEx>
        <w:tc>
          <w:tcPr>
            <w:tcW w:w="2268" w:type="dxa"/>
            <w:tcBorders>
              <w:top w:val="nil"/>
              <w:bottom w:val="nil"/>
            </w:tcBorders>
          </w:tcPr>
          <w:p w:rsidR="00000000" w:rsidRDefault="00000000">
            <w:pPr>
              <w:rPr>
                <w:sz w:val="16"/>
              </w:rPr>
            </w:pPr>
            <w:r>
              <w:rPr>
                <w:sz w:val="16"/>
              </w:rPr>
              <w:t>Production support</w:t>
            </w:r>
          </w:p>
        </w:tc>
        <w:tc>
          <w:tcPr>
            <w:tcW w:w="1276" w:type="dxa"/>
            <w:tcBorders>
              <w:top w:val="nil"/>
              <w:bottom w:val="nil"/>
            </w:tcBorders>
          </w:tcPr>
          <w:p w:rsidR="00000000" w:rsidRDefault="00000000">
            <w:pPr>
              <w:jc w:val="center"/>
              <w:rPr>
                <w:sz w:val="16"/>
              </w:rPr>
            </w:pPr>
            <w:r>
              <w:rPr>
                <w:sz w:val="16"/>
              </w:rPr>
              <w:t xml:space="preserve">     107 193</w:t>
            </w:r>
          </w:p>
        </w:tc>
        <w:tc>
          <w:tcPr>
            <w:tcW w:w="1134" w:type="dxa"/>
            <w:tcBorders>
              <w:top w:val="nil"/>
              <w:bottom w:val="nil"/>
            </w:tcBorders>
          </w:tcPr>
          <w:p w:rsidR="00000000" w:rsidRDefault="00000000">
            <w:pPr>
              <w:tabs>
                <w:tab w:val="decimal" w:pos="459"/>
              </w:tabs>
              <w:rPr>
                <w:sz w:val="16"/>
              </w:rPr>
            </w:pPr>
            <w:r>
              <w:rPr>
                <w:sz w:val="16"/>
              </w:rPr>
              <w:t>1.06</w:t>
            </w:r>
          </w:p>
        </w:tc>
        <w:tc>
          <w:tcPr>
            <w:tcW w:w="1276" w:type="dxa"/>
            <w:tcBorders>
              <w:top w:val="nil"/>
              <w:bottom w:val="nil"/>
            </w:tcBorders>
          </w:tcPr>
          <w:p w:rsidR="00000000" w:rsidRDefault="00000000">
            <w:pPr>
              <w:jc w:val="center"/>
              <w:rPr>
                <w:sz w:val="16"/>
              </w:rPr>
            </w:pPr>
            <w:r>
              <w:rPr>
                <w:sz w:val="16"/>
              </w:rPr>
              <w:t xml:space="preserve">     50 015</w:t>
            </w:r>
          </w:p>
        </w:tc>
        <w:tc>
          <w:tcPr>
            <w:tcW w:w="1276" w:type="dxa"/>
            <w:tcBorders>
              <w:top w:val="nil"/>
              <w:bottom w:val="nil"/>
            </w:tcBorders>
          </w:tcPr>
          <w:p w:rsidR="00000000" w:rsidRDefault="00000000">
            <w:pPr>
              <w:jc w:val="center"/>
              <w:rPr>
                <w:sz w:val="16"/>
              </w:rPr>
            </w:pPr>
            <w:r>
              <w:rPr>
                <w:sz w:val="16"/>
              </w:rPr>
              <w:t xml:space="preserve">    57 178</w:t>
            </w:r>
          </w:p>
        </w:tc>
        <w:tc>
          <w:tcPr>
            <w:tcW w:w="1134" w:type="dxa"/>
            <w:tcBorders>
              <w:top w:val="nil"/>
              <w:bottom w:val="nil"/>
            </w:tcBorders>
          </w:tcPr>
          <w:p w:rsidR="00000000" w:rsidRDefault="00000000">
            <w:pPr>
              <w:jc w:val="center"/>
              <w:rPr>
                <w:sz w:val="16"/>
              </w:rPr>
            </w:pPr>
            <w:r>
              <w:rPr>
                <w:sz w:val="16"/>
              </w:rPr>
              <w:t xml:space="preserve">      2 985</w:t>
            </w:r>
          </w:p>
        </w:tc>
        <w:tc>
          <w:tcPr>
            <w:tcW w:w="992" w:type="dxa"/>
            <w:tcBorders>
              <w:top w:val="nil"/>
              <w:bottom w:val="nil"/>
            </w:tcBorders>
          </w:tcPr>
          <w:p w:rsidR="00000000" w:rsidRDefault="00000000">
            <w:pPr>
              <w:jc w:val="center"/>
              <w:rPr>
                <w:sz w:val="16"/>
              </w:rPr>
            </w:pPr>
            <w:r>
              <w:rPr>
                <w:sz w:val="16"/>
              </w:rPr>
              <w:t xml:space="preserve">   10 219</w:t>
            </w:r>
          </w:p>
        </w:tc>
      </w:tr>
      <w:tr w:rsidR="00000000">
        <w:tblPrEx>
          <w:tblCellMar>
            <w:top w:w="0" w:type="dxa"/>
            <w:bottom w:w="0" w:type="dxa"/>
          </w:tblCellMar>
        </w:tblPrEx>
        <w:tc>
          <w:tcPr>
            <w:tcW w:w="2268" w:type="dxa"/>
            <w:tcBorders>
              <w:top w:val="nil"/>
              <w:bottom w:val="nil"/>
            </w:tcBorders>
          </w:tcPr>
          <w:p w:rsidR="00000000" w:rsidRDefault="00000000">
            <w:pPr>
              <w:rPr>
                <w:sz w:val="16"/>
              </w:rPr>
            </w:pPr>
            <w:r>
              <w:rPr>
                <w:sz w:val="16"/>
              </w:rPr>
              <w:t>Total FGTS</w:t>
            </w:r>
          </w:p>
        </w:tc>
        <w:tc>
          <w:tcPr>
            <w:tcW w:w="1276" w:type="dxa"/>
            <w:tcBorders>
              <w:top w:val="nil"/>
              <w:bottom w:val="nil"/>
            </w:tcBorders>
          </w:tcPr>
          <w:p w:rsidR="00000000" w:rsidRDefault="00000000">
            <w:pPr>
              <w:jc w:val="center"/>
              <w:rPr>
                <w:sz w:val="16"/>
              </w:rPr>
            </w:pPr>
            <w:r>
              <w:rPr>
                <w:sz w:val="16"/>
              </w:rPr>
              <w:t xml:space="preserve">  9 105 224</w:t>
            </w:r>
          </w:p>
        </w:tc>
        <w:tc>
          <w:tcPr>
            <w:tcW w:w="1134" w:type="dxa"/>
            <w:tcBorders>
              <w:top w:val="nil"/>
              <w:bottom w:val="nil"/>
            </w:tcBorders>
          </w:tcPr>
          <w:p w:rsidR="00000000" w:rsidRDefault="00000000">
            <w:pPr>
              <w:tabs>
                <w:tab w:val="decimal" w:pos="459"/>
              </w:tabs>
              <w:rPr>
                <w:sz w:val="16"/>
              </w:rPr>
            </w:pPr>
            <w:r>
              <w:rPr>
                <w:sz w:val="16"/>
              </w:rPr>
              <w:t>90 01</w:t>
            </w:r>
          </w:p>
        </w:tc>
        <w:tc>
          <w:tcPr>
            <w:tcW w:w="1276" w:type="dxa"/>
            <w:tcBorders>
              <w:top w:val="nil"/>
              <w:bottom w:val="nil"/>
            </w:tcBorders>
          </w:tcPr>
          <w:p w:rsidR="00000000" w:rsidRDefault="00000000">
            <w:pPr>
              <w:jc w:val="center"/>
              <w:rPr>
                <w:sz w:val="16"/>
              </w:rPr>
            </w:pPr>
            <w:r>
              <w:rPr>
                <w:sz w:val="16"/>
              </w:rPr>
              <w:t>7 757 611</w:t>
            </w:r>
          </w:p>
        </w:tc>
        <w:tc>
          <w:tcPr>
            <w:tcW w:w="1276" w:type="dxa"/>
            <w:tcBorders>
              <w:top w:val="nil"/>
              <w:bottom w:val="nil"/>
            </w:tcBorders>
          </w:tcPr>
          <w:p w:rsidR="00000000" w:rsidRDefault="00000000">
            <w:pPr>
              <w:jc w:val="center"/>
              <w:rPr>
                <w:sz w:val="16"/>
              </w:rPr>
            </w:pPr>
            <w:r>
              <w:rPr>
                <w:sz w:val="16"/>
              </w:rPr>
              <w:t>1 347 613</w:t>
            </w:r>
          </w:p>
        </w:tc>
        <w:tc>
          <w:tcPr>
            <w:tcW w:w="1134" w:type="dxa"/>
            <w:tcBorders>
              <w:top w:val="nil"/>
              <w:bottom w:val="nil"/>
            </w:tcBorders>
          </w:tcPr>
          <w:p w:rsidR="00000000" w:rsidRDefault="00000000">
            <w:pPr>
              <w:jc w:val="center"/>
              <w:rPr>
                <w:sz w:val="16"/>
              </w:rPr>
            </w:pPr>
            <w:r>
              <w:rPr>
                <w:sz w:val="16"/>
              </w:rPr>
              <w:t xml:space="preserve">   837 591</w:t>
            </w:r>
          </w:p>
        </w:tc>
        <w:tc>
          <w:tcPr>
            <w:tcW w:w="992" w:type="dxa"/>
            <w:tcBorders>
              <w:top w:val="nil"/>
              <w:bottom w:val="nil"/>
            </w:tcBorders>
          </w:tcPr>
          <w:p w:rsidR="00000000" w:rsidRDefault="00000000">
            <w:pPr>
              <w:jc w:val="center"/>
              <w:rPr>
                <w:sz w:val="16"/>
              </w:rPr>
            </w:pPr>
            <w:r>
              <w:rPr>
                <w:sz w:val="16"/>
              </w:rPr>
              <w:t>405 934</w:t>
            </w:r>
          </w:p>
        </w:tc>
      </w:tr>
      <w:tr w:rsidR="00000000">
        <w:tblPrEx>
          <w:tblCellMar>
            <w:top w:w="0" w:type="dxa"/>
            <w:bottom w:w="0" w:type="dxa"/>
          </w:tblCellMar>
        </w:tblPrEx>
        <w:tc>
          <w:tcPr>
            <w:tcW w:w="2268" w:type="dxa"/>
            <w:tcBorders>
              <w:top w:val="nil"/>
              <w:bottom w:val="nil"/>
            </w:tcBorders>
          </w:tcPr>
          <w:p w:rsidR="00000000" w:rsidRDefault="00000000">
            <w:pPr>
              <w:rPr>
                <w:sz w:val="16"/>
              </w:rPr>
            </w:pPr>
            <w:r>
              <w:rPr>
                <w:sz w:val="16"/>
              </w:rPr>
              <w:t>HABITAR</w:t>
            </w:r>
            <w:r>
              <w:rPr>
                <w:sz w:val="16"/>
              </w:rPr>
              <w:noBreakHyphen/>
              <w:t>BRASIL</w:t>
            </w:r>
          </w:p>
        </w:tc>
        <w:tc>
          <w:tcPr>
            <w:tcW w:w="1276" w:type="dxa"/>
            <w:tcBorders>
              <w:top w:val="nil"/>
              <w:bottom w:val="nil"/>
            </w:tcBorders>
          </w:tcPr>
          <w:p w:rsidR="00000000" w:rsidRDefault="00000000">
            <w:pPr>
              <w:jc w:val="center"/>
              <w:rPr>
                <w:sz w:val="16"/>
              </w:rPr>
            </w:pPr>
            <w:r>
              <w:rPr>
                <w:sz w:val="16"/>
              </w:rPr>
              <w:t xml:space="preserve">  1 010 540</w:t>
            </w:r>
          </w:p>
        </w:tc>
        <w:tc>
          <w:tcPr>
            <w:tcW w:w="1134" w:type="dxa"/>
            <w:tcBorders>
              <w:top w:val="nil"/>
              <w:bottom w:val="nil"/>
            </w:tcBorders>
          </w:tcPr>
          <w:p w:rsidR="00000000" w:rsidRDefault="00000000">
            <w:pPr>
              <w:tabs>
                <w:tab w:val="decimal" w:pos="459"/>
              </w:tabs>
              <w:rPr>
                <w:sz w:val="16"/>
              </w:rPr>
            </w:pPr>
            <w:r>
              <w:rPr>
                <w:sz w:val="16"/>
              </w:rPr>
              <w:t>9.99</w:t>
            </w:r>
          </w:p>
        </w:tc>
        <w:tc>
          <w:tcPr>
            <w:tcW w:w="1276" w:type="dxa"/>
            <w:tcBorders>
              <w:top w:val="nil"/>
              <w:bottom w:val="nil"/>
            </w:tcBorders>
          </w:tcPr>
          <w:p w:rsidR="00000000" w:rsidRDefault="00000000">
            <w:pPr>
              <w:jc w:val="center"/>
              <w:rPr>
                <w:sz w:val="16"/>
              </w:rPr>
            </w:pPr>
            <w:r>
              <w:rPr>
                <w:sz w:val="16"/>
              </w:rPr>
              <w:t xml:space="preserve">   809 647</w:t>
            </w:r>
          </w:p>
        </w:tc>
        <w:tc>
          <w:tcPr>
            <w:tcW w:w="1276" w:type="dxa"/>
            <w:tcBorders>
              <w:top w:val="nil"/>
              <w:bottom w:val="nil"/>
            </w:tcBorders>
          </w:tcPr>
          <w:p w:rsidR="00000000" w:rsidRDefault="00000000">
            <w:pPr>
              <w:jc w:val="center"/>
              <w:rPr>
                <w:sz w:val="16"/>
              </w:rPr>
            </w:pPr>
            <w:r>
              <w:rPr>
                <w:sz w:val="16"/>
              </w:rPr>
              <w:t xml:space="preserve">   200 893</w:t>
            </w:r>
          </w:p>
        </w:tc>
        <w:tc>
          <w:tcPr>
            <w:tcW w:w="1134" w:type="dxa"/>
            <w:tcBorders>
              <w:top w:val="nil"/>
              <w:bottom w:val="nil"/>
            </w:tcBorders>
          </w:tcPr>
          <w:p w:rsidR="00000000" w:rsidRDefault="00000000">
            <w:pPr>
              <w:jc w:val="center"/>
              <w:rPr>
                <w:sz w:val="16"/>
              </w:rPr>
            </w:pPr>
            <w:r>
              <w:rPr>
                <w:sz w:val="16"/>
              </w:rPr>
              <w:t xml:space="preserve">   402 045</w:t>
            </w:r>
          </w:p>
        </w:tc>
        <w:tc>
          <w:tcPr>
            <w:tcW w:w="992" w:type="dxa"/>
            <w:tcBorders>
              <w:top w:val="nil"/>
              <w:bottom w:val="nil"/>
            </w:tcBorders>
          </w:tcPr>
          <w:p w:rsidR="00000000" w:rsidRDefault="00000000">
            <w:pPr>
              <w:jc w:val="center"/>
              <w:rPr>
                <w:sz w:val="16"/>
              </w:rPr>
            </w:pPr>
            <w:r>
              <w:rPr>
                <w:sz w:val="16"/>
              </w:rPr>
              <w:t>423 176</w:t>
            </w:r>
          </w:p>
        </w:tc>
      </w:tr>
      <w:tr w:rsidR="00000000">
        <w:tblPrEx>
          <w:tblCellMar>
            <w:top w:w="0" w:type="dxa"/>
            <w:bottom w:w="0" w:type="dxa"/>
          </w:tblCellMar>
        </w:tblPrEx>
        <w:tc>
          <w:tcPr>
            <w:tcW w:w="2268" w:type="dxa"/>
            <w:tcBorders>
              <w:top w:val="nil"/>
              <w:bottom w:val="single" w:sz="4" w:space="0" w:color="auto"/>
            </w:tcBorders>
          </w:tcPr>
          <w:p w:rsidR="00000000" w:rsidRDefault="00000000">
            <w:pPr>
              <w:rPr>
                <w:sz w:val="16"/>
              </w:rPr>
            </w:pPr>
            <w:r>
              <w:rPr>
                <w:sz w:val="16"/>
              </w:rPr>
              <w:t>Total State budget</w:t>
            </w:r>
          </w:p>
        </w:tc>
        <w:tc>
          <w:tcPr>
            <w:tcW w:w="1276" w:type="dxa"/>
            <w:tcBorders>
              <w:top w:val="nil"/>
              <w:bottom w:val="single" w:sz="4" w:space="0" w:color="auto"/>
            </w:tcBorders>
          </w:tcPr>
          <w:p w:rsidR="00000000" w:rsidRDefault="00000000">
            <w:pPr>
              <w:jc w:val="center"/>
              <w:rPr>
                <w:sz w:val="16"/>
              </w:rPr>
            </w:pPr>
            <w:r>
              <w:rPr>
                <w:sz w:val="16"/>
              </w:rPr>
              <w:t xml:space="preserve">  1 010 540</w:t>
            </w:r>
          </w:p>
        </w:tc>
        <w:tc>
          <w:tcPr>
            <w:tcW w:w="1134" w:type="dxa"/>
            <w:tcBorders>
              <w:top w:val="nil"/>
              <w:bottom w:val="single" w:sz="4" w:space="0" w:color="auto"/>
            </w:tcBorders>
          </w:tcPr>
          <w:p w:rsidR="00000000" w:rsidRDefault="00000000">
            <w:pPr>
              <w:tabs>
                <w:tab w:val="decimal" w:pos="459"/>
              </w:tabs>
              <w:rPr>
                <w:sz w:val="16"/>
              </w:rPr>
            </w:pPr>
            <w:r>
              <w:rPr>
                <w:sz w:val="16"/>
              </w:rPr>
              <w:t>9.99</w:t>
            </w:r>
          </w:p>
        </w:tc>
        <w:tc>
          <w:tcPr>
            <w:tcW w:w="1276" w:type="dxa"/>
            <w:tcBorders>
              <w:top w:val="nil"/>
              <w:bottom w:val="single" w:sz="4" w:space="0" w:color="auto"/>
            </w:tcBorders>
          </w:tcPr>
          <w:p w:rsidR="00000000" w:rsidRDefault="00000000">
            <w:pPr>
              <w:jc w:val="center"/>
              <w:rPr>
                <w:sz w:val="16"/>
              </w:rPr>
            </w:pPr>
            <w:r>
              <w:rPr>
                <w:sz w:val="16"/>
              </w:rPr>
              <w:t xml:space="preserve">   809 647</w:t>
            </w:r>
          </w:p>
        </w:tc>
        <w:tc>
          <w:tcPr>
            <w:tcW w:w="1276" w:type="dxa"/>
            <w:tcBorders>
              <w:top w:val="nil"/>
              <w:bottom w:val="single" w:sz="4" w:space="0" w:color="auto"/>
            </w:tcBorders>
          </w:tcPr>
          <w:p w:rsidR="00000000" w:rsidRDefault="00000000">
            <w:pPr>
              <w:jc w:val="center"/>
              <w:rPr>
                <w:sz w:val="16"/>
              </w:rPr>
            </w:pPr>
            <w:r>
              <w:rPr>
                <w:sz w:val="16"/>
              </w:rPr>
              <w:t xml:space="preserve">   200 893</w:t>
            </w:r>
          </w:p>
        </w:tc>
        <w:tc>
          <w:tcPr>
            <w:tcW w:w="1134" w:type="dxa"/>
            <w:tcBorders>
              <w:top w:val="nil"/>
              <w:bottom w:val="single" w:sz="4" w:space="0" w:color="auto"/>
            </w:tcBorders>
          </w:tcPr>
          <w:p w:rsidR="00000000" w:rsidRDefault="00000000">
            <w:pPr>
              <w:jc w:val="center"/>
              <w:rPr>
                <w:sz w:val="16"/>
              </w:rPr>
            </w:pPr>
            <w:r>
              <w:rPr>
                <w:sz w:val="16"/>
              </w:rPr>
              <w:t xml:space="preserve">   402 045</w:t>
            </w:r>
          </w:p>
        </w:tc>
        <w:tc>
          <w:tcPr>
            <w:tcW w:w="992" w:type="dxa"/>
            <w:tcBorders>
              <w:top w:val="nil"/>
              <w:bottom w:val="single" w:sz="4" w:space="0" w:color="auto"/>
            </w:tcBorders>
          </w:tcPr>
          <w:p w:rsidR="00000000" w:rsidRDefault="00000000">
            <w:pPr>
              <w:jc w:val="center"/>
              <w:rPr>
                <w:sz w:val="16"/>
              </w:rPr>
            </w:pPr>
            <w:r>
              <w:rPr>
                <w:sz w:val="16"/>
              </w:rPr>
              <w:t>423 176</w:t>
            </w:r>
          </w:p>
        </w:tc>
      </w:tr>
      <w:tr w:rsidR="00000000">
        <w:tblPrEx>
          <w:tblCellMar>
            <w:top w:w="0" w:type="dxa"/>
            <w:bottom w:w="0" w:type="dxa"/>
          </w:tblCellMar>
        </w:tblPrEx>
        <w:trPr>
          <w:trHeight w:val="112"/>
        </w:trPr>
        <w:tc>
          <w:tcPr>
            <w:tcW w:w="2268" w:type="dxa"/>
            <w:tcBorders>
              <w:top w:val="single" w:sz="4" w:space="0" w:color="auto"/>
            </w:tcBorders>
          </w:tcPr>
          <w:p w:rsidR="00000000" w:rsidRDefault="00000000">
            <w:pPr>
              <w:spacing w:after="120"/>
              <w:rPr>
                <w:sz w:val="16"/>
              </w:rPr>
            </w:pPr>
            <w:r>
              <w:rPr>
                <w:sz w:val="16"/>
              </w:rPr>
              <w:tab/>
              <w:t>Grand total</w:t>
            </w:r>
          </w:p>
        </w:tc>
        <w:tc>
          <w:tcPr>
            <w:tcW w:w="1276" w:type="dxa"/>
            <w:tcBorders>
              <w:top w:val="single" w:sz="4" w:space="0" w:color="auto"/>
            </w:tcBorders>
          </w:tcPr>
          <w:p w:rsidR="00000000" w:rsidRDefault="00000000">
            <w:pPr>
              <w:spacing w:after="120"/>
              <w:jc w:val="center"/>
              <w:rPr>
                <w:sz w:val="16"/>
              </w:rPr>
            </w:pPr>
            <w:r>
              <w:rPr>
                <w:sz w:val="16"/>
              </w:rPr>
              <w:t>10 115 764</w:t>
            </w:r>
          </w:p>
        </w:tc>
        <w:tc>
          <w:tcPr>
            <w:tcW w:w="1134" w:type="dxa"/>
            <w:tcBorders>
              <w:top w:val="single" w:sz="4" w:space="0" w:color="auto"/>
            </w:tcBorders>
          </w:tcPr>
          <w:p w:rsidR="00000000" w:rsidRDefault="00000000">
            <w:pPr>
              <w:tabs>
                <w:tab w:val="decimal" w:pos="459"/>
              </w:tabs>
              <w:spacing w:after="120"/>
              <w:rPr>
                <w:sz w:val="16"/>
              </w:rPr>
            </w:pPr>
            <w:r>
              <w:rPr>
                <w:sz w:val="16"/>
              </w:rPr>
              <w:t>100.00</w:t>
            </w:r>
          </w:p>
        </w:tc>
        <w:tc>
          <w:tcPr>
            <w:tcW w:w="1276" w:type="dxa"/>
            <w:tcBorders>
              <w:top w:val="single" w:sz="4" w:space="0" w:color="auto"/>
            </w:tcBorders>
          </w:tcPr>
          <w:p w:rsidR="00000000" w:rsidRDefault="00000000">
            <w:pPr>
              <w:spacing w:after="120"/>
              <w:jc w:val="center"/>
              <w:rPr>
                <w:sz w:val="16"/>
              </w:rPr>
            </w:pPr>
            <w:r>
              <w:rPr>
                <w:sz w:val="16"/>
              </w:rPr>
              <w:t>8 567 258</w:t>
            </w:r>
          </w:p>
        </w:tc>
        <w:tc>
          <w:tcPr>
            <w:tcW w:w="1276" w:type="dxa"/>
            <w:tcBorders>
              <w:top w:val="single" w:sz="4" w:space="0" w:color="auto"/>
            </w:tcBorders>
          </w:tcPr>
          <w:p w:rsidR="00000000" w:rsidRDefault="00000000">
            <w:pPr>
              <w:spacing w:after="120"/>
              <w:jc w:val="center"/>
              <w:rPr>
                <w:sz w:val="16"/>
              </w:rPr>
            </w:pPr>
            <w:r>
              <w:rPr>
                <w:sz w:val="16"/>
              </w:rPr>
              <w:t>1 548 506</w:t>
            </w:r>
          </w:p>
        </w:tc>
        <w:tc>
          <w:tcPr>
            <w:tcW w:w="1134" w:type="dxa"/>
            <w:tcBorders>
              <w:top w:val="single" w:sz="4" w:space="0" w:color="auto"/>
            </w:tcBorders>
          </w:tcPr>
          <w:p w:rsidR="00000000" w:rsidRDefault="00000000">
            <w:pPr>
              <w:spacing w:after="120"/>
              <w:jc w:val="center"/>
              <w:rPr>
                <w:sz w:val="16"/>
              </w:rPr>
            </w:pPr>
            <w:r>
              <w:rPr>
                <w:sz w:val="16"/>
              </w:rPr>
              <w:t>1 239 636</w:t>
            </w:r>
          </w:p>
        </w:tc>
        <w:tc>
          <w:tcPr>
            <w:tcW w:w="992" w:type="dxa"/>
            <w:tcBorders>
              <w:top w:val="single" w:sz="4" w:space="0" w:color="auto"/>
            </w:tcBorders>
          </w:tcPr>
          <w:p w:rsidR="00000000" w:rsidRDefault="00000000">
            <w:pPr>
              <w:spacing w:after="120"/>
              <w:jc w:val="center"/>
              <w:rPr>
                <w:sz w:val="16"/>
              </w:rPr>
            </w:pPr>
            <w:r>
              <w:rPr>
                <w:sz w:val="16"/>
              </w:rPr>
              <w:t>502 273</w:t>
            </w:r>
          </w:p>
        </w:tc>
      </w:tr>
    </w:tbl>
    <w:p w:rsidR="00000000" w:rsidRDefault="00000000"/>
    <w:p w:rsidR="00000000" w:rsidRDefault="00000000">
      <w:r>
        <w:tab/>
      </w:r>
      <w:r>
        <w:rPr>
          <w:u w:val="single"/>
        </w:rPr>
        <w:t>Source</w:t>
      </w:r>
      <w:r>
        <w:t xml:space="preserve">:  SEDU/SEPURB </w:t>
      </w:r>
      <w:r>
        <w:noBreakHyphen/>
        <w:t xml:space="preserve"> Management Report on Monitoring and Evaluation of Housing Programmes, August 1999.</w:t>
      </w:r>
    </w:p>
    <w:p w:rsidR="00000000" w:rsidRDefault="00000000">
      <w:pPr>
        <w:pStyle w:val="ParaNo"/>
        <w:tabs>
          <w:tab w:val="clear" w:pos="360"/>
          <w:tab w:val="clear" w:pos="737"/>
        </w:tabs>
        <w:rPr>
          <w:lang w:val="en-GB"/>
        </w:rPr>
      </w:pPr>
      <w:r>
        <w:rPr>
          <w:lang w:val="en-GB"/>
        </w:rPr>
        <w:t>The National Sanitation Policy implemented by the Government from 1995 through 1999 comprises two types of programmes:  (i) programmes aimed at expanding the supply of sanitation services, focused especially on the lower</w:t>
      </w:r>
      <w:r>
        <w:rPr>
          <w:lang w:val="en-GB"/>
        </w:rPr>
        <w:noBreakHyphen/>
        <w:t>income segments (Pro</w:t>
      </w:r>
      <w:r>
        <w:rPr>
          <w:lang w:val="en-GB"/>
        </w:rPr>
        <w:noBreakHyphen/>
        <w:t>Sanitation, Sanitation Social Action</w:t>
      </w:r>
      <w:r>
        <w:rPr>
          <w:lang w:val="en-GB"/>
        </w:rPr>
        <w:noBreakHyphen/>
        <w:t>PASS and Sanitation Action  Programme</w:t>
      </w:r>
      <w:r>
        <w:rPr>
          <w:lang w:val="en-GB"/>
        </w:rPr>
        <w:noBreakHyphen/>
        <w:t>PROSEGE; and (ii) programmes aimed at restructuring the sanitation sector (Sanitation Sector Modernization Programme</w:t>
      </w:r>
      <w:r>
        <w:rPr>
          <w:lang w:val="en-GB"/>
        </w:rPr>
        <w:noBreakHyphen/>
        <w:t>PMSS, Water Quality  Programme</w:t>
      </w:r>
      <w:r>
        <w:rPr>
          <w:lang w:val="en-GB"/>
        </w:rPr>
        <w:noBreakHyphen/>
        <w:t>PQA, National Water Wastage Control programme, and  Programmes in Support of Solid Waste Management</w:t>
      </w:r>
      <w:r>
        <w:rPr>
          <w:lang w:val="en-GB"/>
        </w:rPr>
        <w:noBreakHyphen/>
        <w:t>PROGEST).  These programmes accounted for investment of Cr$ 5,264,100,000 between January 1995 and October 1998.</w:t>
      </w:r>
    </w:p>
    <w:p w:rsidR="00000000" w:rsidRDefault="00000000"/>
    <w:p w:rsidR="00000000" w:rsidRDefault="00000000">
      <w:pPr>
        <w:pStyle w:val="ParaNo"/>
        <w:tabs>
          <w:tab w:val="clear" w:pos="360"/>
          <w:tab w:val="clear" w:pos="737"/>
        </w:tabs>
        <w:rPr>
          <w:lang w:val="en-GB"/>
        </w:rPr>
      </w:pPr>
      <w:r>
        <w:rPr>
          <w:lang w:val="en-GB"/>
        </w:rPr>
        <w:t>Finally, in the area of urban infrastructure and transportation, the PRO</w:t>
      </w:r>
      <w:r>
        <w:rPr>
          <w:lang w:val="en-GB"/>
        </w:rPr>
        <w:noBreakHyphen/>
        <w:t>INFRA programme financed with FGTS funds should be mentioned.</w:t>
      </w:r>
    </w:p>
    <w:p w:rsidR="00000000" w:rsidRDefault="00000000"/>
    <w:p w:rsidR="00000000" w:rsidRDefault="00000000">
      <w:pPr>
        <w:pStyle w:val="ParaNo"/>
        <w:tabs>
          <w:tab w:val="clear" w:pos="360"/>
          <w:tab w:val="clear" w:pos="737"/>
        </w:tabs>
        <w:rPr>
          <w:lang w:val="en-GB"/>
        </w:rPr>
      </w:pPr>
      <w:r>
        <w:rPr>
          <w:lang w:val="en-GB"/>
        </w:rPr>
        <w:t>The major financing sources for investment in housing and urban infrastructure are the FGTS and the State Budget</w:t>
      </w:r>
      <w:r>
        <w:rPr>
          <w:lang w:val="en-GB"/>
        </w:rPr>
        <w:noBreakHyphen/>
        <w:t>OGU.  The Budget, prepared by the executive branch, is submitted for the approval of the National Congress each year.  It presents a forecast of federal government expenditures for the various agencies, functions, programmes and subprogrammes, projects and activities in different areas.  In the areas of housing, sanitation, and urban transportation, for instance, the OGU includes major projects to be financed with federal funds, whether from the National Treasury or other sources (foreign loans, FGTS, etc.).  Although they are included in the OGU, disbursement of these funds requires authorization from the Ministry of Finance during budget execution and is subject to contingency and to the State’s legal and financial norms.</w:t>
      </w:r>
    </w:p>
    <w:p w:rsidR="00000000" w:rsidRDefault="00000000"/>
    <w:p w:rsidR="00000000" w:rsidRDefault="00000000">
      <w:pPr>
        <w:pStyle w:val="ParaNo"/>
        <w:tabs>
          <w:tab w:val="clear" w:pos="360"/>
          <w:tab w:val="clear" w:pos="737"/>
        </w:tabs>
        <w:rPr>
          <w:lang w:val="en-GB"/>
        </w:rPr>
      </w:pPr>
      <w:r>
        <w:rPr>
          <w:lang w:val="en-GB"/>
        </w:rPr>
        <w:t>The amount of FGTS funds used in contracting loans each fiscal year depends on the availability of net resources for new applications, obtained from the difference between cash inflow plus initial available funds and cash outflow, after deduction of reserves authorized by the FGTS Board of Trustees</w:t>
      </w:r>
      <w:r>
        <w:rPr>
          <w:lang w:val="en-GB"/>
        </w:rPr>
        <w:noBreakHyphen/>
        <w:t>CCFGTS, pursuant to CCFGTS resolution No. 246/96, annex I.  According to said resolution, 40 per cent of FGTS total resources must go to investment in basic sanitation and infrastructure, the remaining 60 per cent going to popular housing.  Distribution of funds among the states is defined on the basis of the following variables:  gross revenue from FGTS</w:t>
      </w:r>
      <w:r>
        <w:rPr>
          <w:lang w:val="en-GB"/>
        </w:rPr>
        <w:noBreakHyphen/>
        <w:t>linked accounts, urban population, housing deficit, and water and sewerage services deficit.  Funds are allocated by region and income bracket.</w:t>
      </w:r>
    </w:p>
    <w:p w:rsidR="00000000" w:rsidRDefault="00000000"/>
    <w:p w:rsidR="00000000" w:rsidRDefault="00000000">
      <w:pPr>
        <w:pStyle w:val="ParaNo"/>
        <w:tabs>
          <w:tab w:val="clear" w:pos="360"/>
          <w:tab w:val="clear" w:pos="737"/>
        </w:tabs>
        <w:rPr>
          <w:lang w:val="en-GB"/>
        </w:rPr>
      </w:pPr>
      <w:r>
        <w:rPr>
          <w:lang w:val="en-GB"/>
        </w:rPr>
        <w:t>HABITAR BRASIL</w:t>
      </w:r>
      <w:r>
        <w:rPr>
          <w:lang w:val="en-GB"/>
        </w:rPr>
        <w:noBreakHyphen/>
        <w:t xml:space="preserve">BID, PASS/BID and PROSEGE are federal urban development programmes financed from external resources </w:t>
      </w:r>
      <w:r>
        <w:rPr>
          <w:lang w:val="en-GB"/>
        </w:rPr>
        <w:noBreakHyphen/>
        <w:t xml:space="preserve"> all three are financed from resources from the Inter</w:t>
      </w:r>
      <w:r>
        <w:rPr>
          <w:lang w:val="en-GB"/>
        </w:rPr>
        <w:noBreakHyphen/>
        <w:t>American Development Bank</w:t>
      </w:r>
      <w:r>
        <w:rPr>
          <w:lang w:val="en-GB"/>
        </w:rPr>
        <w:noBreakHyphen/>
        <w:t>IADB, which are channelled through the Federal Government as grants and complemented by counterpart funds from the states and municipalities, and by PMSS and PQA.  PMSS and PQA resources from foreign loans obtained from the World Bank, plus counterpart funds from benefiting states.</w:t>
      </w:r>
    </w:p>
    <w:p w:rsidR="00000000" w:rsidRDefault="00000000"/>
    <w:p w:rsidR="00000000" w:rsidRDefault="00000000">
      <w:pPr>
        <w:pStyle w:val="ParaNo"/>
        <w:tabs>
          <w:tab w:val="clear" w:pos="360"/>
          <w:tab w:val="clear" w:pos="737"/>
        </w:tabs>
        <w:rPr>
          <w:lang w:val="en-GB"/>
        </w:rPr>
      </w:pPr>
      <w:r>
        <w:rPr>
          <w:lang w:val="en-GB"/>
        </w:rPr>
        <w:t>HABITAR BRASIL</w:t>
      </w:r>
      <w:r>
        <w:rPr>
          <w:lang w:val="en-GB"/>
        </w:rPr>
        <w:noBreakHyphen/>
        <w:t>BID, PASS/BID and PROSEGE are targeted at low</w:t>
      </w:r>
      <w:r>
        <w:rPr>
          <w:lang w:val="en-GB"/>
        </w:rPr>
        <w:noBreakHyphen/>
        <w:t>income population segments (families with a monthly income of up to three minimum salaries in the first two cases and families with a monthly income of up to seven minimum salaries in the case of PROSEGE).  Programme guidelines aim specifically at reducing social inequalities by ascribing priority to investment that will meet the needs of the disadvantaged population.</w:t>
      </w:r>
    </w:p>
    <w:p w:rsidR="00000000" w:rsidRDefault="00000000"/>
    <w:p w:rsidR="00000000" w:rsidRDefault="00000000"/>
    <w:p w:rsidR="00000000" w:rsidRDefault="00000000">
      <w:pPr>
        <w:pStyle w:val="ParaNo"/>
        <w:tabs>
          <w:tab w:val="clear" w:pos="360"/>
          <w:tab w:val="clear" w:pos="737"/>
        </w:tabs>
        <w:rPr>
          <w:lang w:val="en-GB"/>
        </w:rPr>
      </w:pPr>
      <w:r>
        <w:rPr>
          <w:lang w:val="en-GB"/>
        </w:rPr>
        <w:t>The PMSS and the PQA aim at restructuring the sanitation sectors so as to increase efficiency.  Emphasis is placed on issues related to institutional development.  They have no specific guidelines favouring lower</w:t>
      </w:r>
      <w:r>
        <w:rPr>
          <w:lang w:val="en-GB"/>
        </w:rPr>
        <w:noBreakHyphen/>
        <w:t>income brackets, which benefit only indirectly.</w:t>
      </w:r>
    </w:p>
    <w:p w:rsidR="00000000" w:rsidRDefault="00000000"/>
    <w:p w:rsidR="00000000" w:rsidRDefault="00000000">
      <w:pPr>
        <w:pStyle w:val="ParaNo"/>
        <w:tabs>
          <w:tab w:val="clear" w:pos="360"/>
          <w:tab w:val="clear" w:pos="737"/>
        </w:tabs>
        <w:rPr>
          <w:lang w:val="en-GB"/>
        </w:rPr>
      </w:pPr>
      <w:r>
        <w:rPr>
          <w:lang w:val="en-GB"/>
        </w:rPr>
        <w:t>The operational segment of the regulations of the HABITAR BRASIL/BID programme, based on a contract signed with the IADB on 13 September 1999, makes clear the concern for the disadvantaged of the population.  The main objective is to raise the housing standards and quality of life of families with a monthly income of up to three minimum salaries who live in substandard settlements located in metropolitan areas, urban agglomerations and state capitals.  This objective also includes encouraging municipal governments to undertake efforts to alleviate problems in this area.</w:t>
      </w:r>
    </w:p>
    <w:p w:rsidR="00000000" w:rsidRDefault="00000000"/>
    <w:p w:rsidR="00000000" w:rsidRDefault="00000000">
      <w:pPr>
        <w:pStyle w:val="ParaNo"/>
        <w:tabs>
          <w:tab w:val="clear" w:pos="360"/>
          <w:tab w:val="clear" w:pos="737"/>
        </w:tabs>
        <w:rPr>
          <w:lang w:val="en-GB"/>
        </w:rPr>
      </w:pPr>
      <w:r>
        <w:rPr>
          <w:lang w:val="en-GB"/>
        </w:rPr>
        <w:t>The programme includes an Institutional Development Subprogramme</w:t>
      </w:r>
      <w:r>
        <w:rPr>
          <w:lang w:val="en-GB"/>
        </w:rPr>
        <w:noBreakHyphen/>
        <w:t>DI and a Substandard Settlement Urbanization Subprogramme.  Priority criteria for eligibility for the programme are established after a determination of the extent of the need for urban services.  States are placed in a hierarchical order on the basis of the number of urban homes in precarious</w:t>
      </w:r>
      <w:r>
        <w:rPr>
          <w:rStyle w:val="FootnoteReference"/>
          <w:b w:val="0"/>
          <w:bCs/>
          <w:vertAlign w:val="baseline"/>
          <w:lang w:val="en-GB"/>
        </w:rPr>
        <w:footnoteReference w:customMarkFollows="1" w:id="3"/>
        <w:sym w:font="Plantin OUP" w:char="F02A"/>
      </w:r>
      <w:r>
        <w:rPr>
          <w:lang w:val="en-GB"/>
        </w:rPr>
        <w:t xml:space="preserve"> condition.  Areas eligible for intervention must meet the following requirements:  </w:t>
      </w:r>
    </w:p>
    <w:p w:rsidR="00000000" w:rsidRDefault="00000000"/>
    <w:p w:rsidR="00000000" w:rsidRDefault="00000000">
      <w:r>
        <w:tab/>
        <w:t>(a)</w:t>
      </w:r>
      <w:r>
        <w:tab/>
        <w:t>They must have been occupied by a substandard settlement for more than five years and at least 60 per cent of residents must have a family income of three minimum salaries at the most;</w:t>
      </w:r>
    </w:p>
    <w:p w:rsidR="00000000" w:rsidRDefault="00000000"/>
    <w:p w:rsidR="00000000" w:rsidRDefault="00000000">
      <w:r>
        <w:tab/>
        <w:t>(b)</w:t>
      </w:r>
      <w:r>
        <w:tab/>
        <w:t xml:space="preserve">Their location must present a risk or insalubrious conditions, or they must be affected by legislation prohibiting their use for housing </w:t>
      </w:r>
      <w:r>
        <w:noBreakHyphen/>
        <w:t xml:space="preserve"> in this case, any form of occupation; and</w:t>
      </w:r>
    </w:p>
    <w:p w:rsidR="00000000" w:rsidRDefault="00000000"/>
    <w:p w:rsidR="00000000" w:rsidRDefault="00000000">
      <w:r>
        <w:tab/>
        <w:t>(c)</w:t>
      </w:r>
      <w:r>
        <w:tab/>
        <w:t>They must be assigned priority, on the basis of a hierarchical order, at the initial stage of the Municipal Strategic Plan for Substandard Settlements</w:t>
      </w:r>
      <w:r>
        <w:noBreakHyphen/>
        <w:t>PEMAS, in the case of the first area subjected to intervention; other areas shall be subjected to the definitive hierarchical order established by PEMAS.</w:t>
      </w:r>
    </w:p>
    <w:p w:rsidR="00000000" w:rsidRDefault="00000000"/>
    <w:p w:rsidR="00000000" w:rsidRDefault="00000000">
      <w:pPr>
        <w:pStyle w:val="Heading1"/>
      </w:pPr>
      <w:r>
        <w:t>Article 12</w:t>
      </w:r>
    </w:p>
    <w:p w:rsidR="00000000" w:rsidRDefault="00000000"/>
    <w:p w:rsidR="00000000" w:rsidRDefault="00000000">
      <w:pPr>
        <w:pStyle w:val="ParaNo"/>
        <w:tabs>
          <w:tab w:val="clear" w:pos="360"/>
          <w:tab w:val="clear" w:pos="737"/>
        </w:tabs>
        <w:rPr>
          <w:lang w:val="en-GB"/>
        </w:rPr>
      </w:pPr>
      <w:r>
        <w:rPr>
          <w:lang w:val="en-GB"/>
        </w:rPr>
        <w:t>Brazil’s 1988 Constitution introduced a health</w:t>
      </w:r>
      <w:r>
        <w:rPr>
          <w:lang w:val="en-GB"/>
        </w:rPr>
        <w:noBreakHyphen/>
        <w:t>care system whose basic guidelines consist of decentralization with a single command centre at each level of government, together with complete health</w:t>
      </w:r>
      <w:r>
        <w:rPr>
          <w:lang w:val="en-GB"/>
        </w:rPr>
        <w:noBreakHyphen/>
        <w:t>care services stressing prevention and community participation, which has become top priority for this sector.  The effective regulation of the Government</w:t>
      </w:r>
      <w:r>
        <w:rPr>
          <w:lang w:val="en-GB"/>
        </w:rPr>
        <w:noBreakHyphen/>
        <w:t>run Single Health</w:t>
      </w:r>
      <w:r>
        <w:rPr>
          <w:lang w:val="en-GB"/>
        </w:rPr>
        <w:noBreakHyphen/>
        <w:t xml:space="preserve">Care System (SUS </w:t>
      </w:r>
      <w:r>
        <w:rPr>
          <w:lang w:val="en-GB"/>
        </w:rPr>
        <w:noBreakHyphen/>
        <w:t xml:space="preserve"> </w:t>
      </w:r>
      <w:r>
        <w:rPr>
          <w:u w:val="single"/>
          <w:lang w:val="en-GB"/>
        </w:rPr>
        <w:t>Sistema Único de Saúde</w:t>
      </w:r>
      <w:r>
        <w:rPr>
          <w:lang w:val="en-GB"/>
        </w:rPr>
        <w:t xml:space="preserve">) took place only in 1990 (Laws Nos. 8,080/90 and 8,142/90).  However, the most steady progress began to appear during the subsequent years, with the implementation of the two Basic Operating Standards (NOB/1/91 and NOB/1/93 </w:t>
      </w:r>
      <w:r>
        <w:rPr>
          <w:lang w:val="en-GB"/>
        </w:rPr>
        <w:noBreakHyphen/>
        <w:t xml:space="preserve"> </w:t>
      </w:r>
      <w:r>
        <w:rPr>
          <w:u w:val="single"/>
          <w:lang w:val="en-GB"/>
        </w:rPr>
        <w:t>Normas Operacionais Básicas</w:t>
      </w:r>
      <w:r>
        <w:rPr>
          <w:lang w:val="en-GB"/>
        </w:rPr>
        <w:t xml:space="preserve">).  In 1996, an additional significant step forward </w:t>
      </w:r>
    </w:p>
    <w:p w:rsidR="00000000" w:rsidRDefault="00000000">
      <w:r>
        <w:br w:type="page"/>
        <w:t>was achieved in this long and sporadic process.  This was the promulgation of Basic Operating Standard NOB/1/96, which introduced significant changes to the financing mechanism for the types of participation open to subnational levels of government for their participation in the Single Health</w:t>
      </w:r>
      <w:r>
        <w:noBreakHyphen/>
        <w:t xml:space="preserve">Care System (SUS).  </w:t>
      </w:r>
    </w:p>
    <w:p w:rsidR="00000000" w:rsidRDefault="00000000"/>
    <w:p w:rsidR="00000000" w:rsidRDefault="00000000">
      <w:pPr>
        <w:pStyle w:val="ParaNo"/>
        <w:tabs>
          <w:tab w:val="clear" w:pos="360"/>
          <w:tab w:val="clear" w:pos="737"/>
        </w:tabs>
        <w:rPr>
          <w:lang w:val="en-GB"/>
        </w:rPr>
      </w:pPr>
      <w:r>
        <w:rPr>
          <w:lang w:val="en-GB"/>
        </w:rPr>
        <w:t>The high</w:t>
      </w:r>
      <w:r>
        <w:rPr>
          <w:lang w:val="en-GB"/>
        </w:rPr>
        <w:noBreakHyphen/>
        <w:t>priority Government</w:t>
      </w:r>
      <w:r>
        <w:rPr>
          <w:lang w:val="en-GB"/>
        </w:rPr>
        <w:noBreakHyphen/>
        <w:t>run programmes and actions in the health</w:t>
      </w:r>
      <w:r>
        <w:rPr>
          <w:lang w:val="en-GB"/>
        </w:rPr>
        <w:noBreakHyphen/>
        <w:t>care field may be divided into three major categories:  (i) medical and hospital assistance targeting the population as a whole, responding to spontaneous demands; (ii) mother</w:t>
      </w:r>
      <w:r>
        <w:rPr>
          <w:lang w:val="en-GB"/>
        </w:rPr>
        <w:noBreakHyphen/>
        <w:t xml:space="preserve">child care focused on vulnerable groups such as pregnant women and children, with two particularly outstanding programmes:  Infant Mortality Reduction Programme (PRMI </w:t>
      </w:r>
      <w:r>
        <w:rPr>
          <w:lang w:val="en-GB"/>
        </w:rPr>
        <w:noBreakHyphen/>
        <w:t xml:space="preserve"> </w:t>
      </w:r>
      <w:r>
        <w:rPr>
          <w:u w:val="single"/>
          <w:lang w:val="en-GB"/>
        </w:rPr>
        <w:t>Programa de Redução da Mortalidade Infantil</w:t>
      </w:r>
      <w:r>
        <w:rPr>
          <w:lang w:val="en-GB"/>
        </w:rPr>
        <w:t>) and the Women’s Health</w:t>
      </w:r>
      <w:r>
        <w:rPr>
          <w:lang w:val="en-GB"/>
        </w:rPr>
        <w:noBreakHyphen/>
        <w:t>Care Programme (</w:t>
      </w:r>
      <w:r>
        <w:rPr>
          <w:u w:val="single"/>
          <w:lang w:val="en-GB"/>
        </w:rPr>
        <w:t>Programa de Saúde da Mulher</w:t>
      </w:r>
      <w:r>
        <w:rPr>
          <w:lang w:val="en-GB"/>
        </w:rPr>
        <w:t>); and (iii) the Disease Control Programmes, which cover a broad range of actions designed to control or eradicate vectors, as well as diseases and illnesses that can be avoided or treated successfully through early identification.  This category includes vaccination campaigns, vector control, basic sanitation (water supplies and sewage disposals), as well as educational campaigns introducing behavioural changes in high</w:t>
      </w:r>
      <w:r>
        <w:rPr>
          <w:lang w:val="en-GB"/>
        </w:rPr>
        <w:noBreakHyphen/>
        <w:t>risk groups.</w:t>
      </w:r>
    </w:p>
    <w:p w:rsidR="00000000" w:rsidRDefault="00000000"/>
    <w:p w:rsidR="00000000" w:rsidRDefault="00000000">
      <w:pPr>
        <w:pStyle w:val="ParaNo"/>
        <w:tabs>
          <w:tab w:val="clear" w:pos="360"/>
          <w:tab w:val="clear" w:pos="737"/>
        </w:tabs>
        <w:rPr>
          <w:lang w:val="en-GB"/>
        </w:rPr>
      </w:pPr>
      <w:r>
        <w:rPr>
          <w:lang w:val="en-GB"/>
        </w:rPr>
        <w:t>Confirming earlier observations in countless countries, the Brazilian experience is beginning to indicate that initiatives such as the Community Health</w:t>
      </w:r>
      <w:r>
        <w:rPr>
          <w:lang w:val="en-GB"/>
        </w:rPr>
        <w:noBreakHyphen/>
        <w:t xml:space="preserve">Care Agents Programme (PACS </w:t>
      </w:r>
      <w:r>
        <w:rPr>
          <w:lang w:val="en-GB"/>
        </w:rPr>
        <w:noBreakHyphen/>
        <w:t xml:space="preserve"> </w:t>
      </w:r>
      <w:r>
        <w:rPr>
          <w:u w:val="single"/>
          <w:lang w:val="en-GB"/>
        </w:rPr>
        <w:t>Programa de Agentes Comunitários de Saúde</w:t>
      </w:r>
      <w:r>
        <w:rPr>
          <w:lang w:val="en-GB"/>
        </w:rPr>
        <w:t>) and the Family Health</w:t>
      </w:r>
      <w:r>
        <w:rPr>
          <w:lang w:val="en-GB"/>
        </w:rPr>
        <w:noBreakHyphen/>
        <w:t xml:space="preserve">Care Programme (PSF </w:t>
      </w:r>
      <w:r>
        <w:rPr>
          <w:lang w:val="en-GB"/>
        </w:rPr>
        <w:noBreakHyphen/>
        <w:t xml:space="preserve"> </w:t>
      </w:r>
      <w:r>
        <w:rPr>
          <w:u w:val="single"/>
          <w:lang w:val="en-GB"/>
        </w:rPr>
        <w:t>Programa de Saúde da Família</w:t>
      </w:r>
      <w:r>
        <w:rPr>
          <w:lang w:val="en-GB"/>
        </w:rPr>
        <w:t>) are initial strategic tools for reshaping the Brazilian welfare model and reorganizing local health</w:t>
      </w:r>
      <w:r>
        <w:rPr>
          <w:lang w:val="en-GB"/>
        </w:rPr>
        <w:noBreakHyphen/>
        <w:t>care systems, as well as cutting costs without introducing constraints on access while upgrading the quality of the services supplied.</w:t>
      </w:r>
    </w:p>
    <w:p w:rsidR="00000000" w:rsidRDefault="00000000"/>
    <w:p w:rsidR="00000000" w:rsidRDefault="00000000">
      <w:pPr>
        <w:pStyle w:val="ParaNo"/>
        <w:tabs>
          <w:tab w:val="clear" w:pos="360"/>
          <w:tab w:val="clear" w:pos="737"/>
        </w:tabs>
        <w:rPr>
          <w:lang w:val="en-GB"/>
        </w:rPr>
      </w:pPr>
      <w:r>
        <w:rPr>
          <w:lang w:val="en-GB"/>
        </w:rPr>
        <w:t>Another important aspect of the decentralization of the Brazilian health</w:t>
      </w:r>
      <w:r>
        <w:rPr>
          <w:lang w:val="en-GB"/>
        </w:rPr>
        <w:noBreakHyphen/>
        <w:t>care system is the speed</w:t>
      </w:r>
      <w:r>
        <w:rPr>
          <w:lang w:val="en-GB"/>
        </w:rPr>
        <w:noBreakHyphen/>
        <w:t xml:space="preserve">up of the intermunicipal consortium formation process.  Most Brazilian municipal districts </w:t>
      </w:r>
      <w:r>
        <w:rPr>
          <w:lang w:val="en-GB"/>
        </w:rPr>
        <w:noBreakHyphen/>
        <w:t xml:space="preserve"> which are generally small or medium</w:t>
      </w:r>
      <w:r>
        <w:rPr>
          <w:lang w:val="en-GB"/>
        </w:rPr>
        <w:noBreakHyphen/>
        <w:t xml:space="preserve">sized </w:t>
      </w:r>
      <w:r>
        <w:rPr>
          <w:lang w:val="en-GB"/>
        </w:rPr>
        <w:noBreakHyphen/>
        <w:t xml:space="preserve"> lack the conditions needed to provide welfare resources in the quantities and wide variety of options required by their inhabitants, due to widespread poverty or their demographic dimensions.  This prompted the appearance of intermunicipal consortia consisting of partnerships between neighbouring municipal governments </w:t>
      </w:r>
      <w:r>
        <w:rPr>
          <w:lang w:val="en-GB"/>
        </w:rPr>
        <w:noBreakHyphen/>
        <w:t xml:space="preserve"> in some cases assisted by the state governments </w:t>
      </w:r>
      <w:r>
        <w:rPr>
          <w:lang w:val="en-GB"/>
        </w:rPr>
        <w:noBreakHyphen/>
        <w:t xml:space="preserve"> whose purpose is to supplement </w:t>
      </w:r>
    </w:p>
    <w:p w:rsidR="00000000" w:rsidRDefault="00000000">
      <w:r>
        <w:t xml:space="preserve">the supply of specialized physicians, hospital services and other resources, particularly those requiring higher technological density that are inaccessible to the participants in these consortia on an individual basis.  </w:t>
      </w:r>
    </w:p>
    <w:p w:rsidR="00000000" w:rsidRDefault="00000000"/>
    <w:p w:rsidR="00000000" w:rsidRDefault="00000000">
      <w:pPr>
        <w:pStyle w:val="ParaNo"/>
        <w:tabs>
          <w:tab w:val="clear" w:pos="360"/>
          <w:tab w:val="clear" w:pos="737"/>
        </w:tabs>
        <w:rPr>
          <w:lang w:val="en-GB"/>
        </w:rPr>
      </w:pPr>
      <w:r>
        <w:rPr>
          <w:lang w:val="en-GB"/>
        </w:rPr>
        <w:t>In order to upgrade worker health and reduce the risk of disease and death among workers, the following actions have been implemented:  introduction of health</w:t>
      </w:r>
      <w:r>
        <w:rPr>
          <w:lang w:val="en-GB"/>
        </w:rPr>
        <w:noBreakHyphen/>
        <w:t>care services designed for workers; capacity</w:t>
      </w:r>
      <w:r>
        <w:rPr>
          <w:lang w:val="en-GB"/>
        </w:rPr>
        <w:noBreakHyphen/>
        <w:t>building in this field for health</w:t>
      </w:r>
      <w:r>
        <w:rPr>
          <w:lang w:val="en-GB"/>
        </w:rPr>
        <w:noBreakHyphen/>
        <w:t>care practitioners; dissemination of technical and educational materials to employers, workers and health</w:t>
      </w:r>
      <w:r>
        <w:rPr>
          <w:lang w:val="en-GB"/>
        </w:rPr>
        <w:noBreakHyphen/>
        <w:t xml:space="preserve">care practitioners.  </w:t>
      </w:r>
    </w:p>
    <w:p w:rsidR="00000000" w:rsidRDefault="00000000"/>
    <w:p w:rsidR="00000000" w:rsidRDefault="00000000">
      <w:pPr>
        <w:pStyle w:val="ParaNo"/>
        <w:tabs>
          <w:tab w:val="clear" w:pos="360"/>
          <w:tab w:val="clear" w:pos="737"/>
        </w:tabs>
        <w:rPr>
          <w:lang w:val="en-GB"/>
        </w:rPr>
      </w:pPr>
      <w:r>
        <w:rPr>
          <w:lang w:val="en-GB"/>
        </w:rPr>
        <w:t xml:space="preserve">The infant mortality rate </w:t>
      </w:r>
      <w:r>
        <w:rPr>
          <w:lang w:val="en-GB"/>
        </w:rPr>
        <w:noBreakHyphen/>
        <w:t xml:space="preserve"> which is of the utmost importance in analysing general health conditions </w:t>
      </w:r>
      <w:r>
        <w:rPr>
          <w:lang w:val="en-GB"/>
        </w:rPr>
        <w:noBreakHyphen/>
        <w:t xml:space="preserve"> has improved significantly in recent years.  Estimates prepared by the Brazilian Institute of Geography and Statistics (IBGE </w:t>
      </w:r>
      <w:r>
        <w:rPr>
          <w:lang w:val="en-GB"/>
        </w:rPr>
        <w:noBreakHyphen/>
        <w:t xml:space="preserve"> </w:t>
      </w:r>
      <w:r>
        <w:rPr>
          <w:u w:val="single"/>
          <w:lang w:val="en-GB"/>
        </w:rPr>
        <w:t>Instituto Brasileiro de Geografia e Estatística</w:t>
      </w:r>
      <w:r>
        <w:rPr>
          <w:lang w:val="en-GB"/>
        </w:rPr>
        <w:t xml:space="preserve">) show a drop in the Infant Mortality Coefficient (CMI </w:t>
      </w:r>
      <w:r>
        <w:rPr>
          <w:lang w:val="en-GB"/>
        </w:rPr>
        <w:noBreakHyphen/>
        <w:t xml:space="preserve"> </w:t>
      </w:r>
      <w:r>
        <w:rPr>
          <w:u w:val="single"/>
          <w:lang w:val="en-GB"/>
        </w:rPr>
        <w:t>Coeficiente de Mortalidade Infantil</w:t>
      </w:r>
      <w:r>
        <w:rPr>
          <w:lang w:val="en-GB"/>
        </w:rPr>
        <w:t>) which has been falling steadily, from 85.6 per 1,000 live births in 1980 to 47.8 per 1,000 live births in 1990; in 1998, it had fallen to 36.1 per 1,000 live births.</w:t>
      </w:r>
    </w:p>
    <w:p w:rsidR="00000000" w:rsidRDefault="00000000"/>
    <w:p w:rsidR="00000000" w:rsidRDefault="00000000">
      <w:pPr>
        <w:pStyle w:val="ParaNo"/>
        <w:tabs>
          <w:tab w:val="clear" w:pos="360"/>
          <w:tab w:val="clear" w:pos="737"/>
        </w:tabs>
        <w:rPr>
          <w:lang w:val="en-GB"/>
        </w:rPr>
      </w:pPr>
      <w:r>
        <w:rPr>
          <w:lang w:val="en-GB"/>
        </w:rPr>
        <w:t>The drop in the infant mortality rate has taken place in every part of Brazil, although it is still highest in the north</w:t>
      </w:r>
      <w:r>
        <w:rPr>
          <w:lang w:val="en-GB"/>
        </w:rPr>
        <w:noBreakHyphen/>
        <w:t>east.  Despite this marked reduction, the infant mortality rate in Brazil is still high compared to countries with high social and economic development levels.  The table below presents Brazilian statistics for the infant mortality rate by region (1989</w:t>
      </w:r>
      <w:r>
        <w:rPr>
          <w:lang w:val="en-GB"/>
        </w:rPr>
        <w:noBreakHyphen/>
        <w:t>1998):</w:t>
      </w:r>
    </w:p>
    <w:p w:rsidR="00000000" w:rsidRDefault="00000000"/>
    <w:p w:rsidR="00000000" w:rsidRDefault="00000000">
      <w:pPr>
        <w:pStyle w:val="Heading1"/>
      </w:pPr>
      <w:r>
        <w:t>Table 74</w:t>
      </w:r>
    </w:p>
    <w:p w:rsidR="00000000" w:rsidRDefault="00000000"/>
    <w:p w:rsidR="00000000" w:rsidRDefault="00000000">
      <w:pPr>
        <w:pStyle w:val="Heading1"/>
      </w:pPr>
      <w:r>
        <w:t>Infant mortality rate, Brazil and regions (1989</w:t>
      </w:r>
      <w:r>
        <w:noBreakHyphen/>
        <w:t>1998)</w:t>
      </w:r>
    </w:p>
    <w:p w:rsidR="00000000" w:rsidRDefault="00000000">
      <w:pPr>
        <w:spacing w:before="120" w:after="1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6"/>
        <w:gridCol w:w="851"/>
        <w:gridCol w:w="687"/>
        <w:gridCol w:w="831"/>
        <w:gridCol w:w="831"/>
        <w:gridCol w:w="831"/>
        <w:gridCol w:w="831"/>
        <w:gridCol w:w="831"/>
        <w:gridCol w:w="831"/>
        <w:gridCol w:w="831"/>
        <w:gridCol w:w="756"/>
      </w:tblGrid>
      <w:tr w:rsidR="00000000">
        <w:tblPrEx>
          <w:tblCellMar>
            <w:top w:w="0" w:type="dxa"/>
            <w:bottom w:w="0" w:type="dxa"/>
          </w:tblCellMar>
        </w:tblPrEx>
        <w:tc>
          <w:tcPr>
            <w:tcW w:w="1276" w:type="dxa"/>
            <w:tcBorders>
              <w:bottom w:val="single" w:sz="4" w:space="0" w:color="auto"/>
            </w:tcBorders>
          </w:tcPr>
          <w:p w:rsidR="00000000" w:rsidRDefault="00000000">
            <w:pPr>
              <w:spacing w:before="120" w:after="120"/>
              <w:jc w:val="center"/>
              <w:rPr>
                <w:sz w:val="20"/>
              </w:rPr>
            </w:pPr>
            <w:r>
              <w:rPr>
                <w:sz w:val="20"/>
              </w:rPr>
              <w:t>Region</w:t>
            </w:r>
          </w:p>
        </w:tc>
        <w:tc>
          <w:tcPr>
            <w:tcW w:w="851" w:type="dxa"/>
            <w:tcBorders>
              <w:bottom w:val="single" w:sz="4" w:space="0" w:color="auto"/>
            </w:tcBorders>
          </w:tcPr>
          <w:p w:rsidR="00000000" w:rsidRDefault="00000000">
            <w:pPr>
              <w:spacing w:before="120" w:after="120"/>
              <w:jc w:val="center"/>
              <w:rPr>
                <w:sz w:val="20"/>
              </w:rPr>
            </w:pPr>
            <w:r>
              <w:rPr>
                <w:sz w:val="20"/>
              </w:rPr>
              <w:t>1989</w:t>
            </w:r>
          </w:p>
        </w:tc>
        <w:tc>
          <w:tcPr>
            <w:tcW w:w="687" w:type="dxa"/>
            <w:tcBorders>
              <w:bottom w:val="single" w:sz="4" w:space="0" w:color="auto"/>
            </w:tcBorders>
          </w:tcPr>
          <w:p w:rsidR="00000000" w:rsidRDefault="00000000">
            <w:pPr>
              <w:spacing w:before="120" w:after="120"/>
              <w:jc w:val="center"/>
              <w:rPr>
                <w:sz w:val="20"/>
              </w:rPr>
            </w:pPr>
            <w:r>
              <w:rPr>
                <w:sz w:val="20"/>
              </w:rPr>
              <w:t>1990</w:t>
            </w:r>
          </w:p>
        </w:tc>
        <w:tc>
          <w:tcPr>
            <w:tcW w:w="831" w:type="dxa"/>
            <w:tcBorders>
              <w:bottom w:val="single" w:sz="4" w:space="0" w:color="auto"/>
            </w:tcBorders>
          </w:tcPr>
          <w:p w:rsidR="00000000" w:rsidRDefault="00000000">
            <w:pPr>
              <w:spacing w:before="120" w:after="120"/>
              <w:jc w:val="center"/>
              <w:rPr>
                <w:sz w:val="20"/>
              </w:rPr>
            </w:pPr>
            <w:r>
              <w:rPr>
                <w:sz w:val="20"/>
              </w:rPr>
              <w:t>1991</w:t>
            </w:r>
          </w:p>
        </w:tc>
        <w:tc>
          <w:tcPr>
            <w:tcW w:w="831" w:type="dxa"/>
            <w:tcBorders>
              <w:bottom w:val="single" w:sz="4" w:space="0" w:color="auto"/>
            </w:tcBorders>
          </w:tcPr>
          <w:p w:rsidR="00000000" w:rsidRDefault="00000000">
            <w:pPr>
              <w:spacing w:before="120" w:after="120"/>
              <w:jc w:val="center"/>
              <w:rPr>
                <w:sz w:val="20"/>
              </w:rPr>
            </w:pPr>
            <w:r>
              <w:rPr>
                <w:sz w:val="20"/>
              </w:rPr>
              <w:t>1992</w:t>
            </w:r>
          </w:p>
        </w:tc>
        <w:tc>
          <w:tcPr>
            <w:tcW w:w="831" w:type="dxa"/>
            <w:tcBorders>
              <w:bottom w:val="single" w:sz="4" w:space="0" w:color="auto"/>
            </w:tcBorders>
          </w:tcPr>
          <w:p w:rsidR="00000000" w:rsidRDefault="00000000">
            <w:pPr>
              <w:spacing w:before="120" w:after="120"/>
              <w:jc w:val="center"/>
              <w:rPr>
                <w:sz w:val="20"/>
              </w:rPr>
            </w:pPr>
            <w:r>
              <w:rPr>
                <w:sz w:val="20"/>
              </w:rPr>
              <w:t>1993</w:t>
            </w:r>
          </w:p>
        </w:tc>
        <w:tc>
          <w:tcPr>
            <w:tcW w:w="831" w:type="dxa"/>
            <w:tcBorders>
              <w:bottom w:val="single" w:sz="4" w:space="0" w:color="auto"/>
            </w:tcBorders>
          </w:tcPr>
          <w:p w:rsidR="00000000" w:rsidRDefault="00000000">
            <w:pPr>
              <w:spacing w:before="120" w:after="120"/>
              <w:jc w:val="center"/>
              <w:rPr>
                <w:sz w:val="20"/>
              </w:rPr>
            </w:pPr>
            <w:r>
              <w:rPr>
                <w:sz w:val="20"/>
              </w:rPr>
              <w:t>1994</w:t>
            </w:r>
          </w:p>
        </w:tc>
        <w:tc>
          <w:tcPr>
            <w:tcW w:w="831" w:type="dxa"/>
            <w:tcBorders>
              <w:bottom w:val="single" w:sz="4" w:space="0" w:color="auto"/>
            </w:tcBorders>
          </w:tcPr>
          <w:p w:rsidR="00000000" w:rsidRDefault="00000000">
            <w:pPr>
              <w:spacing w:before="120" w:after="120"/>
              <w:jc w:val="center"/>
              <w:rPr>
                <w:sz w:val="20"/>
              </w:rPr>
            </w:pPr>
            <w:r>
              <w:rPr>
                <w:sz w:val="20"/>
              </w:rPr>
              <w:t>1995</w:t>
            </w:r>
          </w:p>
        </w:tc>
        <w:tc>
          <w:tcPr>
            <w:tcW w:w="831" w:type="dxa"/>
            <w:tcBorders>
              <w:bottom w:val="single" w:sz="4" w:space="0" w:color="auto"/>
            </w:tcBorders>
          </w:tcPr>
          <w:p w:rsidR="00000000" w:rsidRDefault="00000000">
            <w:pPr>
              <w:spacing w:before="120" w:after="120"/>
              <w:jc w:val="center"/>
              <w:rPr>
                <w:sz w:val="20"/>
              </w:rPr>
            </w:pPr>
            <w:r>
              <w:rPr>
                <w:sz w:val="20"/>
              </w:rPr>
              <w:t>1996</w:t>
            </w:r>
          </w:p>
        </w:tc>
        <w:tc>
          <w:tcPr>
            <w:tcW w:w="831" w:type="dxa"/>
            <w:tcBorders>
              <w:bottom w:val="single" w:sz="4" w:space="0" w:color="auto"/>
            </w:tcBorders>
          </w:tcPr>
          <w:p w:rsidR="00000000" w:rsidRDefault="00000000">
            <w:pPr>
              <w:spacing w:before="120" w:after="120"/>
              <w:jc w:val="center"/>
              <w:rPr>
                <w:sz w:val="20"/>
              </w:rPr>
            </w:pPr>
            <w:r>
              <w:rPr>
                <w:sz w:val="20"/>
              </w:rPr>
              <w:t>1997</w:t>
            </w:r>
          </w:p>
        </w:tc>
        <w:tc>
          <w:tcPr>
            <w:tcW w:w="756" w:type="dxa"/>
            <w:tcBorders>
              <w:bottom w:val="single" w:sz="4" w:space="0" w:color="auto"/>
            </w:tcBorders>
          </w:tcPr>
          <w:p w:rsidR="00000000" w:rsidRDefault="00000000">
            <w:pPr>
              <w:spacing w:before="120" w:after="120"/>
              <w:jc w:val="center"/>
              <w:rPr>
                <w:sz w:val="20"/>
              </w:rPr>
            </w:pPr>
            <w:r>
              <w:rPr>
                <w:sz w:val="20"/>
              </w:rPr>
              <w:t>1998</w:t>
            </w:r>
          </w:p>
        </w:tc>
      </w:tr>
      <w:tr w:rsidR="00000000">
        <w:tblPrEx>
          <w:tblCellMar>
            <w:top w:w="0" w:type="dxa"/>
            <w:bottom w:w="0" w:type="dxa"/>
          </w:tblCellMar>
        </w:tblPrEx>
        <w:tc>
          <w:tcPr>
            <w:tcW w:w="1276" w:type="dxa"/>
            <w:tcBorders>
              <w:bottom w:val="nil"/>
            </w:tcBorders>
          </w:tcPr>
          <w:p w:rsidR="00000000" w:rsidRDefault="00000000">
            <w:pPr>
              <w:spacing w:before="120"/>
              <w:rPr>
                <w:sz w:val="20"/>
              </w:rPr>
            </w:pPr>
            <w:r>
              <w:rPr>
                <w:sz w:val="20"/>
              </w:rPr>
              <w:t>Brazil</w:t>
            </w:r>
          </w:p>
        </w:tc>
        <w:tc>
          <w:tcPr>
            <w:tcW w:w="851" w:type="dxa"/>
            <w:tcBorders>
              <w:bottom w:val="nil"/>
            </w:tcBorders>
          </w:tcPr>
          <w:p w:rsidR="00000000" w:rsidRDefault="00000000">
            <w:pPr>
              <w:spacing w:before="120"/>
              <w:jc w:val="center"/>
              <w:rPr>
                <w:sz w:val="20"/>
              </w:rPr>
            </w:pPr>
            <w:r>
              <w:rPr>
                <w:sz w:val="20"/>
              </w:rPr>
              <w:t>52.02</w:t>
            </w:r>
          </w:p>
        </w:tc>
        <w:tc>
          <w:tcPr>
            <w:tcW w:w="687" w:type="dxa"/>
            <w:tcBorders>
              <w:bottom w:val="nil"/>
            </w:tcBorders>
          </w:tcPr>
          <w:p w:rsidR="00000000" w:rsidRDefault="00000000">
            <w:pPr>
              <w:spacing w:before="120"/>
              <w:jc w:val="center"/>
              <w:rPr>
                <w:sz w:val="20"/>
              </w:rPr>
            </w:pPr>
            <w:r>
              <w:rPr>
                <w:sz w:val="20"/>
              </w:rPr>
              <w:t>49.40</w:t>
            </w:r>
          </w:p>
        </w:tc>
        <w:tc>
          <w:tcPr>
            <w:tcW w:w="831" w:type="dxa"/>
            <w:tcBorders>
              <w:bottom w:val="nil"/>
            </w:tcBorders>
          </w:tcPr>
          <w:p w:rsidR="00000000" w:rsidRDefault="00000000">
            <w:pPr>
              <w:spacing w:before="120"/>
              <w:jc w:val="center"/>
              <w:rPr>
                <w:sz w:val="20"/>
              </w:rPr>
            </w:pPr>
            <w:r>
              <w:rPr>
                <w:sz w:val="20"/>
              </w:rPr>
              <w:t>46.99</w:t>
            </w:r>
          </w:p>
        </w:tc>
        <w:tc>
          <w:tcPr>
            <w:tcW w:w="831" w:type="dxa"/>
            <w:tcBorders>
              <w:bottom w:val="nil"/>
            </w:tcBorders>
          </w:tcPr>
          <w:p w:rsidR="00000000" w:rsidRDefault="00000000">
            <w:pPr>
              <w:spacing w:before="120"/>
              <w:jc w:val="center"/>
              <w:rPr>
                <w:sz w:val="20"/>
              </w:rPr>
            </w:pPr>
            <w:r>
              <w:rPr>
                <w:sz w:val="20"/>
              </w:rPr>
              <w:t>44.79</w:t>
            </w:r>
          </w:p>
        </w:tc>
        <w:tc>
          <w:tcPr>
            <w:tcW w:w="831" w:type="dxa"/>
            <w:tcBorders>
              <w:bottom w:val="nil"/>
            </w:tcBorders>
          </w:tcPr>
          <w:p w:rsidR="00000000" w:rsidRDefault="00000000">
            <w:pPr>
              <w:spacing w:before="120"/>
              <w:jc w:val="center"/>
              <w:rPr>
                <w:sz w:val="20"/>
              </w:rPr>
            </w:pPr>
            <w:r>
              <w:rPr>
                <w:sz w:val="20"/>
              </w:rPr>
              <w:t>42.80</w:t>
            </w:r>
          </w:p>
        </w:tc>
        <w:tc>
          <w:tcPr>
            <w:tcW w:w="831" w:type="dxa"/>
            <w:tcBorders>
              <w:bottom w:val="nil"/>
            </w:tcBorders>
          </w:tcPr>
          <w:p w:rsidR="00000000" w:rsidRDefault="00000000">
            <w:pPr>
              <w:spacing w:before="120"/>
              <w:jc w:val="center"/>
              <w:rPr>
                <w:sz w:val="20"/>
              </w:rPr>
            </w:pPr>
            <w:r>
              <w:rPr>
                <w:sz w:val="20"/>
              </w:rPr>
              <w:t>41.01</w:t>
            </w:r>
          </w:p>
        </w:tc>
        <w:tc>
          <w:tcPr>
            <w:tcW w:w="831" w:type="dxa"/>
            <w:tcBorders>
              <w:bottom w:val="nil"/>
            </w:tcBorders>
          </w:tcPr>
          <w:p w:rsidR="00000000" w:rsidRDefault="00000000">
            <w:pPr>
              <w:spacing w:before="120"/>
              <w:jc w:val="center"/>
              <w:rPr>
                <w:sz w:val="20"/>
              </w:rPr>
            </w:pPr>
            <w:r>
              <w:rPr>
                <w:sz w:val="20"/>
              </w:rPr>
              <w:t>39.40</w:t>
            </w:r>
          </w:p>
        </w:tc>
        <w:tc>
          <w:tcPr>
            <w:tcW w:w="831" w:type="dxa"/>
            <w:tcBorders>
              <w:bottom w:val="nil"/>
            </w:tcBorders>
          </w:tcPr>
          <w:p w:rsidR="00000000" w:rsidRDefault="00000000">
            <w:pPr>
              <w:spacing w:before="120"/>
              <w:jc w:val="center"/>
              <w:rPr>
                <w:sz w:val="20"/>
              </w:rPr>
            </w:pPr>
            <w:r>
              <w:rPr>
                <w:sz w:val="20"/>
              </w:rPr>
              <w:t>37.97</w:t>
            </w:r>
          </w:p>
        </w:tc>
        <w:tc>
          <w:tcPr>
            <w:tcW w:w="831" w:type="dxa"/>
            <w:tcBorders>
              <w:bottom w:val="nil"/>
            </w:tcBorders>
          </w:tcPr>
          <w:p w:rsidR="00000000" w:rsidRDefault="00000000">
            <w:pPr>
              <w:spacing w:before="120"/>
              <w:jc w:val="center"/>
              <w:rPr>
                <w:sz w:val="20"/>
              </w:rPr>
            </w:pPr>
            <w:r>
              <w:rPr>
                <w:sz w:val="20"/>
              </w:rPr>
              <w:t>36.70</w:t>
            </w:r>
          </w:p>
        </w:tc>
        <w:tc>
          <w:tcPr>
            <w:tcW w:w="756" w:type="dxa"/>
            <w:tcBorders>
              <w:bottom w:val="nil"/>
            </w:tcBorders>
          </w:tcPr>
          <w:p w:rsidR="00000000" w:rsidRDefault="00000000">
            <w:pPr>
              <w:spacing w:before="120"/>
              <w:jc w:val="center"/>
              <w:rPr>
                <w:sz w:val="20"/>
              </w:rPr>
            </w:pPr>
            <w:r>
              <w:rPr>
                <w:sz w:val="20"/>
              </w:rPr>
              <w:t>36.10</w:t>
            </w:r>
          </w:p>
        </w:tc>
      </w:tr>
      <w:tr w:rsidR="00000000">
        <w:tblPrEx>
          <w:tblCellMar>
            <w:top w:w="0" w:type="dxa"/>
            <w:bottom w:w="0" w:type="dxa"/>
          </w:tblCellMar>
        </w:tblPrEx>
        <w:tc>
          <w:tcPr>
            <w:tcW w:w="1276" w:type="dxa"/>
            <w:tcBorders>
              <w:top w:val="nil"/>
              <w:bottom w:val="nil"/>
            </w:tcBorders>
          </w:tcPr>
          <w:p w:rsidR="00000000" w:rsidRDefault="00000000">
            <w:pPr>
              <w:rPr>
                <w:sz w:val="20"/>
              </w:rPr>
            </w:pPr>
            <w:r>
              <w:rPr>
                <w:sz w:val="20"/>
              </w:rPr>
              <w:t xml:space="preserve">North  </w:t>
            </w:r>
          </w:p>
        </w:tc>
        <w:tc>
          <w:tcPr>
            <w:tcW w:w="851" w:type="dxa"/>
            <w:tcBorders>
              <w:top w:val="nil"/>
              <w:bottom w:val="nil"/>
            </w:tcBorders>
          </w:tcPr>
          <w:p w:rsidR="00000000" w:rsidRDefault="00000000">
            <w:pPr>
              <w:jc w:val="center"/>
              <w:rPr>
                <w:sz w:val="20"/>
              </w:rPr>
            </w:pPr>
            <w:r>
              <w:rPr>
                <w:sz w:val="20"/>
              </w:rPr>
              <w:t>47.42</w:t>
            </w:r>
          </w:p>
        </w:tc>
        <w:tc>
          <w:tcPr>
            <w:tcW w:w="687" w:type="dxa"/>
            <w:tcBorders>
              <w:top w:val="nil"/>
              <w:bottom w:val="nil"/>
            </w:tcBorders>
          </w:tcPr>
          <w:p w:rsidR="00000000" w:rsidRDefault="00000000">
            <w:pPr>
              <w:jc w:val="center"/>
              <w:rPr>
                <w:sz w:val="20"/>
              </w:rPr>
            </w:pPr>
            <w:r>
              <w:rPr>
                <w:sz w:val="20"/>
              </w:rPr>
              <w:t>44.59</w:t>
            </w:r>
          </w:p>
        </w:tc>
        <w:tc>
          <w:tcPr>
            <w:tcW w:w="831" w:type="dxa"/>
            <w:tcBorders>
              <w:top w:val="nil"/>
              <w:bottom w:val="nil"/>
            </w:tcBorders>
          </w:tcPr>
          <w:p w:rsidR="00000000" w:rsidRDefault="00000000">
            <w:pPr>
              <w:jc w:val="center"/>
              <w:rPr>
                <w:sz w:val="20"/>
              </w:rPr>
            </w:pPr>
            <w:r>
              <w:rPr>
                <w:sz w:val="20"/>
              </w:rPr>
              <w:t>42.26</w:t>
            </w:r>
          </w:p>
        </w:tc>
        <w:tc>
          <w:tcPr>
            <w:tcW w:w="831" w:type="dxa"/>
            <w:tcBorders>
              <w:top w:val="nil"/>
              <w:bottom w:val="nil"/>
            </w:tcBorders>
          </w:tcPr>
          <w:p w:rsidR="00000000" w:rsidRDefault="00000000">
            <w:pPr>
              <w:jc w:val="center"/>
              <w:rPr>
                <w:sz w:val="20"/>
              </w:rPr>
            </w:pPr>
            <w:r>
              <w:rPr>
                <w:sz w:val="20"/>
              </w:rPr>
              <w:t>40.37</w:t>
            </w:r>
          </w:p>
        </w:tc>
        <w:tc>
          <w:tcPr>
            <w:tcW w:w="831" w:type="dxa"/>
            <w:tcBorders>
              <w:top w:val="nil"/>
              <w:bottom w:val="nil"/>
            </w:tcBorders>
          </w:tcPr>
          <w:p w:rsidR="00000000" w:rsidRDefault="00000000">
            <w:pPr>
              <w:jc w:val="center"/>
              <w:rPr>
                <w:sz w:val="20"/>
              </w:rPr>
            </w:pPr>
            <w:r>
              <w:rPr>
                <w:sz w:val="20"/>
              </w:rPr>
              <w:t>38.88</w:t>
            </w:r>
          </w:p>
        </w:tc>
        <w:tc>
          <w:tcPr>
            <w:tcW w:w="831" w:type="dxa"/>
            <w:tcBorders>
              <w:top w:val="nil"/>
              <w:bottom w:val="nil"/>
            </w:tcBorders>
          </w:tcPr>
          <w:p w:rsidR="00000000" w:rsidRDefault="00000000">
            <w:pPr>
              <w:jc w:val="center"/>
              <w:rPr>
                <w:sz w:val="20"/>
              </w:rPr>
            </w:pPr>
            <w:r>
              <w:rPr>
                <w:sz w:val="20"/>
              </w:rPr>
              <w:t>37.72</w:t>
            </w:r>
          </w:p>
        </w:tc>
        <w:tc>
          <w:tcPr>
            <w:tcW w:w="831" w:type="dxa"/>
            <w:tcBorders>
              <w:top w:val="nil"/>
              <w:bottom w:val="nil"/>
            </w:tcBorders>
          </w:tcPr>
          <w:p w:rsidR="00000000" w:rsidRDefault="00000000">
            <w:pPr>
              <w:jc w:val="center"/>
              <w:rPr>
                <w:sz w:val="20"/>
              </w:rPr>
            </w:pPr>
            <w:r>
              <w:rPr>
                <w:sz w:val="20"/>
              </w:rPr>
              <w:t>36.82</w:t>
            </w:r>
          </w:p>
        </w:tc>
        <w:tc>
          <w:tcPr>
            <w:tcW w:w="831" w:type="dxa"/>
            <w:tcBorders>
              <w:top w:val="nil"/>
              <w:bottom w:val="nil"/>
            </w:tcBorders>
          </w:tcPr>
          <w:p w:rsidR="00000000" w:rsidRDefault="00000000">
            <w:pPr>
              <w:jc w:val="center"/>
              <w:rPr>
                <w:sz w:val="20"/>
              </w:rPr>
            </w:pPr>
            <w:r>
              <w:rPr>
                <w:sz w:val="20"/>
              </w:rPr>
              <w:t>36.13</w:t>
            </w:r>
          </w:p>
        </w:tc>
        <w:tc>
          <w:tcPr>
            <w:tcW w:w="831" w:type="dxa"/>
            <w:tcBorders>
              <w:top w:val="nil"/>
              <w:bottom w:val="nil"/>
            </w:tcBorders>
          </w:tcPr>
          <w:p w:rsidR="00000000" w:rsidRDefault="00000000">
            <w:pPr>
              <w:jc w:val="center"/>
              <w:rPr>
                <w:sz w:val="20"/>
              </w:rPr>
            </w:pPr>
            <w:r>
              <w:rPr>
                <w:sz w:val="20"/>
              </w:rPr>
              <w:t>35.60</w:t>
            </w:r>
          </w:p>
        </w:tc>
        <w:tc>
          <w:tcPr>
            <w:tcW w:w="756" w:type="dxa"/>
            <w:tcBorders>
              <w:top w:val="nil"/>
              <w:bottom w:val="nil"/>
            </w:tcBorders>
          </w:tcPr>
          <w:p w:rsidR="00000000" w:rsidRDefault="00000000">
            <w:pPr>
              <w:jc w:val="center"/>
              <w:rPr>
                <w:sz w:val="20"/>
              </w:rPr>
            </w:pPr>
            <w:r>
              <w:rPr>
                <w:sz w:val="20"/>
              </w:rPr>
              <w:t>35.20</w:t>
            </w:r>
          </w:p>
        </w:tc>
      </w:tr>
      <w:tr w:rsidR="00000000">
        <w:tblPrEx>
          <w:tblCellMar>
            <w:top w:w="0" w:type="dxa"/>
            <w:bottom w:w="0" w:type="dxa"/>
          </w:tblCellMar>
        </w:tblPrEx>
        <w:tc>
          <w:tcPr>
            <w:tcW w:w="1276" w:type="dxa"/>
            <w:tcBorders>
              <w:top w:val="nil"/>
              <w:bottom w:val="nil"/>
            </w:tcBorders>
          </w:tcPr>
          <w:p w:rsidR="00000000" w:rsidRDefault="00000000">
            <w:pPr>
              <w:rPr>
                <w:sz w:val="20"/>
              </w:rPr>
            </w:pPr>
            <w:r>
              <w:rPr>
                <w:sz w:val="20"/>
              </w:rPr>
              <w:t>North</w:t>
            </w:r>
            <w:r>
              <w:rPr>
                <w:sz w:val="20"/>
              </w:rPr>
              <w:noBreakHyphen/>
              <w:t xml:space="preserve">east </w:t>
            </w:r>
          </w:p>
        </w:tc>
        <w:tc>
          <w:tcPr>
            <w:tcW w:w="851" w:type="dxa"/>
            <w:tcBorders>
              <w:top w:val="nil"/>
              <w:bottom w:val="nil"/>
            </w:tcBorders>
          </w:tcPr>
          <w:p w:rsidR="00000000" w:rsidRDefault="00000000">
            <w:pPr>
              <w:jc w:val="center"/>
              <w:rPr>
                <w:sz w:val="20"/>
              </w:rPr>
            </w:pPr>
            <w:r>
              <w:rPr>
                <w:sz w:val="20"/>
              </w:rPr>
              <w:t>77.82</w:t>
            </w:r>
          </w:p>
        </w:tc>
        <w:tc>
          <w:tcPr>
            <w:tcW w:w="687" w:type="dxa"/>
            <w:tcBorders>
              <w:top w:val="nil"/>
              <w:bottom w:val="nil"/>
            </w:tcBorders>
          </w:tcPr>
          <w:p w:rsidR="00000000" w:rsidRDefault="00000000">
            <w:pPr>
              <w:jc w:val="center"/>
              <w:rPr>
                <w:sz w:val="20"/>
              </w:rPr>
            </w:pPr>
            <w:r>
              <w:rPr>
                <w:sz w:val="20"/>
              </w:rPr>
              <w:t>74.30</w:t>
            </w:r>
          </w:p>
        </w:tc>
        <w:tc>
          <w:tcPr>
            <w:tcW w:w="831" w:type="dxa"/>
            <w:tcBorders>
              <w:top w:val="nil"/>
              <w:bottom w:val="nil"/>
            </w:tcBorders>
          </w:tcPr>
          <w:p w:rsidR="00000000" w:rsidRDefault="00000000">
            <w:pPr>
              <w:jc w:val="center"/>
              <w:rPr>
                <w:sz w:val="20"/>
              </w:rPr>
            </w:pPr>
            <w:r>
              <w:rPr>
                <w:sz w:val="20"/>
              </w:rPr>
              <w:t>71.15</w:t>
            </w:r>
          </w:p>
        </w:tc>
        <w:tc>
          <w:tcPr>
            <w:tcW w:w="831" w:type="dxa"/>
            <w:tcBorders>
              <w:top w:val="nil"/>
              <w:bottom w:val="nil"/>
            </w:tcBorders>
          </w:tcPr>
          <w:p w:rsidR="00000000" w:rsidRDefault="00000000">
            <w:pPr>
              <w:jc w:val="center"/>
              <w:rPr>
                <w:sz w:val="20"/>
              </w:rPr>
            </w:pPr>
            <w:r>
              <w:rPr>
                <w:sz w:val="20"/>
              </w:rPr>
              <w:t>68.37</w:t>
            </w:r>
          </w:p>
        </w:tc>
        <w:tc>
          <w:tcPr>
            <w:tcW w:w="831" w:type="dxa"/>
            <w:tcBorders>
              <w:top w:val="nil"/>
              <w:bottom w:val="nil"/>
            </w:tcBorders>
          </w:tcPr>
          <w:p w:rsidR="00000000" w:rsidRDefault="00000000">
            <w:pPr>
              <w:jc w:val="center"/>
              <w:rPr>
                <w:sz w:val="20"/>
              </w:rPr>
            </w:pPr>
            <w:r>
              <w:rPr>
                <w:sz w:val="20"/>
              </w:rPr>
              <w:t>65.92</w:t>
            </w:r>
          </w:p>
        </w:tc>
        <w:tc>
          <w:tcPr>
            <w:tcW w:w="831" w:type="dxa"/>
            <w:tcBorders>
              <w:top w:val="nil"/>
              <w:bottom w:val="nil"/>
            </w:tcBorders>
          </w:tcPr>
          <w:p w:rsidR="00000000" w:rsidRDefault="00000000">
            <w:pPr>
              <w:jc w:val="center"/>
              <w:rPr>
                <w:sz w:val="20"/>
              </w:rPr>
            </w:pPr>
            <w:r>
              <w:rPr>
                <w:sz w:val="20"/>
              </w:rPr>
              <w:t>63.80</w:t>
            </w:r>
          </w:p>
        </w:tc>
        <w:tc>
          <w:tcPr>
            <w:tcW w:w="831" w:type="dxa"/>
            <w:tcBorders>
              <w:top w:val="nil"/>
              <w:bottom w:val="nil"/>
            </w:tcBorders>
          </w:tcPr>
          <w:p w:rsidR="00000000" w:rsidRDefault="00000000">
            <w:pPr>
              <w:jc w:val="center"/>
              <w:rPr>
                <w:sz w:val="20"/>
              </w:rPr>
            </w:pPr>
            <w:r>
              <w:rPr>
                <w:sz w:val="20"/>
              </w:rPr>
              <w:t>61.96</w:t>
            </w:r>
          </w:p>
        </w:tc>
        <w:tc>
          <w:tcPr>
            <w:tcW w:w="831" w:type="dxa"/>
            <w:tcBorders>
              <w:top w:val="nil"/>
              <w:bottom w:val="nil"/>
            </w:tcBorders>
          </w:tcPr>
          <w:p w:rsidR="00000000" w:rsidRDefault="00000000">
            <w:pPr>
              <w:jc w:val="center"/>
              <w:rPr>
                <w:sz w:val="20"/>
              </w:rPr>
            </w:pPr>
            <w:r>
              <w:rPr>
                <w:sz w:val="20"/>
              </w:rPr>
              <w:t>60.39</w:t>
            </w:r>
          </w:p>
        </w:tc>
        <w:tc>
          <w:tcPr>
            <w:tcW w:w="831" w:type="dxa"/>
            <w:tcBorders>
              <w:top w:val="nil"/>
              <w:bottom w:val="nil"/>
            </w:tcBorders>
          </w:tcPr>
          <w:p w:rsidR="00000000" w:rsidRDefault="00000000">
            <w:pPr>
              <w:jc w:val="center"/>
              <w:rPr>
                <w:sz w:val="20"/>
              </w:rPr>
            </w:pPr>
            <w:r>
              <w:rPr>
                <w:sz w:val="20"/>
              </w:rPr>
              <w:t>59.05</w:t>
            </w:r>
          </w:p>
        </w:tc>
        <w:tc>
          <w:tcPr>
            <w:tcW w:w="756" w:type="dxa"/>
            <w:tcBorders>
              <w:top w:val="nil"/>
              <w:bottom w:val="nil"/>
            </w:tcBorders>
          </w:tcPr>
          <w:p w:rsidR="00000000" w:rsidRDefault="00000000">
            <w:pPr>
              <w:jc w:val="center"/>
              <w:rPr>
                <w:sz w:val="20"/>
              </w:rPr>
            </w:pPr>
            <w:r>
              <w:rPr>
                <w:sz w:val="20"/>
              </w:rPr>
              <w:t>57.91</w:t>
            </w:r>
          </w:p>
        </w:tc>
      </w:tr>
      <w:tr w:rsidR="00000000">
        <w:tblPrEx>
          <w:tblCellMar>
            <w:top w:w="0" w:type="dxa"/>
            <w:bottom w:w="0" w:type="dxa"/>
          </w:tblCellMar>
        </w:tblPrEx>
        <w:tc>
          <w:tcPr>
            <w:tcW w:w="1276" w:type="dxa"/>
            <w:tcBorders>
              <w:top w:val="nil"/>
              <w:bottom w:val="nil"/>
            </w:tcBorders>
          </w:tcPr>
          <w:p w:rsidR="00000000" w:rsidRDefault="00000000">
            <w:pPr>
              <w:rPr>
                <w:sz w:val="20"/>
              </w:rPr>
            </w:pPr>
            <w:r>
              <w:rPr>
                <w:sz w:val="20"/>
              </w:rPr>
              <w:t>South</w:t>
            </w:r>
            <w:r>
              <w:rPr>
                <w:sz w:val="20"/>
              </w:rPr>
              <w:noBreakHyphen/>
              <w:t>east</w:t>
            </w:r>
          </w:p>
        </w:tc>
        <w:tc>
          <w:tcPr>
            <w:tcW w:w="851" w:type="dxa"/>
            <w:tcBorders>
              <w:top w:val="nil"/>
              <w:bottom w:val="nil"/>
            </w:tcBorders>
          </w:tcPr>
          <w:p w:rsidR="00000000" w:rsidRDefault="00000000">
            <w:pPr>
              <w:jc w:val="center"/>
              <w:rPr>
                <w:sz w:val="20"/>
              </w:rPr>
            </w:pPr>
            <w:r>
              <w:rPr>
                <w:sz w:val="20"/>
              </w:rPr>
              <w:t>35.86</w:t>
            </w:r>
          </w:p>
        </w:tc>
        <w:tc>
          <w:tcPr>
            <w:tcW w:w="687" w:type="dxa"/>
            <w:tcBorders>
              <w:top w:val="nil"/>
              <w:bottom w:val="nil"/>
            </w:tcBorders>
          </w:tcPr>
          <w:p w:rsidR="00000000" w:rsidRDefault="00000000">
            <w:pPr>
              <w:jc w:val="center"/>
              <w:rPr>
                <w:sz w:val="20"/>
              </w:rPr>
            </w:pPr>
            <w:r>
              <w:rPr>
                <w:sz w:val="20"/>
              </w:rPr>
              <w:t>33.57</w:t>
            </w:r>
          </w:p>
        </w:tc>
        <w:tc>
          <w:tcPr>
            <w:tcW w:w="831" w:type="dxa"/>
            <w:tcBorders>
              <w:top w:val="nil"/>
              <w:bottom w:val="nil"/>
            </w:tcBorders>
          </w:tcPr>
          <w:p w:rsidR="00000000" w:rsidRDefault="00000000">
            <w:pPr>
              <w:jc w:val="center"/>
              <w:rPr>
                <w:sz w:val="20"/>
              </w:rPr>
            </w:pPr>
            <w:r>
              <w:rPr>
                <w:sz w:val="20"/>
              </w:rPr>
              <w:t>31.62</w:t>
            </w:r>
          </w:p>
        </w:tc>
        <w:tc>
          <w:tcPr>
            <w:tcW w:w="831" w:type="dxa"/>
            <w:tcBorders>
              <w:top w:val="nil"/>
              <w:bottom w:val="nil"/>
            </w:tcBorders>
          </w:tcPr>
          <w:p w:rsidR="00000000" w:rsidRDefault="00000000">
            <w:pPr>
              <w:jc w:val="center"/>
              <w:rPr>
                <w:sz w:val="20"/>
              </w:rPr>
            </w:pPr>
            <w:r>
              <w:rPr>
                <w:sz w:val="20"/>
              </w:rPr>
              <w:t>29.97</w:t>
            </w:r>
          </w:p>
        </w:tc>
        <w:tc>
          <w:tcPr>
            <w:tcW w:w="831" w:type="dxa"/>
            <w:tcBorders>
              <w:top w:val="nil"/>
              <w:bottom w:val="nil"/>
            </w:tcBorders>
          </w:tcPr>
          <w:p w:rsidR="00000000" w:rsidRDefault="00000000">
            <w:pPr>
              <w:jc w:val="center"/>
              <w:rPr>
                <w:sz w:val="20"/>
              </w:rPr>
            </w:pPr>
            <w:r>
              <w:rPr>
                <w:sz w:val="20"/>
              </w:rPr>
              <w:t>28.60</w:t>
            </w:r>
          </w:p>
        </w:tc>
        <w:tc>
          <w:tcPr>
            <w:tcW w:w="831" w:type="dxa"/>
            <w:tcBorders>
              <w:top w:val="nil"/>
              <w:bottom w:val="nil"/>
            </w:tcBorders>
          </w:tcPr>
          <w:p w:rsidR="00000000" w:rsidRDefault="00000000">
            <w:pPr>
              <w:jc w:val="center"/>
              <w:rPr>
                <w:sz w:val="20"/>
              </w:rPr>
            </w:pPr>
            <w:r>
              <w:rPr>
                <w:sz w:val="20"/>
              </w:rPr>
              <w:t>27.47</w:t>
            </w:r>
          </w:p>
        </w:tc>
        <w:tc>
          <w:tcPr>
            <w:tcW w:w="831" w:type="dxa"/>
            <w:tcBorders>
              <w:top w:val="nil"/>
              <w:bottom w:val="nil"/>
            </w:tcBorders>
          </w:tcPr>
          <w:p w:rsidR="00000000" w:rsidRDefault="00000000">
            <w:pPr>
              <w:jc w:val="center"/>
              <w:rPr>
                <w:sz w:val="20"/>
              </w:rPr>
            </w:pPr>
            <w:r>
              <w:rPr>
                <w:sz w:val="20"/>
              </w:rPr>
              <w:t>26.56</w:t>
            </w:r>
          </w:p>
        </w:tc>
        <w:tc>
          <w:tcPr>
            <w:tcW w:w="831" w:type="dxa"/>
            <w:tcBorders>
              <w:top w:val="nil"/>
              <w:bottom w:val="nil"/>
            </w:tcBorders>
          </w:tcPr>
          <w:p w:rsidR="00000000" w:rsidRDefault="00000000">
            <w:pPr>
              <w:jc w:val="center"/>
              <w:rPr>
                <w:sz w:val="20"/>
              </w:rPr>
            </w:pPr>
            <w:r>
              <w:rPr>
                <w:sz w:val="20"/>
              </w:rPr>
              <w:t>25.82</w:t>
            </w:r>
          </w:p>
        </w:tc>
        <w:tc>
          <w:tcPr>
            <w:tcW w:w="831" w:type="dxa"/>
            <w:tcBorders>
              <w:top w:val="nil"/>
              <w:bottom w:val="nil"/>
            </w:tcBorders>
          </w:tcPr>
          <w:p w:rsidR="00000000" w:rsidRDefault="00000000">
            <w:pPr>
              <w:jc w:val="center"/>
              <w:rPr>
                <w:sz w:val="20"/>
              </w:rPr>
            </w:pPr>
            <w:r>
              <w:rPr>
                <w:sz w:val="20"/>
              </w:rPr>
              <w:t>25.23</w:t>
            </w:r>
          </w:p>
        </w:tc>
        <w:tc>
          <w:tcPr>
            <w:tcW w:w="756" w:type="dxa"/>
            <w:tcBorders>
              <w:top w:val="nil"/>
              <w:bottom w:val="nil"/>
            </w:tcBorders>
          </w:tcPr>
          <w:p w:rsidR="00000000" w:rsidRDefault="00000000">
            <w:pPr>
              <w:jc w:val="center"/>
              <w:rPr>
                <w:sz w:val="20"/>
              </w:rPr>
            </w:pPr>
            <w:r>
              <w:rPr>
                <w:sz w:val="20"/>
              </w:rPr>
              <w:t>24.76</w:t>
            </w:r>
          </w:p>
        </w:tc>
      </w:tr>
      <w:tr w:rsidR="00000000">
        <w:tblPrEx>
          <w:tblCellMar>
            <w:top w:w="0" w:type="dxa"/>
            <w:bottom w:w="0" w:type="dxa"/>
          </w:tblCellMar>
        </w:tblPrEx>
        <w:tc>
          <w:tcPr>
            <w:tcW w:w="1276" w:type="dxa"/>
            <w:tcBorders>
              <w:top w:val="nil"/>
              <w:bottom w:val="nil"/>
            </w:tcBorders>
          </w:tcPr>
          <w:p w:rsidR="00000000" w:rsidRDefault="00000000">
            <w:pPr>
              <w:rPr>
                <w:sz w:val="20"/>
              </w:rPr>
            </w:pPr>
            <w:r>
              <w:rPr>
                <w:sz w:val="20"/>
              </w:rPr>
              <w:t xml:space="preserve">South </w:t>
            </w:r>
          </w:p>
        </w:tc>
        <w:tc>
          <w:tcPr>
            <w:tcW w:w="851" w:type="dxa"/>
            <w:tcBorders>
              <w:top w:val="nil"/>
              <w:bottom w:val="nil"/>
            </w:tcBorders>
          </w:tcPr>
          <w:p w:rsidR="00000000" w:rsidRDefault="00000000">
            <w:pPr>
              <w:jc w:val="center"/>
              <w:rPr>
                <w:sz w:val="20"/>
              </w:rPr>
            </w:pPr>
            <w:r>
              <w:rPr>
                <w:sz w:val="20"/>
              </w:rPr>
              <w:t>29.20</w:t>
            </w:r>
          </w:p>
        </w:tc>
        <w:tc>
          <w:tcPr>
            <w:tcW w:w="687" w:type="dxa"/>
            <w:tcBorders>
              <w:top w:val="nil"/>
              <w:bottom w:val="nil"/>
            </w:tcBorders>
          </w:tcPr>
          <w:p w:rsidR="00000000" w:rsidRDefault="00000000">
            <w:pPr>
              <w:jc w:val="center"/>
              <w:rPr>
                <w:sz w:val="20"/>
              </w:rPr>
            </w:pPr>
            <w:r>
              <w:rPr>
                <w:sz w:val="20"/>
              </w:rPr>
              <w:t>27.36</w:t>
            </w:r>
          </w:p>
        </w:tc>
        <w:tc>
          <w:tcPr>
            <w:tcW w:w="831" w:type="dxa"/>
            <w:tcBorders>
              <w:top w:val="nil"/>
              <w:bottom w:val="nil"/>
            </w:tcBorders>
          </w:tcPr>
          <w:p w:rsidR="00000000" w:rsidRDefault="00000000">
            <w:pPr>
              <w:jc w:val="center"/>
              <w:rPr>
                <w:sz w:val="20"/>
              </w:rPr>
            </w:pPr>
            <w:r>
              <w:rPr>
                <w:sz w:val="20"/>
              </w:rPr>
              <w:t>25.94</w:t>
            </w:r>
          </w:p>
        </w:tc>
        <w:tc>
          <w:tcPr>
            <w:tcW w:w="831" w:type="dxa"/>
            <w:tcBorders>
              <w:top w:val="nil"/>
              <w:bottom w:val="nil"/>
            </w:tcBorders>
          </w:tcPr>
          <w:p w:rsidR="00000000" w:rsidRDefault="00000000">
            <w:pPr>
              <w:jc w:val="center"/>
              <w:rPr>
                <w:sz w:val="20"/>
              </w:rPr>
            </w:pPr>
            <w:r>
              <w:rPr>
                <w:sz w:val="20"/>
              </w:rPr>
              <w:t>24.87</w:t>
            </w:r>
          </w:p>
        </w:tc>
        <w:tc>
          <w:tcPr>
            <w:tcW w:w="831" w:type="dxa"/>
            <w:tcBorders>
              <w:top w:val="nil"/>
              <w:bottom w:val="nil"/>
            </w:tcBorders>
          </w:tcPr>
          <w:p w:rsidR="00000000" w:rsidRDefault="00000000">
            <w:pPr>
              <w:jc w:val="center"/>
              <w:rPr>
                <w:sz w:val="20"/>
              </w:rPr>
            </w:pPr>
            <w:r>
              <w:rPr>
                <w:sz w:val="20"/>
              </w:rPr>
              <w:t>24.08</w:t>
            </w:r>
          </w:p>
        </w:tc>
        <w:tc>
          <w:tcPr>
            <w:tcW w:w="831" w:type="dxa"/>
            <w:tcBorders>
              <w:top w:val="nil"/>
              <w:bottom w:val="nil"/>
            </w:tcBorders>
          </w:tcPr>
          <w:p w:rsidR="00000000" w:rsidRDefault="00000000">
            <w:pPr>
              <w:jc w:val="center"/>
              <w:rPr>
                <w:sz w:val="20"/>
              </w:rPr>
            </w:pPr>
            <w:r>
              <w:rPr>
                <w:sz w:val="20"/>
              </w:rPr>
              <w:t>23.49</w:t>
            </w:r>
          </w:p>
        </w:tc>
        <w:tc>
          <w:tcPr>
            <w:tcW w:w="831" w:type="dxa"/>
            <w:tcBorders>
              <w:top w:val="nil"/>
              <w:bottom w:val="nil"/>
            </w:tcBorders>
          </w:tcPr>
          <w:p w:rsidR="00000000" w:rsidRDefault="00000000">
            <w:pPr>
              <w:jc w:val="center"/>
              <w:rPr>
                <w:sz w:val="20"/>
              </w:rPr>
            </w:pPr>
            <w:r>
              <w:rPr>
                <w:sz w:val="20"/>
              </w:rPr>
              <w:t>23.07</w:t>
            </w:r>
          </w:p>
        </w:tc>
        <w:tc>
          <w:tcPr>
            <w:tcW w:w="831" w:type="dxa"/>
            <w:tcBorders>
              <w:top w:val="nil"/>
              <w:bottom w:val="nil"/>
            </w:tcBorders>
          </w:tcPr>
          <w:p w:rsidR="00000000" w:rsidRDefault="00000000">
            <w:pPr>
              <w:jc w:val="center"/>
              <w:rPr>
                <w:sz w:val="20"/>
              </w:rPr>
            </w:pPr>
            <w:r>
              <w:rPr>
                <w:sz w:val="20"/>
              </w:rPr>
              <w:t>22.76</w:t>
            </w:r>
          </w:p>
        </w:tc>
        <w:tc>
          <w:tcPr>
            <w:tcW w:w="831" w:type="dxa"/>
            <w:tcBorders>
              <w:top w:val="nil"/>
              <w:bottom w:val="nil"/>
            </w:tcBorders>
          </w:tcPr>
          <w:p w:rsidR="00000000" w:rsidRDefault="00000000">
            <w:pPr>
              <w:jc w:val="center"/>
              <w:rPr>
                <w:sz w:val="20"/>
              </w:rPr>
            </w:pPr>
            <w:r>
              <w:rPr>
                <w:sz w:val="20"/>
              </w:rPr>
              <w:t>22.55</w:t>
            </w:r>
          </w:p>
        </w:tc>
        <w:tc>
          <w:tcPr>
            <w:tcW w:w="756" w:type="dxa"/>
            <w:tcBorders>
              <w:top w:val="nil"/>
              <w:bottom w:val="nil"/>
            </w:tcBorders>
          </w:tcPr>
          <w:p w:rsidR="00000000" w:rsidRDefault="00000000">
            <w:pPr>
              <w:jc w:val="center"/>
              <w:rPr>
                <w:sz w:val="20"/>
              </w:rPr>
            </w:pPr>
            <w:r>
              <w:rPr>
                <w:sz w:val="20"/>
              </w:rPr>
              <w:t>22.39</w:t>
            </w:r>
          </w:p>
        </w:tc>
      </w:tr>
      <w:tr w:rsidR="00000000">
        <w:tblPrEx>
          <w:tblCellMar>
            <w:top w:w="0" w:type="dxa"/>
            <w:bottom w:w="0" w:type="dxa"/>
          </w:tblCellMar>
        </w:tblPrEx>
        <w:tc>
          <w:tcPr>
            <w:tcW w:w="1276" w:type="dxa"/>
            <w:tcBorders>
              <w:top w:val="nil"/>
            </w:tcBorders>
          </w:tcPr>
          <w:p w:rsidR="00000000" w:rsidRDefault="00000000">
            <w:pPr>
              <w:spacing w:after="120"/>
              <w:rPr>
                <w:sz w:val="20"/>
              </w:rPr>
            </w:pPr>
            <w:r>
              <w:rPr>
                <w:sz w:val="20"/>
              </w:rPr>
              <w:t>Centre-west</w:t>
            </w:r>
          </w:p>
        </w:tc>
        <w:tc>
          <w:tcPr>
            <w:tcW w:w="851" w:type="dxa"/>
            <w:tcBorders>
              <w:top w:val="nil"/>
            </w:tcBorders>
          </w:tcPr>
          <w:p w:rsidR="00000000" w:rsidRDefault="00000000">
            <w:pPr>
              <w:spacing w:after="120"/>
              <w:jc w:val="center"/>
              <w:rPr>
                <w:sz w:val="20"/>
              </w:rPr>
            </w:pPr>
            <w:r>
              <w:rPr>
                <w:sz w:val="20"/>
              </w:rPr>
              <w:t>32.97</w:t>
            </w:r>
          </w:p>
        </w:tc>
        <w:tc>
          <w:tcPr>
            <w:tcW w:w="687" w:type="dxa"/>
            <w:tcBorders>
              <w:top w:val="nil"/>
            </w:tcBorders>
          </w:tcPr>
          <w:p w:rsidR="00000000" w:rsidRDefault="00000000">
            <w:pPr>
              <w:spacing w:after="120"/>
              <w:jc w:val="center"/>
              <w:rPr>
                <w:sz w:val="20"/>
              </w:rPr>
            </w:pPr>
            <w:r>
              <w:rPr>
                <w:sz w:val="20"/>
              </w:rPr>
              <w:t>31.19</w:t>
            </w:r>
          </w:p>
        </w:tc>
        <w:tc>
          <w:tcPr>
            <w:tcW w:w="831" w:type="dxa"/>
            <w:tcBorders>
              <w:top w:val="nil"/>
            </w:tcBorders>
          </w:tcPr>
          <w:p w:rsidR="00000000" w:rsidRDefault="00000000">
            <w:pPr>
              <w:spacing w:after="120"/>
              <w:jc w:val="center"/>
              <w:rPr>
                <w:sz w:val="20"/>
              </w:rPr>
            </w:pPr>
            <w:r>
              <w:rPr>
                <w:sz w:val="20"/>
              </w:rPr>
              <w:t>29.74</w:t>
            </w:r>
          </w:p>
        </w:tc>
        <w:tc>
          <w:tcPr>
            <w:tcW w:w="831" w:type="dxa"/>
            <w:tcBorders>
              <w:top w:val="nil"/>
            </w:tcBorders>
          </w:tcPr>
          <w:p w:rsidR="00000000" w:rsidRDefault="00000000">
            <w:pPr>
              <w:spacing w:after="120"/>
              <w:jc w:val="center"/>
              <w:rPr>
                <w:sz w:val="20"/>
              </w:rPr>
            </w:pPr>
            <w:r>
              <w:rPr>
                <w:sz w:val="20"/>
              </w:rPr>
              <w:t>28.56</w:t>
            </w:r>
          </w:p>
        </w:tc>
        <w:tc>
          <w:tcPr>
            <w:tcW w:w="831" w:type="dxa"/>
            <w:tcBorders>
              <w:top w:val="nil"/>
            </w:tcBorders>
          </w:tcPr>
          <w:p w:rsidR="00000000" w:rsidRDefault="00000000">
            <w:pPr>
              <w:spacing w:after="120"/>
              <w:jc w:val="center"/>
              <w:rPr>
                <w:sz w:val="20"/>
              </w:rPr>
            </w:pPr>
            <w:r>
              <w:rPr>
                <w:sz w:val="20"/>
              </w:rPr>
              <w:t>27.61</w:t>
            </w:r>
          </w:p>
        </w:tc>
        <w:tc>
          <w:tcPr>
            <w:tcW w:w="831" w:type="dxa"/>
            <w:tcBorders>
              <w:top w:val="nil"/>
            </w:tcBorders>
          </w:tcPr>
          <w:p w:rsidR="00000000" w:rsidRDefault="00000000">
            <w:pPr>
              <w:spacing w:after="120"/>
              <w:jc w:val="center"/>
              <w:rPr>
                <w:sz w:val="20"/>
              </w:rPr>
            </w:pPr>
            <w:r>
              <w:rPr>
                <w:sz w:val="20"/>
              </w:rPr>
              <w:t>26.85</w:t>
            </w:r>
          </w:p>
        </w:tc>
        <w:tc>
          <w:tcPr>
            <w:tcW w:w="831" w:type="dxa"/>
            <w:tcBorders>
              <w:top w:val="nil"/>
            </w:tcBorders>
          </w:tcPr>
          <w:p w:rsidR="00000000" w:rsidRDefault="00000000">
            <w:pPr>
              <w:spacing w:after="120"/>
              <w:jc w:val="center"/>
              <w:rPr>
                <w:sz w:val="20"/>
              </w:rPr>
            </w:pPr>
            <w:r>
              <w:rPr>
                <w:sz w:val="20"/>
              </w:rPr>
              <w:t>26.25</w:t>
            </w:r>
          </w:p>
        </w:tc>
        <w:tc>
          <w:tcPr>
            <w:tcW w:w="831" w:type="dxa"/>
            <w:tcBorders>
              <w:top w:val="nil"/>
            </w:tcBorders>
          </w:tcPr>
          <w:p w:rsidR="00000000" w:rsidRDefault="00000000">
            <w:pPr>
              <w:spacing w:after="120"/>
              <w:jc w:val="center"/>
              <w:rPr>
                <w:sz w:val="20"/>
              </w:rPr>
            </w:pPr>
            <w:r>
              <w:rPr>
                <w:sz w:val="20"/>
              </w:rPr>
              <w:t>25.77</w:t>
            </w:r>
          </w:p>
        </w:tc>
        <w:tc>
          <w:tcPr>
            <w:tcW w:w="831" w:type="dxa"/>
            <w:tcBorders>
              <w:top w:val="nil"/>
            </w:tcBorders>
          </w:tcPr>
          <w:p w:rsidR="00000000" w:rsidRDefault="00000000">
            <w:pPr>
              <w:spacing w:after="120"/>
              <w:jc w:val="center"/>
              <w:rPr>
                <w:sz w:val="20"/>
              </w:rPr>
            </w:pPr>
            <w:r>
              <w:rPr>
                <w:sz w:val="20"/>
              </w:rPr>
              <w:t>25.39</w:t>
            </w:r>
          </w:p>
        </w:tc>
        <w:tc>
          <w:tcPr>
            <w:tcW w:w="756" w:type="dxa"/>
            <w:tcBorders>
              <w:top w:val="nil"/>
            </w:tcBorders>
          </w:tcPr>
          <w:p w:rsidR="00000000" w:rsidRDefault="00000000">
            <w:pPr>
              <w:spacing w:after="120"/>
              <w:jc w:val="center"/>
              <w:rPr>
                <w:sz w:val="20"/>
              </w:rPr>
            </w:pPr>
            <w:r>
              <w:rPr>
                <w:sz w:val="20"/>
              </w:rPr>
              <w:t>25.09</w:t>
            </w:r>
          </w:p>
        </w:tc>
      </w:tr>
    </w:tbl>
    <w:p w:rsidR="00000000" w:rsidRDefault="00000000"/>
    <w:p w:rsidR="00000000" w:rsidRDefault="00000000">
      <w:r>
        <w:tab/>
      </w:r>
      <w:r>
        <w:rPr>
          <w:u w:val="single"/>
        </w:rPr>
        <w:t>Source</w:t>
      </w:r>
      <w:r>
        <w:t>:  Estimated Infant Mortality Rate by Micro Region and Municipal District </w:t>
      </w:r>
      <w:r>
        <w:noBreakHyphen/>
        <w:t> Ministry of Health, 2000.</w:t>
      </w:r>
    </w:p>
    <w:p w:rsidR="00000000" w:rsidRDefault="00000000"/>
    <w:p w:rsidR="00000000" w:rsidRDefault="00000000">
      <w:pPr>
        <w:pStyle w:val="ParaNo"/>
        <w:tabs>
          <w:tab w:val="clear" w:pos="360"/>
          <w:tab w:val="clear" w:pos="737"/>
        </w:tabs>
        <w:rPr>
          <w:lang w:val="en-GB"/>
        </w:rPr>
      </w:pPr>
      <w:r>
        <w:rPr>
          <w:lang w:val="en-GB"/>
        </w:rPr>
        <w:t>The proportional mortality rate for infants aged under one year and the coefficient indicating the relative weight for deaths in this age group among the total number of deaths fell steeply from 1980 through 1997, down from 23.98 per cent to 7.90 per cent. These figures also varied widely by region, from 15.70 per cent in northern Brazil down to 5.71 per cent in the south.</w:t>
      </w:r>
    </w:p>
    <w:p w:rsidR="00000000" w:rsidRDefault="00000000"/>
    <w:p w:rsidR="00000000" w:rsidRDefault="00000000">
      <w:pPr>
        <w:pStyle w:val="ParaNo"/>
        <w:tabs>
          <w:tab w:val="clear" w:pos="360"/>
          <w:tab w:val="clear" w:pos="737"/>
        </w:tabs>
        <w:rPr>
          <w:lang w:val="en-GB"/>
        </w:rPr>
      </w:pPr>
      <w:r>
        <w:rPr>
          <w:lang w:val="en-GB"/>
        </w:rPr>
        <w:t>The main groupings for the causes of death among infants aged under one year changed appreciably from 1980 through 1997.  Perinatal deaths related to care during pregnancy and birth, and deaths of newborns, which accounted for just over one quarter of all deaths in this age group in 1980 (28.71 per cent), increased in relative terms to almost one half of infant deaths in 1997 (52.75 per cent).  This increase is largely relative, reflecting the shrinkage in other causes of death, due probably to better basic health</w:t>
      </w:r>
      <w:r>
        <w:rPr>
          <w:lang w:val="en-GB"/>
        </w:rPr>
        <w:noBreakHyphen/>
        <w:t>care actions and services, particularly for diseases occurring mainly during the post</w:t>
      </w:r>
      <w:r>
        <w:rPr>
          <w:lang w:val="en-GB"/>
        </w:rPr>
        <w:noBreakHyphen/>
        <w:t>neonatal period (infectious, parasitic and respiratory diseases), as well as a reduction in diagnoses based on poorly defined causes.</w:t>
      </w:r>
    </w:p>
    <w:p w:rsidR="00000000" w:rsidRDefault="00000000"/>
    <w:p w:rsidR="00000000" w:rsidRDefault="00000000">
      <w:pPr>
        <w:pStyle w:val="ParaNo"/>
        <w:tabs>
          <w:tab w:val="clear" w:pos="360"/>
          <w:tab w:val="clear" w:pos="737"/>
        </w:tabs>
        <w:rPr>
          <w:lang w:val="en-GB"/>
        </w:rPr>
      </w:pPr>
      <w:r>
        <w:rPr>
          <w:lang w:val="en-GB"/>
        </w:rPr>
        <w:t>The reduction in the infant mortality rate noted over the past few years is more significant at the post</w:t>
      </w:r>
      <w:r>
        <w:rPr>
          <w:lang w:val="en-GB"/>
        </w:rPr>
        <w:noBreakHyphen/>
        <w:t>neonatal stage, with a clear predominance of the neonatal component from 1993 onwards.</w:t>
      </w:r>
    </w:p>
    <w:p w:rsidR="00000000" w:rsidRDefault="00000000"/>
    <w:p w:rsidR="00000000" w:rsidRDefault="00000000">
      <w:pPr>
        <w:pStyle w:val="ParaNo"/>
        <w:tabs>
          <w:tab w:val="clear" w:pos="360"/>
          <w:tab w:val="clear" w:pos="737"/>
        </w:tabs>
        <w:rPr>
          <w:lang w:val="en-GB"/>
        </w:rPr>
      </w:pPr>
      <w:r>
        <w:rPr>
          <w:lang w:val="en-GB"/>
        </w:rPr>
        <w:t xml:space="preserve">Infectious and parasitic diseases </w:t>
      </w:r>
      <w:r>
        <w:rPr>
          <w:lang w:val="en-GB"/>
        </w:rPr>
        <w:noBreakHyphen/>
        <w:t xml:space="preserve"> including those that can be prevented by immunization </w:t>
      </w:r>
      <w:r>
        <w:rPr>
          <w:lang w:val="en-GB"/>
        </w:rPr>
        <w:noBreakHyphen/>
        <w:t xml:space="preserve"> and diarrhoeas, among others, dropped from 21.53 per cent to 9.53 per cent, shrinking in significance as a cause of death for this group while remaining at a relatively high level, due to marked vulnerability factors. Respiratory diseases fell slightly, from 11.56 per cent to 7.80 per cent.</w:t>
      </w:r>
    </w:p>
    <w:p w:rsidR="00000000" w:rsidRDefault="00000000"/>
    <w:p w:rsidR="00000000" w:rsidRDefault="00000000">
      <w:pPr>
        <w:pStyle w:val="ParaNo"/>
        <w:tabs>
          <w:tab w:val="clear" w:pos="360"/>
          <w:tab w:val="clear" w:pos="737"/>
        </w:tabs>
        <w:rPr>
          <w:lang w:val="en-GB"/>
        </w:rPr>
      </w:pPr>
      <w:r>
        <w:rPr>
          <w:lang w:val="en-GB"/>
        </w:rPr>
        <w:t>Death resulting from undefined symptoms, signs and infections, which also indicates the absence and/or lack of prompt medical assistance, dropped to one half of the figure for the start of the period, down from 25.12 per cent to 11.22 per cent, which also reflects an improvement in the quality of the information provided by the system.</w:t>
      </w:r>
    </w:p>
    <w:p w:rsidR="00000000" w:rsidRDefault="00000000"/>
    <w:p w:rsidR="00000000" w:rsidRDefault="00000000">
      <w:pPr>
        <w:pStyle w:val="ParaNo"/>
        <w:tabs>
          <w:tab w:val="clear" w:pos="360"/>
          <w:tab w:val="clear" w:pos="737"/>
        </w:tabs>
        <w:rPr>
          <w:lang w:val="en-GB"/>
        </w:rPr>
      </w:pPr>
      <w:r>
        <w:rPr>
          <w:lang w:val="en-GB"/>
        </w:rPr>
        <w:t>In 1997, neonatal deaths (0</w:t>
      </w:r>
      <w:r>
        <w:rPr>
          <w:lang w:val="en-GB"/>
        </w:rPr>
        <w:noBreakHyphen/>
        <w:t xml:space="preserve">27 days of life) accounted for 62.1 per cent of deaths among infants aged under one year, while 79 per cent of neonatal deaths occurred during the first week of life.  Most of the deaths during the neonatal period were due to perinatal causes (related to prenatal and birthing facilities) as well as congenital anomalies.  </w:t>
      </w:r>
    </w:p>
    <w:p w:rsidR="00000000" w:rsidRDefault="00000000"/>
    <w:p w:rsidR="00000000" w:rsidRDefault="00000000">
      <w:pPr>
        <w:pStyle w:val="ParaNo"/>
        <w:tabs>
          <w:tab w:val="clear" w:pos="360"/>
          <w:tab w:val="clear" w:pos="737"/>
        </w:tabs>
        <w:rPr>
          <w:lang w:val="en-GB"/>
        </w:rPr>
      </w:pPr>
      <w:r>
        <w:rPr>
          <w:lang w:val="en-GB"/>
        </w:rPr>
        <w:t>In 1997, infectious and parasitic diseases in north</w:t>
      </w:r>
      <w:r>
        <w:rPr>
          <w:lang w:val="en-GB"/>
        </w:rPr>
        <w:noBreakHyphen/>
        <w:t>east Brazil accounted for 13.67 per cent of infant deaths, compared with less than one half of this figure in the south (6.99 per cent).  These figures indicate that the causes of death in north</w:t>
      </w:r>
      <w:r>
        <w:rPr>
          <w:lang w:val="en-GB"/>
        </w:rPr>
        <w:noBreakHyphen/>
        <w:t>east Brazil are still heavily influenced by outside factors, including infections, which tend to drop as the social and economic conditions of the population improve.</w:t>
      </w:r>
    </w:p>
    <w:p w:rsidR="00000000" w:rsidRDefault="00000000"/>
    <w:p w:rsidR="00000000" w:rsidRDefault="00000000">
      <w:pPr>
        <w:pStyle w:val="ParaNo"/>
        <w:tabs>
          <w:tab w:val="clear" w:pos="360"/>
          <w:tab w:val="clear" w:pos="737"/>
        </w:tabs>
        <w:ind w:left="0" w:firstLine="0"/>
        <w:rPr>
          <w:lang w:val="en-GB"/>
        </w:rPr>
      </w:pPr>
      <w:r>
        <w:rPr>
          <w:lang w:val="en-GB"/>
        </w:rPr>
        <w:t>A significant trend in epidemiological standards that has obvious effects on the demographic structure is related to alterations in the composition of the death rate by cause groupings at all ages.  The most striking characteristic is the steady drop in death from infectious and parasitic diseases, in parallel to the increase in circulatory system diseases, which took the lead as the main cause of death during the 1960s, as well as outside causes and respiratory system diseases, in addition to neoplasias, shown in table 75.</w:t>
      </w:r>
    </w:p>
    <w:p w:rsidR="00000000" w:rsidRDefault="00000000"/>
    <w:p w:rsidR="00000000" w:rsidRDefault="00000000">
      <w:pPr>
        <w:pStyle w:val="Heading1"/>
      </w:pPr>
      <w:r>
        <w:t>Table 75</w:t>
      </w:r>
    </w:p>
    <w:p w:rsidR="00000000" w:rsidRDefault="00000000">
      <w:pPr>
        <w:pStyle w:val="Heading1"/>
      </w:pPr>
    </w:p>
    <w:p w:rsidR="00000000" w:rsidRDefault="00000000">
      <w:pPr>
        <w:pStyle w:val="Heading1"/>
      </w:pPr>
      <w:r>
        <w:t>Proportional mortality rates for the main causes of death in Brazil, 1979</w:t>
      </w:r>
      <w:r>
        <w:noBreakHyphen/>
        <w:t>1998</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1564"/>
        <w:gridCol w:w="1276"/>
        <w:gridCol w:w="1417"/>
        <w:gridCol w:w="1418"/>
        <w:gridCol w:w="1559"/>
        <w:gridCol w:w="1276"/>
      </w:tblGrid>
      <w:tr w:rsidR="00000000">
        <w:tblPrEx>
          <w:tblCellMar>
            <w:top w:w="0" w:type="dxa"/>
            <w:bottom w:w="0" w:type="dxa"/>
          </w:tblCellMar>
        </w:tblPrEx>
        <w:trPr>
          <w:cantSplit/>
        </w:trPr>
        <w:tc>
          <w:tcPr>
            <w:tcW w:w="9356" w:type="dxa"/>
            <w:gridSpan w:val="7"/>
          </w:tcPr>
          <w:p w:rsidR="00000000" w:rsidRDefault="00000000">
            <w:pPr>
              <w:jc w:val="center"/>
            </w:pPr>
            <w:r>
              <w:t>Chapters</w:t>
            </w:r>
          </w:p>
        </w:tc>
      </w:tr>
      <w:tr w:rsidR="00000000">
        <w:tblPrEx>
          <w:tblCellMar>
            <w:top w:w="0" w:type="dxa"/>
            <w:bottom w:w="0" w:type="dxa"/>
          </w:tblCellMar>
        </w:tblPrEx>
        <w:tc>
          <w:tcPr>
            <w:tcW w:w="846" w:type="dxa"/>
          </w:tcPr>
          <w:p w:rsidR="00000000" w:rsidRDefault="00000000">
            <w:pPr>
              <w:jc w:val="center"/>
            </w:pPr>
            <w:r>
              <w:t>Year</w:t>
            </w:r>
          </w:p>
        </w:tc>
        <w:tc>
          <w:tcPr>
            <w:tcW w:w="1564" w:type="dxa"/>
          </w:tcPr>
          <w:p w:rsidR="00000000" w:rsidRDefault="00000000">
            <w:pPr>
              <w:ind w:left="-57" w:right="-57"/>
              <w:jc w:val="center"/>
            </w:pPr>
            <w:r>
              <w:t>Infectious and parasitic diseases</w:t>
            </w:r>
          </w:p>
        </w:tc>
        <w:tc>
          <w:tcPr>
            <w:tcW w:w="1276" w:type="dxa"/>
          </w:tcPr>
          <w:p w:rsidR="00000000" w:rsidRDefault="00000000">
            <w:pPr>
              <w:jc w:val="center"/>
            </w:pPr>
            <w:r>
              <w:t>Neoplasias</w:t>
            </w:r>
          </w:p>
        </w:tc>
        <w:tc>
          <w:tcPr>
            <w:tcW w:w="1417" w:type="dxa"/>
          </w:tcPr>
          <w:p w:rsidR="00000000" w:rsidRDefault="00000000">
            <w:pPr>
              <w:jc w:val="center"/>
            </w:pPr>
            <w:r>
              <w:t>Circulatory system diseases</w:t>
            </w:r>
          </w:p>
        </w:tc>
        <w:tc>
          <w:tcPr>
            <w:tcW w:w="1418" w:type="dxa"/>
          </w:tcPr>
          <w:p w:rsidR="00000000" w:rsidRDefault="00000000">
            <w:pPr>
              <w:jc w:val="center"/>
            </w:pPr>
            <w:r>
              <w:t>Respiratory system diseases</w:t>
            </w:r>
          </w:p>
        </w:tc>
        <w:tc>
          <w:tcPr>
            <w:tcW w:w="1559" w:type="dxa"/>
          </w:tcPr>
          <w:p w:rsidR="00000000" w:rsidRDefault="00000000">
            <w:pPr>
              <w:jc w:val="center"/>
            </w:pPr>
            <w:r>
              <w:t>Infections originating in the perinatal period</w:t>
            </w:r>
          </w:p>
        </w:tc>
        <w:tc>
          <w:tcPr>
            <w:tcW w:w="1276" w:type="dxa"/>
          </w:tcPr>
          <w:p w:rsidR="00000000" w:rsidRDefault="00000000">
            <w:pPr>
              <w:jc w:val="center"/>
            </w:pPr>
            <w:r>
              <w:t>Outside causes</w:t>
            </w:r>
          </w:p>
        </w:tc>
      </w:tr>
      <w:tr w:rsidR="00000000">
        <w:tblPrEx>
          <w:tblCellMar>
            <w:top w:w="0" w:type="dxa"/>
            <w:bottom w:w="0" w:type="dxa"/>
          </w:tblCellMar>
        </w:tblPrEx>
        <w:tc>
          <w:tcPr>
            <w:tcW w:w="846" w:type="dxa"/>
            <w:tcBorders>
              <w:bottom w:val="nil"/>
            </w:tcBorders>
          </w:tcPr>
          <w:p w:rsidR="00000000" w:rsidRDefault="00000000">
            <w:r>
              <w:t>1979</w:t>
            </w:r>
          </w:p>
        </w:tc>
        <w:tc>
          <w:tcPr>
            <w:tcW w:w="1564" w:type="dxa"/>
            <w:tcBorders>
              <w:bottom w:val="nil"/>
            </w:tcBorders>
          </w:tcPr>
          <w:p w:rsidR="00000000" w:rsidRDefault="00000000">
            <w:pPr>
              <w:ind w:right="510"/>
              <w:jc w:val="right"/>
            </w:pPr>
            <w:r>
              <w:t>10.3</w:t>
            </w:r>
          </w:p>
        </w:tc>
        <w:tc>
          <w:tcPr>
            <w:tcW w:w="1276" w:type="dxa"/>
            <w:tcBorders>
              <w:bottom w:val="nil"/>
            </w:tcBorders>
          </w:tcPr>
          <w:p w:rsidR="00000000" w:rsidRDefault="00000000">
            <w:pPr>
              <w:ind w:right="510"/>
              <w:jc w:val="right"/>
            </w:pPr>
            <w:r>
              <w:t>8.1</w:t>
            </w:r>
          </w:p>
        </w:tc>
        <w:tc>
          <w:tcPr>
            <w:tcW w:w="1417" w:type="dxa"/>
            <w:tcBorders>
              <w:bottom w:val="nil"/>
            </w:tcBorders>
          </w:tcPr>
          <w:p w:rsidR="00000000" w:rsidRDefault="00000000">
            <w:pPr>
              <w:ind w:right="454"/>
              <w:jc w:val="right"/>
            </w:pPr>
            <w:r>
              <w:t>25.1</w:t>
            </w:r>
          </w:p>
        </w:tc>
        <w:tc>
          <w:tcPr>
            <w:tcW w:w="1418" w:type="dxa"/>
            <w:tcBorders>
              <w:bottom w:val="nil"/>
            </w:tcBorders>
          </w:tcPr>
          <w:p w:rsidR="00000000" w:rsidRDefault="00000000">
            <w:pPr>
              <w:ind w:right="510"/>
              <w:jc w:val="right"/>
            </w:pPr>
            <w:r>
              <w:t>8.1</w:t>
            </w:r>
          </w:p>
        </w:tc>
        <w:tc>
          <w:tcPr>
            <w:tcW w:w="1559" w:type="dxa"/>
            <w:tcBorders>
              <w:bottom w:val="nil"/>
            </w:tcBorders>
          </w:tcPr>
          <w:p w:rsidR="00000000" w:rsidRDefault="00000000">
            <w:pPr>
              <w:ind w:right="510"/>
              <w:jc w:val="right"/>
            </w:pPr>
            <w:r>
              <w:t>7.2</w:t>
            </w:r>
          </w:p>
        </w:tc>
        <w:tc>
          <w:tcPr>
            <w:tcW w:w="1276" w:type="dxa"/>
            <w:tcBorders>
              <w:bottom w:val="nil"/>
            </w:tcBorders>
          </w:tcPr>
          <w:p w:rsidR="00000000" w:rsidRDefault="00000000">
            <w:pPr>
              <w:ind w:right="397"/>
              <w:jc w:val="right"/>
            </w:pPr>
            <w:r>
              <w:t>9.2</w:t>
            </w:r>
          </w:p>
        </w:tc>
      </w:tr>
      <w:tr w:rsidR="00000000">
        <w:tblPrEx>
          <w:tblCellMar>
            <w:top w:w="0" w:type="dxa"/>
            <w:bottom w:w="0" w:type="dxa"/>
          </w:tblCellMar>
        </w:tblPrEx>
        <w:tc>
          <w:tcPr>
            <w:tcW w:w="846" w:type="dxa"/>
            <w:tcBorders>
              <w:top w:val="nil"/>
              <w:bottom w:val="nil"/>
            </w:tcBorders>
          </w:tcPr>
          <w:p w:rsidR="00000000" w:rsidRDefault="00000000">
            <w:r>
              <w:t>1984</w:t>
            </w:r>
          </w:p>
        </w:tc>
        <w:tc>
          <w:tcPr>
            <w:tcW w:w="1564" w:type="dxa"/>
            <w:tcBorders>
              <w:top w:val="nil"/>
              <w:bottom w:val="nil"/>
            </w:tcBorders>
          </w:tcPr>
          <w:p w:rsidR="00000000" w:rsidRDefault="00000000">
            <w:pPr>
              <w:ind w:right="510"/>
              <w:jc w:val="right"/>
            </w:pPr>
            <w:r>
              <w:t>7.5</w:t>
            </w:r>
          </w:p>
        </w:tc>
        <w:tc>
          <w:tcPr>
            <w:tcW w:w="1276" w:type="dxa"/>
            <w:tcBorders>
              <w:top w:val="nil"/>
              <w:bottom w:val="nil"/>
            </w:tcBorders>
          </w:tcPr>
          <w:p w:rsidR="00000000" w:rsidRDefault="00000000">
            <w:pPr>
              <w:ind w:right="510"/>
              <w:jc w:val="right"/>
            </w:pPr>
            <w:r>
              <w:t>8.5</w:t>
            </w:r>
          </w:p>
        </w:tc>
        <w:tc>
          <w:tcPr>
            <w:tcW w:w="1417" w:type="dxa"/>
            <w:tcBorders>
              <w:top w:val="nil"/>
              <w:bottom w:val="nil"/>
            </w:tcBorders>
          </w:tcPr>
          <w:p w:rsidR="00000000" w:rsidRDefault="00000000">
            <w:pPr>
              <w:ind w:right="454"/>
              <w:jc w:val="right"/>
            </w:pPr>
            <w:r>
              <w:t>25.8</w:t>
            </w:r>
          </w:p>
        </w:tc>
        <w:tc>
          <w:tcPr>
            <w:tcW w:w="1418" w:type="dxa"/>
            <w:tcBorders>
              <w:top w:val="nil"/>
              <w:bottom w:val="nil"/>
            </w:tcBorders>
          </w:tcPr>
          <w:p w:rsidR="00000000" w:rsidRDefault="00000000">
            <w:pPr>
              <w:ind w:right="510"/>
              <w:jc w:val="right"/>
            </w:pPr>
            <w:r>
              <w:t>7.8</w:t>
            </w:r>
          </w:p>
        </w:tc>
        <w:tc>
          <w:tcPr>
            <w:tcW w:w="1559" w:type="dxa"/>
            <w:tcBorders>
              <w:top w:val="nil"/>
              <w:bottom w:val="nil"/>
            </w:tcBorders>
          </w:tcPr>
          <w:p w:rsidR="00000000" w:rsidRDefault="00000000">
            <w:pPr>
              <w:ind w:right="510"/>
              <w:jc w:val="right"/>
            </w:pPr>
            <w:r>
              <w:t>6.1</w:t>
            </w:r>
          </w:p>
        </w:tc>
        <w:tc>
          <w:tcPr>
            <w:tcW w:w="1276" w:type="dxa"/>
            <w:tcBorders>
              <w:top w:val="nil"/>
              <w:bottom w:val="nil"/>
            </w:tcBorders>
          </w:tcPr>
          <w:p w:rsidR="00000000" w:rsidRDefault="00000000">
            <w:pPr>
              <w:ind w:right="397"/>
              <w:jc w:val="right"/>
            </w:pPr>
            <w:r>
              <w:t>10.2</w:t>
            </w:r>
          </w:p>
        </w:tc>
      </w:tr>
      <w:tr w:rsidR="00000000">
        <w:tblPrEx>
          <w:tblCellMar>
            <w:top w:w="0" w:type="dxa"/>
            <w:bottom w:w="0" w:type="dxa"/>
          </w:tblCellMar>
        </w:tblPrEx>
        <w:tc>
          <w:tcPr>
            <w:tcW w:w="846" w:type="dxa"/>
            <w:tcBorders>
              <w:top w:val="nil"/>
              <w:bottom w:val="nil"/>
            </w:tcBorders>
          </w:tcPr>
          <w:p w:rsidR="00000000" w:rsidRDefault="00000000">
            <w:r>
              <w:t>1989</w:t>
            </w:r>
          </w:p>
        </w:tc>
        <w:tc>
          <w:tcPr>
            <w:tcW w:w="1564" w:type="dxa"/>
            <w:tcBorders>
              <w:top w:val="nil"/>
              <w:bottom w:val="nil"/>
            </w:tcBorders>
          </w:tcPr>
          <w:p w:rsidR="00000000" w:rsidRDefault="00000000">
            <w:pPr>
              <w:ind w:right="510"/>
              <w:jc w:val="right"/>
            </w:pPr>
            <w:r>
              <w:t>5.5</w:t>
            </w:r>
          </w:p>
        </w:tc>
        <w:tc>
          <w:tcPr>
            <w:tcW w:w="1276" w:type="dxa"/>
            <w:tcBorders>
              <w:top w:val="nil"/>
              <w:bottom w:val="nil"/>
            </w:tcBorders>
          </w:tcPr>
          <w:p w:rsidR="00000000" w:rsidRDefault="00000000">
            <w:pPr>
              <w:ind w:right="510"/>
              <w:jc w:val="right"/>
            </w:pPr>
            <w:r>
              <w:t>9.9</w:t>
            </w:r>
          </w:p>
        </w:tc>
        <w:tc>
          <w:tcPr>
            <w:tcW w:w="1417" w:type="dxa"/>
            <w:tcBorders>
              <w:top w:val="nil"/>
              <w:bottom w:val="nil"/>
            </w:tcBorders>
          </w:tcPr>
          <w:p w:rsidR="00000000" w:rsidRDefault="00000000">
            <w:pPr>
              <w:ind w:right="454"/>
              <w:jc w:val="right"/>
            </w:pPr>
            <w:r>
              <w:t>28.0</w:t>
            </w:r>
          </w:p>
        </w:tc>
        <w:tc>
          <w:tcPr>
            <w:tcW w:w="1418" w:type="dxa"/>
            <w:tcBorders>
              <w:top w:val="nil"/>
              <w:bottom w:val="nil"/>
            </w:tcBorders>
          </w:tcPr>
          <w:p w:rsidR="00000000" w:rsidRDefault="00000000">
            <w:pPr>
              <w:ind w:right="510"/>
              <w:jc w:val="right"/>
            </w:pPr>
            <w:r>
              <w:t>8.1</w:t>
            </w:r>
          </w:p>
        </w:tc>
        <w:tc>
          <w:tcPr>
            <w:tcW w:w="1559" w:type="dxa"/>
            <w:tcBorders>
              <w:top w:val="nil"/>
              <w:bottom w:val="nil"/>
            </w:tcBorders>
          </w:tcPr>
          <w:p w:rsidR="00000000" w:rsidRDefault="00000000">
            <w:pPr>
              <w:ind w:right="510"/>
              <w:jc w:val="right"/>
            </w:pPr>
            <w:r>
              <w:t>5.0</w:t>
            </w:r>
          </w:p>
        </w:tc>
        <w:tc>
          <w:tcPr>
            <w:tcW w:w="1276" w:type="dxa"/>
            <w:tcBorders>
              <w:top w:val="nil"/>
              <w:bottom w:val="nil"/>
            </w:tcBorders>
          </w:tcPr>
          <w:p w:rsidR="00000000" w:rsidRDefault="00000000">
            <w:pPr>
              <w:ind w:right="397"/>
              <w:jc w:val="right"/>
            </w:pPr>
            <w:r>
              <w:t>12.5</w:t>
            </w:r>
          </w:p>
        </w:tc>
      </w:tr>
      <w:tr w:rsidR="00000000">
        <w:tblPrEx>
          <w:tblCellMar>
            <w:top w:w="0" w:type="dxa"/>
            <w:bottom w:w="0" w:type="dxa"/>
          </w:tblCellMar>
        </w:tblPrEx>
        <w:tc>
          <w:tcPr>
            <w:tcW w:w="846" w:type="dxa"/>
            <w:tcBorders>
              <w:top w:val="nil"/>
              <w:bottom w:val="nil"/>
            </w:tcBorders>
          </w:tcPr>
          <w:p w:rsidR="00000000" w:rsidRDefault="00000000">
            <w:r>
              <w:t>1995</w:t>
            </w:r>
          </w:p>
        </w:tc>
        <w:tc>
          <w:tcPr>
            <w:tcW w:w="1564" w:type="dxa"/>
            <w:tcBorders>
              <w:top w:val="nil"/>
              <w:bottom w:val="nil"/>
            </w:tcBorders>
          </w:tcPr>
          <w:p w:rsidR="00000000" w:rsidRDefault="00000000">
            <w:pPr>
              <w:ind w:right="510"/>
              <w:jc w:val="right"/>
            </w:pPr>
            <w:r>
              <w:t>4.3</w:t>
            </w:r>
          </w:p>
        </w:tc>
        <w:tc>
          <w:tcPr>
            <w:tcW w:w="1276" w:type="dxa"/>
            <w:tcBorders>
              <w:top w:val="nil"/>
              <w:bottom w:val="nil"/>
            </w:tcBorders>
          </w:tcPr>
          <w:p w:rsidR="00000000" w:rsidRDefault="00000000">
            <w:pPr>
              <w:ind w:right="510"/>
              <w:jc w:val="right"/>
            </w:pPr>
            <w:r>
              <w:t>11.1</w:t>
            </w:r>
          </w:p>
        </w:tc>
        <w:tc>
          <w:tcPr>
            <w:tcW w:w="1417" w:type="dxa"/>
            <w:tcBorders>
              <w:top w:val="nil"/>
              <w:bottom w:val="nil"/>
            </w:tcBorders>
          </w:tcPr>
          <w:p w:rsidR="00000000" w:rsidRDefault="00000000">
            <w:pPr>
              <w:ind w:right="454"/>
              <w:jc w:val="right"/>
            </w:pPr>
            <w:r>
              <w:t>27.4</w:t>
            </w:r>
          </w:p>
        </w:tc>
        <w:tc>
          <w:tcPr>
            <w:tcW w:w="1418" w:type="dxa"/>
            <w:tcBorders>
              <w:top w:val="nil"/>
              <w:bottom w:val="nil"/>
            </w:tcBorders>
          </w:tcPr>
          <w:p w:rsidR="00000000" w:rsidRDefault="00000000">
            <w:pPr>
              <w:ind w:right="510"/>
              <w:jc w:val="right"/>
            </w:pPr>
            <w:r>
              <w:t>9.3</w:t>
            </w:r>
          </w:p>
        </w:tc>
        <w:tc>
          <w:tcPr>
            <w:tcW w:w="1559" w:type="dxa"/>
            <w:tcBorders>
              <w:top w:val="nil"/>
              <w:bottom w:val="nil"/>
            </w:tcBorders>
          </w:tcPr>
          <w:p w:rsidR="00000000" w:rsidRDefault="00000000">
            <w:pPr>
              <w:ind w:right="510"/>
              <w:jc w:val="right"/>
            </w:pPr>
            <w:r>
              <w:t>4.3</w:t>
            </w:r>
          </w:p>
        </w:tc>
        <w:tc>
          <w:tcPr>
            <w:tcW w:w="1276" w:type="dxa"/>
            <w:tcBorders>
              <w:top w:val="nil"/>
              <w:bottom w:val="nil"/>
            </w:tcBorders>
          </w:tcPr>
          <w:p w:rsidR="00000000" w:rsidRDefault="00000000">
            <w:pPr>
              <w:ind w:right="397"/>
              <w:jc w:val="right"/>
            </w:pPr>
            <w:r>
              <w:t>12.9</w:t>
            </w:r>
          </w:p>
        </w:tc>
      </w:tr>
      <w:tr w:rsidR="00000000">
        <w:tblPrEx>
          <w:tblCellMar>
            <w:top w:w="0" w:type="dxa"/>
            <w:bottom w:w="0" w:type="dxa"/>
          </w:tblCellMar>
        </w:tblPrEx>
        <w:tc>
          <w:tcPr>
            <w:tcW w:w="846" w:type="dxa"/>
            <w:tcBorders>
              <w:top w:val="nil"/>
            </w:tcBorders>
          </w:tcPr>
          <w:p w:rsidR="00000000" w:rsidRDefault="00000000">
            <w:r>
              <w:t>1998</w:t>
            </w:r>
          </w:p>
        </w:tc>
        <w:tc>
          <w:tcPr>
            <w:tcW w:w="1564" w:type="dxa"/>
            <w:tcBorders>
              <w:top w:val="nil"/>
            </w:tcBorders>
          </w:tcPr>
          <w:p w:rsidR="00000000" w:rsidRDefault="00000000">
            <w:pPr>
              <w:ind w:right="510"/>
              <w:jc w:val="right"/>
            </w:pPr>
            <w:r>
              <w:t>5.2</w:t>
            </w:r>
          </w:p>
        </w:tc>
        <w:tc>
          <w:tcPr>
            <w:tcW w:w="1276" w:type="dxa"/>
            <w:tcBorders>
              <w:top w:val="nil"/>
            </w:tcBorders>
          </w:tcPr>
          <w:p w:rsidR="00000000" w:rsidRDefault="00000000">
            <w:pPr>
              <w:ind w:right="510"/>
              <w:jc w:val="right"/>
            </w:pPr>
            <w:r>
              <w:t>11.9</w:t>
            </w:r>
          </w:p>
        </w:tc>
        <w:tc>
          <w:tcPr>
            <w:tcW w:w="1417" w:type="dxa"/>
            <w:tcBorders>
              <w:top w:val="nil"/>
            </w:tcBorders>
          </w:tcPr>
          <w:p w:rsidR="00000000" w:rsidRDefault="00000000">
            <w:pPr>
              <w:ind w:right="454"/>
              <w:jc w:val="right"/>
            </w:pPr>
            <w:r>
              <w:t>27.6</w:t>
            </w:r>
          </w:p>
        </w:tc>
        <w:tc>
          <w:tcPr>
            <w:tcW w:w="1418" w:type="dxa"/>
            <w:tcBorders>
              <w:top w:val="nil"/>
            </w:tcBorders>
          </w:tcPr>
          <w:p w:rsidR="00000000" w:rsidRDefault="00000000">
            <w:pPr>
              <w:ind w:right="510"/>
              <w:jc w:val="right"/>
            </w:pPr>
            <w:r>
              <w:t>9.9</w:t>
            </w:r>
          </w:p>
        </w:tc>
        <w:tc>
          <w:tcPr>
            <w:tcW w:w="1559" w:type="dxa"/>
            <w:tcBorders>
              <w:top w:val="nil"/>
            </w:tcBorders>
          </w:tcPr>
          <w:p w:rsidR="00000000" w:rsidRDefault="00000000">
            <w:pPr>
              <w:ind w:right="510"/>
              <w:jc w:val="right"/>
            </w:pPr>
            <w:r>
              <w:t>3.9</w:t>
            </w:r>
          </w:p>
        </w:tc>
        <w:tc>
          <w:tcPr>
            <w:tcW w:w="1276" w:type="dxa"/>
            <w:tcBorders>
              <w:top w:val="nil"/>
            </w:tcBorders>
          </w:tcPr>
          <w:p w:rsidR="00000000" w:rsidRDefault="00000000">
            <w:pPr>
              <w:ind w:right="397"/>
              <w:jc w:val="right"/>
            </w:pPr>
            <w:r>
              <w:t>12.7</w:t>
            </w:r>
          </w:p>
        </w:tc>
      </w:tr>
    </w:tbl>
    <w:p w:rsidR="00000000" w:rsidRDefault="00000000"/>
    <w:p w:rsidR="00000000" w:rsidRDefault="00000000">
      <w:r>
        <w:tab/>
      </w:r>
      <w:r>
        <w:rPr>
          <w:u w:val="single"/>
        </w:rPr>
        <w:t>Source</w:t>
      </w:r>
      <w:r>
        <w:t>:  Mortality Rates Information System (SIM/CENEPI/FUNASA).</w:t>
      </w:r>
    </w:p>
    <w:p w:rsidR="00000000" w:rsidRDefault="00000000"/>
    <w:p w:rsidR="00000000" w:rsidRDefault="00000000">
      <w:pPr>
        <w:pStyle w:val="ParaNo"/>
        <w:tabs>
          <w:tab w:val="clear" w:pos="360"/>
          <w:tab w:val="clear" w:pos="737"/>
        </w:tabs>
        <w:ind w:left="0" w:firstLine="0"/>
        <w:rPr>
          <w:lang w:val="en-GB"/>
        </w:rPr>
      </w:pPr>
      <w:r>
        <w:rPr>
          <w:lang w:val="en-GB"/>
        </w:rPr>
        <w:t>However, an analysis of data</w:t>
      </w:r>
      <w:r>
        <w:rPr>
          <w:lang w:val="en-GB"/>
        </w:rPr>
        <w:noBreakHyphen/>
        <w:t>based mortality rates requires certain issues to be taken into consideration in terms of quality.  The main factor is the high percentage of causes of death recorded as due to undefined symptoms and signs of infection; although dropping, this still accounted for 14.9 per cent of deaths registered in 1998.</w:t>
      </w:r>
    </w:p>
    <w:p w:rsidR="00000000" w:rsidRDefault="00000000"/>
    <w:p w:rsidR="00000000" w:rsidRDefault="00000000">
      <w:pPr>
        <w:pStyle w:val="ParaNo"/>
        <w:tabs>
          <w:tab w:val="clear" w:pos="360"/>
          <w:tab w:val="clear" w:pos="737"/>
        </w:tabs>
        <w:ind w:left="0" w:firstLine="0"/>
        <w:rPr>
          <w:lang w:val="en-GB"/>
        </w:rPr>
      </w:pPr>
      <w:r>
        <w:rPr>
          <w:lang w:val="en-GB"/>
        </w:rPr>
        <w:br w:type="page"/>
        <w:t xml:space="preserve">Among the chronic communicable diseases, two warrant particular attention: </w:t>
      </w:r>
    </w:p>
    <w:p w:rsidR="00000000" w:rsidRDefault="00000000"/>
    <w:p w:rsidR="00000000" w:rsidRDefault="00000000">
      <w:r>
        <w:tab/>
        <w:t>(a)</w:t>
      </w:r>
      <w:r>
        <w:tab/>
        <w:t>Tuberculosis, which accounts for some 6,000 deaths registered each year in Brazil.  In 1999, 78,628 cases of tuberculosis were notified, all clinical, reflecting an incidence coefficient of 48.0 cases per 1,000 inhabitants.  Launched in 1998, Brazil’s National Tuberculosis Control Plan introduced supervised treatment, paying a bonus of Cr$ 150 or Cr$ 100 for each case of this disease diagnosed, treated and cured (with the different amounts paid depending on whether or not the treatment was supervised).  In 2000, Tuberculosis Control activities were integrated with the basic healthcare services, and this plan will be implemented in 329 high</w:t>
      </w:r>
      <w:r>
        <w:noBreakHyphen/>
        <w:t xml:space="preserve">priority municipal districts that are home to some 50 per cent of the Brazilian population, as well as housing 80 per cent of the cases of this disease; </w:t>
      </w:r>
    </w:p>
    <w:p w:rsidR="00000000" w:rsidRDefault="00000000"/>
    <w:p w:rsidR="00000000" w:rsidRDefault="00000000">
      <w:r>
        <w:tab/>
        <w:t>(b)</w:t>
      </w:r>
      <w:r>
        <w:tab/>
        <w:t>The hanseniasis rate fell 80 per cent during the 1990s, down from 17.4 per 1,000 inhabitants in 1991 to 3.6 per 1,000 inhabitants in 1999.  Nevertheless, north, north</w:t>
      </w:r>
      <w:r>
        <w:noBreakHyphen/>
        <w:t>east and centre</w:t>
      </w:r>
      <w:r>
        <w:noBreakHyphen/>
        <w:t>west Brazil still post high prevalence and detection rates for this disease.  In 1991, at the forty</w:t>
      </w:r>
      <w:r>
        <w:noBreakHyphen/>
        <w:t>fourth World Health Assembly, Brazil agreed to the goal of eliminating hanseniasis as a public health care problem, bringing the rate down to less than 1 victim per 1,000 inhabitants by 2005.  In order to achieve this target, hanseniasis control activities should be implemented by all health care units in the basic network, including the teams working for the Community Health Care Agents Programme, as well as the Family Health Care Programme (ATDS/DAB/MS, 2000).</w:t>
      </w:r>
    </w:p>
    <w:p w:rsidR="00000000" w:rsidRDefault="00000000"/>
    <w:p w:rsidR="00000000" w:rsidRDefault="00000000">
      <w:pPr>
        <w:pStyle w:val="ParaNo"/>
        <w:tabs>
          <w:tab w:val="clear" w:pos="360"/>
          <w:tab w:val="clear" w:pos="737"/>
        </w:tabs>
        <w:ind w:left="0" w:firstLine="0"/>
        <w:rPr>
          <w:lang w:val="en-GB"/>
        </w:rPr>
      </w:pPr>
      <w:r>
        <w:rPr>
          <w:lang w:val="en-GB"/>
        </w:rPr>
        <w:t>In terms of the epidemiological status of diseases requiring mandatory notification, as well as endemic diseases in Brazil (communicable diseases), the current situation is complex, but can be summed up in three main trends.</w:t>
      </w:r>
    </w:p>
    <w:p w:rsidR="00000000" w:rsidRDefault="00000000"/>
    <w:p w:rsidR="00000000" w:rsidRDefault="00000000">
      <w:pPr>
        <w:pStyle w:val="ParaNo"/>
        <w:tabs>
          <w:tab w:val="clear" w:pos="360"/>
          <w:tab w:val="clear" w:pos="737"/>
        </w:tabs>
        <w:ind w:left="0" w:firstLine="0"/>
        <w:rPr>
          <w:lang w:val="en-GB"/>
        </w:rPr>
      </w:pPr>
      <w:r>
        <w:rPr>
          <w:lang w:val="en-GB"/>
        </w:rPr>
        <w:t xml:space="preserve">Communicable diseases have either been eliminated or are on the decline.  Significant achievements have been noted in terms of prevention and control of a large group of communicable diseases, through the availability of effective tools.  They include diseases that can be prevented through immunization, with a steep drop in their rates over the period.  </w:t>
      </w:r>
    </w:p>
    <w:p w:rsidR="00000000" w:rsidRDefault="00000000"/>
    <w:p w:rsidR="00000000" w:rsidRDefault="00000000">
      <w:pPr>
        <w:pStyle w:val="ParaNo"/>
        <w:tabs>
          <w:tab w:val="clear" w:pos="360"/>
          <w:tab w:val="clear" w:pos="737"/>
        </w:tabs>
        <w:ind w:left="0" w:firstLine="0"/>
        <w:rPr>
          <w:lang w:val="en-GB"/>
        </w:rPr>
      </w:pPr>
      <w:r>
        <w:rPr>
          <w:lang w:val="en-GB"/>
        </w:rPr>
        <w:t>For this group of diseases, Brazil’s Ministry of Health has established objectives that include maintaining the current control situation or even achieving eradication, where this strategy can be deployed.  In order to achieve these objectives, the Ministry of Health has invested in strengthening the capacity of municipal districts and states to detect suspect cases rapidly, while implementing effective preventive measures (epidemiological surveillance); extending widespread coverage of routine vaccination campaigns in order to achieve adequate levels in each municipal district; and the adoption of specific strategies such as screening and sweeping operations, while stepping up vaccination campaigns.</w:t>
      </w:r>
    </w:p>
    <w:p w:rsidR="00000000" w:rsidRDefault="00000000"/>
    <w:p w:rsidR="00000000" w:rsidRDefault="00000000">
      <w:pPr>
        <w:pStyle w:val="ParaNo"/>
        <w:tabs>
          <w:tab w:val="clear" w:pos="360"/>
          <w:tab w:val="clear" w:pos="737"/>
        </w:tabs>
        <w:ind w:left="0" w:firstLine="0"/>
        <w:rPr>
          <w:lang w:val="en-GB"/>
        </w:rPr>
      </w:pPr>
      <w:r>
        <w:rPr>
          <w:lang w:val="en-GB"/>
        </w:rPr>
        <w:t>Diphtheria.  In 1999, the number of cases of diphtheria (4,646) was down 99 per cent from 1980.  Today, north and north</w:t>
      </w:r>
      <w:r>
        <w:rPr>
          <w:lang w:val="en-GB"/>
        </w:rPr>
        <w:noBreakHyphen/>
        <w:t xml:space="preserve">east Brazil account for most of the few remaining cases, having recorded 20 and 14 cases respectively during 1999.  Deaths caused by this disease have also dropped sharply, down from 518 a year to 13 over the past two decades, a drop of some 98 per cent.  </w:t>
      </w:r>
    </w:p>
    <w:p w:rsidR="00000000" w:rsidRDefault="00000000"/>
    <w:p w:rsidR="00000000" w:rsidRDefault="00000000">
      <w:pPr>
        <w:pStyle w:val="ParaNo"/>
        <w:tabs>
          <w:tab w:val="clear" w:pos="360"/>
          <w:tab w:val="clear" w:pos="737"/>
        </w:tabs>
        <w:ind w:left="0" w:firstLine="0"/>
        <w:rPr>
          <w:lang w:val="en-GB"/>
        </w:rPr>
      </w:pPr>
      <w:r>
        <w:rPr>
          <w:lang w:val="en-GB"/>
        </w:rPr>
        <w:t xml:space="preserve">Whooping cough.  Down from almost 55,000 cases a year recorded in 1982, whooping cough registered just over 1,000 cases in 1999 </w:t>
      </w:r>
      <w:r>
        <w:rPr>
          <w:lang w:val="en-GB"/>
        </w:rPr>
        <w:noBreakHyphen/>
        <w:t xml:space="preserve"> a more than 50</w:t>
      </w:r>
      <w:r>
        <w:rPr>
          <w:lang w:val="en-GB"/>
        </w:rPr>
        <w:noBreakHyphen/>
        <w:t xml:space="preserve">fold reduction.  </w:t>
      </w:r>
    </w:p>
    <w:p w:rsidR="00000000" w:rsidRDefault="00000000"/>
    <w:p w:rsidR="00000000" w:rsidRDefault="00000000">
      <w:pPr>
        <w:pStyle w:val="ParaNo"/>
        <w:tabs>
          <w:tab w:val="clear" w:pos="360"/>
          <w:tab w:val="clear" w:pos="737"/>
        </w:tabs>
        <w:ind w:left="0" w:firstLine="0"/>
        <w:rPr>
          <w:lang w:val="en-GB"/>
        </w:rPr>
      </w:pPr>
      <w:r>
        <w:rPr>
          <w:lang w:val="en-GB"/>
        </w:rPr>
        <w:t>Tetanus.  Accidental cases of tetanus fell from 2,226 cases in 1982 to 746 in 1998, down 67 per cent.  The occurrence of this disease in Brazil has also shifted age groups, with around 50 per cent of the cases occurring among the elderly.  Due to this characteristic, the Ministry of Health introduced a new control strategy for this disease consisting of double adult anti</w:t>
      </w:r>
      <w:r>
        <w:rPr>
          <w:lang w:val="en-GB"/>
        </w:rPr>
        <w:noBreakHyphen/>
        <w:t>tetanus vaccination through a campaign targeting senior citizens.  Deaths caused by accidental tetanus poisoning have also kept pace with this downtrend, falling from 713 occurrences registered in 1982 to 170 in 1998, down 70 per cent.  The Ministry of Health has also accepted an international commitment to eliminate neonatal tetanus, with a 92 per cent reduction in cases of neonatal tetanus from 1982 through 1999.  Deaths caused by this disease also fell by 16 times, down from the 470 occurrences recorded in 1982 to 30 in 1998.</w:t>
      </w:r>
    </w:p>
    <w:p w:rsidR="00000000" w:rsidRDefault="00000000"/>
    <w:p w:rsidR="00000000" w:rsidRDefault="00000000">
      <w:pPr>
        <w:pStyle w:val="ParaNo"/>
        <w:tabs>
          <w:tab w:val="clear" w:pos="360"/>
          <w:tab w:val="clear" w:pos="737"/>
        </w:tabs>
        <w:ind w:left="0" w:firstLine="0"/>
        <w:rPr>
          <w:lang w:val="en-GB"/>
        </w:rPr>
      </w:pPr>
      <w:r>
        <w:rPr>
          <w:lang w:val="en-GB"/>
        </w:rPr>
        <w:t>Poliomyelitis.  Also known as infantile paralysis, this disease affected 3,596 children in 1975 and was totally eradicated in Brazil in 1990, thanks to broad</w:t>
      </w:r>
      <w:r>
        <w:rPr>
          <w:lang w:val="en-GB"/>
        </w:rPr>
        <w:noBreakHyphen/>
        <w:t>ranging routine vaccinations and the introduction of nationwide vaccination campaigns, adopted on a pioneering basis in Brazil in 1980.  The persistence of poliomyelitis in other continents, with the ongoing risk of imported viruses until worldwide eradication is achieved, justifies the continuation of National Vaccination Days, in parallel to strengthening the epidemiological surveillance strategy for acute flaccid paralysis.</w:t>
      </w:r>
    </w:p>
    <w:p w:rsidR="00000000" w:rsidRDefault="00000000"/>
    <w:p w:rsidR="00000000" w:rsidRDefault="00000000">
      <w:pPr>
        <w:pStyle w:val="ParaNo"/>
        <w:tabs>
          <w:tab w:val="clear" w:pos="360"/>
          <w:tab w:val="clear" w:pos="737"/>
        </w:tabs>
        <w:ind w:left="0" w:firstLine="0"/>
        <w:rPr>
          <w:lang w:val="en-GB"/>
        </w:rPr>
      </w:pPr>
      <w:r>
        <w:rPr>
          <w:lang w:val="en-GB"/>
        </w:rPr>
        <w:t>Measles.  A contagious and communicable disease that affected 2</w:t>
      </w:r>
      <w:r>
        <w:rPr>
          <w:lang w:val="en-GB"/>
        </w:rPr>
        <w:noBreakHyphen/>
        <w:t>3 million children during the epidemic years of the 1970s, measles shrank appreciably from 1980 through 1999, despite outbreaks that are characteristic of this disease.  This cyclic behaviour, with epidemics occurring on an average of every five years, is due to the speed with which susceptibility builds up if adequate vaccination strategies are not implemented with high routine vaccination coverage (&gt; 95 per cent for infants aged under one year) and regular campaigns.  During the early 1990s, due to the epidemiological characteristics of measles, the availability of a high</w:t>
      </w:r>
      <w:r>
        <w:rPr>
          <w:lang w:val="en-GB"/>
        </w:rPr>
        <w:noBreakHyphen/>
        <w:t>effectiveness vaccine and the occurrence of a significant outbreak at that time led to the adoption of a regional eradication strategy for this disease.  The first step was to run a blanket vaccination campaign, which took place in 1992, achieving high vaccination coverage rates.  The subsequent steps were not fully implemented.  After 1992, routine measles vaccination coverage failed to achieve adequate levels, and the follow</w:t>
      </w:r>
      <w:r>
        <w:rPr>
          <w:lang w:val="en-GB"/>
        </w:rPr>
        <w:noBreakHyphen/>
        <w:t xml:space="preserve">up campaign run in 1995 achieved coverage rates of under 80 per cent, insufficient to meet its objectives.  </w:t>
      </w:r>
    </w:p>
    <w:p w:rsidR="00000000" w:rsidRDefault="00000000"/>
    <w:p w:rsidR="00000000" w:rsidRDefault="00000000">
      <w:pPr>
        <w:pStyle w:val="ParaNo"/>
        <w:tabs>
          <w:tab w:val="clear" w:pos="360"/>
          <w:tab w:val="clear" w:pos="737"/>
        </w:tabs>
        <w:ind w:left="0" w:firstLine="0"/>
        <w:rPr>
          <w:lang w:val="en-GB"/>
        </w:rPr>
      </w:pPr>
      <w:r>
        <w:rPr>
          <w:lang w:val="en-GB"/>
        </w:rPr>
        <w:t xml:space="preserve">Allied to the fragility of Brazil’s epidemiological surveillance system, these factors triggered an outbreak in late 1996 in São Paulo State that then spread to 18 other states, with a total of 53,664 registered cases.  A nationwide vaccination campaign in June 1997 which achieved adequate coverage levels of 95 per cent, together with more stringent epidemiological surveillance activities managed to detect and isolate suspected cases rapidly, bringing this outbreak under control.  In 1999, only 797 cases of measles were recorded in Brazil </w:t>
      </w:r>
      <w:r>
        <w:rPr>
          <w:lang w:val="en-GB"/>
        </w:rPr>
        <w:noBreakHyphen/>
        <w:t xml:space="preserve"> 66 times less than in 1997.  The number of deaths caused by measles also reflected the benefits achieved by bringing this disease under control:  in 1980, this disease caused 3,236 deaths, which is probably underestimated, as this figure does not include indirect deaths caused by complications, </w:t>
      </w:r>
    </w:p>
    <w:p w:rsidR="00000000" w:rsidRDefault="00000000">
      <w:r>
        <w:br w:type="page"/>
        <w:t>such as pneumonia, which frequently occur with measles.  Last year, there was only one death caused by measles in Brazil.  In order to firm up these achievements and move steadily ahead towards eradication, the Ministry of Health invested some Cr$ 4.8 million to set up a special task force operating in all 27 states simultaneously, providing rapid response facilities for detecting and investigating any suspected case, in parallel to preventive vaccination and ensuring that all municipal districts achieved the 95 per cent routine vaccination coverage required for infants aged under one year.  Additionally, a follow</w:t>
      </w:r>
      <w:r>
        <w:noBreakHyphen/>
        <w:t>up vaccination campaign was run in June, vaccinating some 15 million children under the age of five years all over Brazil.  During the first six months of 2000, only 32 cases of measles were recorded, some of them still under investigation, which could reduce this figure even more.  This situation strengthened Brazil’s expectations of achieving its objective of eradicating this disease in the course of the current year, reaching December with no recorded cases of measles.</w:t>
      </w:r>
    </w:p>
    <w:p w:rsidR="00000000" w:rsidRDefault="00000000"/>
    <w:p w:rsidR="00000000" w:rsidRDefault="00000000">
      <w:pPr>
        <w:pStyle w:val="ParaNo"/>
        <w:tabs>
          <w:tab w:val="clear" w:pos="360"/>
          <w:tab w:val="clear" w:pos="737"/>
        </w:tabs>
        <w:ind w:left="0" w:firstLine="0"/>
        <w:rPr>
          <w:lang w:val="en-GB"/>
        </w:rPr>
      </w:pPr>
      <w:r>
        <w:rPr>
          <w:lang w:val="en-GB"/>
        </w:rPr>
        <w:t>Rabies.  The human rabies rate fell sevenfold from the number of cases registered annually over the past two decades, down from 173 cases in 1980 to 26 cases in 1999, an 85 per cent drop.  These cases are currently clustered in north and north</w:t>
      </w:r>
      <w:r>
        <w:rPr>
          <w:lang w:val="en-GB"/>
        </w:rPr>
        <w:noBreakHyphen/>
        <w:t>east Brazil.</w:t>
      </w:r>
    </w:p>
    <w:p w:rsidR="00000000" w:rsidRDefault="00000000"/>
    <w:p w:rsidR="00000000" w:rsidRDefault="00000000">
      <w:pPr>
        <w:pStyle w:val="ParaNo"/>
        <w:tabs>
          <w:tab w:val="clear" w:pos="360"/>
          <w:tab w:val="clear" w:pos="737"/>
        </w:tabs>
        <w:ind w:left="0" w:firstLine="0"/>
        <w:rPr>
          <w:lang w:val="en-GB"/>
        </w:rPr>
      </w:pPr>
      <w:r>
        <w:rPr>
          <w:lang w:val="en-GB"/>
        </w:rPr>
        <w:t>Rabies transmitted by domestic animals has been totally eliminated in southern Brazil, as well as some states in the south</w:t>
      </w:r>
      <w:r>
        <w:rPr>
          <w:lang w:val="en-GB"/>
        </w:rPr>
        <w:noBreakHyphen/>
        <w:t xml:space="preserve">east, with full nationwide eradication of this disease planned for 2003.  In order to meet this objective, the circulation of the rabies virus among dogs and cats will be monitored more strictly, extending annual pet vaccination campaigns.  In order to achieve these victories in the control and eradication of diseases that can be prevented by immunization, recent developments have played a vital role in terms of the coverage achieved by vaccination campaigns under Brazil’s National Immunizations Programme (PNI </w:t>
      </w:r>
      <w:r>
        <w:rPr>
          <w:lang w:val="en-GB"/>
        </w:rPr>
        <w:noBreakHyphen/>
        <w:t xml:space="preserve"> </w:t>
      </w:r>
      <w:r>
        <w:rPr>
          <w:u w:val="single"/>
          <w:lang w:val="en-GB"/>
        </w:rPr>
        <w:t>Programa Nacional de Imunizações</w:t>
      </w:r>
      <w:r>
        <w:rPr>
          <w:lang w:val="en-GB"/>
        </w:rPr>
        <w:t>).  In 1998 and 1999, almost all vaccine coverage rates were achieved for the first time in Brazil, at the levels technically recommended for the four basic vaccines covered by this programme.</w:t>
      </w:r>
    </w:p>
    <w:p w:rsidR="00000000" w:rsidRDefault="00000000"/>
    <w:p w:rsidR="00000000" w:rsidRDefault="00000000">
      <w:pPr>
        <w:pStyle w:val="ParaNo"/>
        <w:tabs>
          <w:tab w:val="clear" w:pos="360"/>
          <w:tab w:val="clear" w:pos="737"/>
        </w:tabs>
        <w:ind w:left="0" w:firstLine="0"/>
        <w:rPr>
          <w:lang w:val="en-GB"/>
        </w:rPr>
      </w:pPr>
      <w:r>
        <w:rPr>
          <w:lang w:val="en-GB"/>
        </w:rPr>
        <w:t>Chagas disease.  In addition to the diseases that can be prevented by immunization, significant progress has also been noted in the prospects for controlling other communicable diseases, some of them endemic for many decades in Brazil, including Chagas disease.  Transmitted mainly by triatominides (blood</w:t>
      </w:r>
      <w:r>
        <w:rPr>
          <w:lang w:val="en-GB"/>
        </w:rPr>
        <w:noBreakHyphen/>
        <w:t xml:space="preserve">sucking insects) commonly known as </w:t>
      </w:r>
      <w:r>
        <w:rPr>
          <w:u w:val="single"/>
          <w:lang w:val="en-GB"/>
        </w:rPr>
        <w:t>barbeiros</w:t>
      </w:r>
      <w:r>
        <w:rPr>
          <w:lang w:val="en-GB"/>
        </w:rPr>
        <w:t>, this disease posted high rates of incidence in Brazil, estimated at around 100,000 new cases a year during the late 1970s.</w:t>
      </w:r>
    </w:p>
    <w:p w:rsidR="00000000" w:rsidRDefault="00000000"/>
    <w:p w:rsidR="00000000" w:rsidRDefault="00000000">
      <w:pPr>
        <w:pStyle w:val="ParaNo"/>
        <w:tabs>
          <w:tab w:val="clear" w:pos="360"/>
          <w:tab w:val="clear" w:pos="737"/>
        </w:tabs>
        <w:ind w:left="0" w:firstLine="0"/>
        <w:rPr>
          <w:lang w:val="en-GB"/>
        </w:rPr>
      </w:pPr>
      <w:r>
        <w:rPr>
          <w:lang w:val="en-GB"/>
        </w:rPr>
        <w:t xml:space="preserve">Today, with the entomological monitoring strategy implemented to identify the presence of the vector, along with elimination campaigns using specific insecticides and better housing facilities in endemic areas, this disease is now under control.  Data produced by a serum survey carried out among school children aged 7 to 14 years in the endemic area in 1997 revealed only 325 positive tests from a sample of 226,138 examinations, equivalent to 0.14 per cent.  With these results, and the shrinkage in the area where the </w:t>
      </w:r>
      <w:r>
        <w:rPr>
          <w:u w:val="single"/>
          <w:lang w:val="en-GB"/>
        </w:rPr>
        <w:t>Triatoma infestans</w:t>
      </w:r>
      <w:r>
        <w:rPr>
          <w:lang w:val="en-GB"/>
        </w:rPr>
        <w:t xml:space="preserve"> is found, the International Specialists Committee set up by the Pan</w:t>
      </w:r>
      <w:r>
        <w:rPr>
          <w:lang w:val="en-GB"/>
        </w:rPr>
        <w:noBreakHyphen/>
        <w:t xml:space="preserve">American Health Organization (PAHO) and the Southern Cone countries to assess the epidemiological situation in each country, awarded a certificate confirming the interruption of the vectoral transmission by </w:t>
      </w:r>
      <w:r>
        <w:rPr>
          <w:u w:val="single"/>
          <w:lang w:val="en-GB"/>
        </w:rPr>
        <w:t>T. infestans</w:t>
      </w:r>
      <w:r>
        <w:rPr>
          <w:lang w:val="en-GB"/>
        </w:rPr>
        <w:t xml:space="preserve"> at its meeting in March this year to six Brazilian states:  São Paulo, Rio de Janeiro, Paraíba, Mato Grosso, Mato Grosso do Sul and Goiás.  Four other states where the studies are reaching completion will also be certified in the course of this year.</w:t>
      </w:r>
    </w:p>
    <w:p w:rsidR="00000000" w:rsidRDefault="00000000">
      <w:pPr>
        <w:pStyle w:val="ParaNo"/>
        <w:tabs>
          <w:tab w:val="clear" w:pos="360"/>
          <w:tab w:val="clear" w:pos="737"/>
        </w:tabs>
        <w:ind w:left="0" w:firstLine="0"/>
        <w:rPr>
          <w:lang w:val="en-GB"/>
        </w:rPr>
      </w:pPr>
      <w:r>
        <w:rPr>
          <w:lang w:val="en-GB"/>
        </w:rPr>
        <w:t>Hanseniasis.  The rates for other endemic diseases such as hanseniasis have shrunk appreciably, down from 16.4 per 1,000 inhabitants in 1985 to 4.3 in 1998, drawing close to the target proposed by the World Health Organization (WHO) which intends to eliminate this disease as a public health problem by bringing its rate down to 1.0 per 10,000 inhabitants.</w:t>
      </w:r>
    </w:p>
    <w:p w:rsidR="00000000" w:rsidRDefault="00000000"/>
    <w:p w:rsidR="00000000" w:rsidRDefault="00000000">
      <w:pPr>
        <w:pStyle w:val="ParaNo"/>
        <w:tabs>
          <w:tab w:val="clear" w:pos="360"/>
          <w:tab w:val="clear" w:pos="737"/>
        </w:tabs>
        <w:ind w:left="0" w:firstLine="0"/>
        <w:rPr>
          <w:lang w:val="en-GB"/>
        </w:rPr>
      </w:pPr>
      <w:r>
        <w:rPr>
          <w:lang w:val="en-GB"/>
        </w:rPr>
        <w:t xml:space="preserve">Communicable diseases.  Some communicable diseases are persistent, listed under the Brazilian Incomplete Agenda for this field.  Powerful new strategies to deal with this group of diseases have recently been introduced, ensuring tighter integration between the prevention and control areas.  The assistance network, the main area of action for this set of diseases, focuses on the diagnosis and treatment of victims in order to break the transmission chain.  </w:t>
      </w:r>
    </w:p>
    <w:p w:rsidR="00000000" w:rsidRDefault="00000000"/>
    <w:p w:rsidR="00000000" w:rsidRDefault="00000000">
      <w:pPr>
        <w:pStyle w:val="ParaNo"/>
        <w:tabs>
          <w:tab w:val="clear" w:pos="360"/>
          <w:tab w:val="clear" w:pos="737"/>
        </w:tabs>
        <w:ind w:left="0" w:firstLine="0"/>
        <w:rPr>
          <w:lang w:val="en-GB"/>
        </w:rPr>
      </w:pPr>
      <w:r>
        <w:rPr>
          <w:lang w:val="en-GB"/>
        </w:rPr>
        <w:t>It is also important to stress the need for multisectoral actions designed to prevent and control this group of diseases, as many of the reasons behind their endemic nature lie in fields outside health care:  the rapid spread of urban sprawl without the necessary infrastructure, changes in the environment, deforestation, the expansion of agricultural frontiers, waves of migrants, large</w:t>
      </w:r>
      <w:r>
        <w:rPr>
          <w:lang w:val="en-GB"/>
        </w:rPr>
        <w:noBreakHyphen/>
        <w:t>scale infrastructure projects such as highways and hydro</w:t>
      </w:r>
      <w:r>
        <w:rPr>
          <w:lang w:val="en-GB"/>
        </w:rPr>
        <w:noBreakHyphen/>
        <w:t>power plants, etc.  The most typical examples are malaria and tuberculosis.</w:t>
      </w:r>
    </w:p>
    <w:p w:rsidR="00000000" w:rsidRDefault="00000000"/>
    <w:p w:rsidR="00000000" w:rsidRDefault="00000000">
      <w:pPr>
        <w:pStyle w:val="ParaNo"/>
        <w:tabs>
          <w:tab w:val="clear" w:pos="360"/>
          <w:tab w:val="clear" w:pos="737"/>
        </w:tabs>
        <w:ind w:left="0" w:firstLine="0"/>
        <w:rPr>
          <w:lang w:val="en-GB"/>
        </w:rPr>
      </w:pPr>
      <w:r>
        <w:rPr>
          <w:lang w:val="en-GB"/>
        </w:rPr>
        <w:t xml:space="preserve">Malaria.  During the 1940s, malaria affected some 6 million Brazilians all over the country.  However, shifts in the social structure and the intensive control efforts implemented through the Malaria Control Campaign have brought this disease under relative control, with fewer than 100,000 cases a year, mainly in areas bordering the Amazon rainforest.  From the 1970s/1980s onwards, development projects in Amazonia </w:t>
      </w:r>
      <w:r>
        <w:rPr>
          <w:lang w:val="en-GB"/>
        </w:rPr>
        <w:noBreakHyphen/>
        <w:t xml:space="preserve"> including new highways and hydro</w:t>
      </w:r>
      <w:r>
        <w:rPr>
          <w:lang w:val="en-GB"/>
        </w:rPr>
        <w:noBreakHyphen/>
        <w:t xml:space="preserve">power plants, the expansion of wildcat mining activities and others </w:t>
      </w:r>
      <w:r>
        <w:rPr>
          <w:lang w:val="en-GB"/>
        </w:rPr>
        <w:noBreakHyphen/>
        <w:t xml:space="preserve"> triggered huge waves of migration in Brazil, resulting in widespread environmental alterations, introducing large sectors of the population into malarial areas.  This situation helped spread malaria through northern and centre</w:t>
      </w:r>
      <w:r>
        <w:rPr>
          <w:lang w:val="en-GB"/>
        </w:rPr>
        <w:noBreakHyphen/>
        <w:t>west Brazil, boosting the number of cases to around 450,000</w:t>
      </w:r>
      <w:r>
        <w:rPr>
          <w:lang w:val="en-GB"/>
        </w:rPr>
        <w:noBreakHyphen/>
        <w:t xml:space="preserve">500,000 a year.  Social and economic aspects, such as heightened appreciation of goods produced through extractive activities, parallel to an intensive rural settlement process that introduced large groups into the depths of the forest, along with other environmental factors such as rainfall variation, have pumped up the number of cases over the past few years to over 600,000, recorded in 1999.  The variation in the number of cases recorded each year is also related to the scope of the control activities implemented.  Consequently, the decentralization of the Malaria Control Programme, which is now being taken over by the municipal districts, initially results in better detection rates, with a consequent increase in the number of recorded cases.  From the early 1990s onwards, with the introduction of new control strategies focused on diagnosis and treatment, a significant achievement was noted in Brazil, consisting of a drop in the more severe types of malaria associated with the </w:t>
      </w:r>
      <w:r>
        <w:rPr>
          <w:u w:val="single"/>
          <w:lang w:val="en-GB"/>
        </w:rPr>
        <w:t>P. falciparum</w:t>
      </w:r>
      <w:r>
        <w:rPr>
          <w:lang w:val="en-GB"/>
        </w:rPr>
        <w:t>, which is reflected in the drop in malaria mortality rates, down by some 84 per cent over the decade.  Today, malaria is found mainly in Legal Amazonia, particularly in Amazonas and Pará States which together account for almost 70 per cent of the cases recorded in Brazil.  In other parts of the country, recorded cases of malaria account for only 0.3 per cent of the total, usually imported from Amazonia or other countries.  This disease is currently the focus of a stepped</w:t>
      </w:r>
      <w:r>
        <w:rPr>
          <w:lang w:val="en-GB"/>
        </w:rPr>
        <w:noBreakHyphen/>
        <w:t>up programme being run by the Ministry of Health designed to cut the rate by 50 per cent by 2001, absorbing total investments of around Cr$ 143 million.  This is channelled largely to the decentralization of diagnosis and treatment, now allocated to the states and municipal districts, ensuring faster and easier access to care for the communities of Amazonia, particularly through the integration of the Community Health Agents and the Family Health Teams; broad</w:t>
      </w:r>
      <w:r>
        <w:rPr>
          <w:lang w:val="en-GB"/>
        </w:rPr>
        <w:noBreakHyphen/>
        <w:t>ranging actions combating the vector, particularly spraying homes with insecticide; in addition to environmental intervention such as draining and cleaning pools and lagoons in urban areas affected by malaria such as Manaus and Porto Velho.  The number of cases of malaria recorded in Amazonas State has already dropped by 30 per cent, comparing the first half of 2000 with the initial six months of 1999, guaranteeing the feasibility of achieving the targets by keeping up these concentrated, integrated efforts.</w:t>
      </w:r>
    </w:p>
    <w:p w:rsidR="00000000" w:rsidRDefault="00000000"/>
    <w:p w:rsidR="00000000" w:rsidRDefault="00000000">
      <w:pPr>
        <w:pStyle w:val="ParaNo"/>
        <w:tabs>
          <w:tab w:val="clear" w:pos="360"/>
          <w:tab w:val="clear" w:pos="737"/>
        </w:tabs>
        <w:ind w:left="0" w:firstLine="0"/>
        <w:rPr>
          <w:lang w:val="en-GB"/>
        </w:rPr>
      </w:pPr>
      <w:r>
        <w:rPr>
          <w:lang w:val="en-GB"/>
        </w:rPr>
        <w:t>Tuberculosis.  Having dropped appreciably after the introduction of new treatment schemes in the 1970s and 1980s, tuberculosis stabilized at around 90,000</w:t>
      </w:r>
      <w:r>
        <w:rPr>
          <w:lang w:val="en-GB"/>
        </w:rPr>
        <w:noBreakHyphen/>
        <w:t>100,000 cases a year.  The control model adopted was excessively centralized in terms of assistance, with lengthy treatment times of at least six months; the build</w:t>
      </w:r>
      <w:r>
        <w:rPr>
          <w:lang w:val="en-GB"/>
        </w:rPr>
        <w:noBreakHyphen/>
        <w:t>up in population density in the low</w:t>
      </w:r>
      <w:r>
        <w:rPr>
          <w:lang w:val="en-GB"/>
        </w:rPr>
        <w:noBreakHyphen/>
        <w:t>income outskirts of large towns and cities lacking adequate sanitary conditions affected the situation, among other factors.  In association with AIDS, tuberculosis is now on the rise again all over the world.  In Brazil, some 25 per cent of AIDS patients have tuberculosis as an associated disease.  Covered by recent investments and actions undertaken by the Ministry of Health and other levels of Brazil’s Single Health</w:t>
      </w:r>
      <w:r>
        <w:rPr>
          <w:lang w:val="en-GB"/>
        </w:rPr>
        <w:noBreakHyphen/>
        <w:t>Care System (SUS) that are designed to decentralize patient care facilities and introduce new ways of ensuring ongoing treatment, tuberculosis is also being targeted by better detection facilities for new cases, with increased cure rates.  This strategy also involves the transfer of funding in the form of bonuses for successful cures, designed to produce positive effects over the next few years.</w:t>
      </w:r>
    </w:p>
    <w:p w:rsidR="00000000" w:rsidRDefault="00000000"/>
    <w:p w:rsidR="00000000" w:rsidRDefault="00000000">
      <w:pPr>
        <w:pStyle w:val="ParaNo"/>
        <w:tabs>
          <w:tab w:val="clear" w:pos="360"/>
          <w:tab w:val="clear" w:pos="737"/>
        </w:tabs>
        <w:ind w:left="0" w:firstLine="0"/>
        <w:rPr>
          <w:lang w:val="en-GB"/>
        </w:rPr>
      </w:pPr>
      <w:r>
        <w:rPr>
          <w:lang w:val="en-GB"/>
        </w:rPr>
        <w:t xml:space="preserve">Meningitis.  This term describes a situation characterized by inflammation of the meninges that may be caused by a wide variety of agents, which may be infectious (virus, bacteria, fungi and protozoaria) or not.  For the public heath authorities and the Epidemiological Surveillance Units in particular, infectious meningitis, caused by communicable etiological agents, is a matter of much concern.  The clinical status of the various types of meningitis may vary from oligosymptomatic situations through to more severe cases that may at times result in death.  A complex and multifaceted problem, meningitis may be caused by various diseases with different effects on the public health facilities, demanding very different prevention and control strategies.  The bacterial and viral types of meningitis are the most important from the public health standpoint, due to the scope of their occurrence and transmission potential, pathogenicity and social significance.  Outstanding among the former are meningococcal meningitis, as well as meningitis caused by type B </w:t>
      </w:r>
      <w:r>
        <w:rPr>
          <w:u w:val="single"/>
          <w:lang w:val="en-GB"/>
        </w:rPr>
        <w:t>Haemophilus influenzae</w:t>
      </w:r>
      <w:r>
        <w:rPr>
          <w:lang w:val="en-GB"/>
        </w:rPr>
        <w:t>, meningitis caused by pneumococcus and tuberculosis meningitis.  Meningoccocal disease is found throughout almost the entire world, although it is hyper endemic in sub</w:t>
      </w:r>
      <w:r>
        <w:rPr>
          <w:lang w:val="en-GB"/>
        </w:rPr>
        <w:noBreakHyphen/>
        <w:t xml:space="preserve">Saharan Africa, where some countries reach an annual rate of 150 cases per 1,000 inhabitants </w:t>
      </w:r>
      <w:r>
        <w:rPr>
          <w:lang w:val="en-GB"/>
        </w:rPr>
        <w:noBreakHyphen/>
        <w:t xml:space="preserve"> 50 times more than the levels registered in Brazil.  There was a major outbreak of meningoccocal disease in Brazil during the 1970s, with its epicentre in São Paulo, which spread throughout the country.  At that time, a massive vaccination campaign protected the entire population with a French A + C meningitis vaccine that had never been used on such a large scale before and with no proof of its effectiveness.  Possibly due to the combined effect of two factors </w:t>
      </w:r>
      <w:r>
        <w:rPr>
          <w:lang w:val="en-GB"/>
        </w:rPr>
        <w:noBreakHyphen/>
        <w:t xml:space="preserve"> the use of the vaccine and the depletion of susceptible victims </w:t>
      </w:r>
      <w:r>
        <w:rPr>
          <w:lang w:val="en-GB"/>
        </w:rPr>
        <w:noBreakHyphen/>
        <w:t xml:space="preserve"> this epidemic was brought under control.  However, this seeming “success” introduced a mistaken belief among the Brazilian population that meningoccocal meningitis was a disease that could be prevented by immunization.  From the 1980s onwards, there were sweeping changes in the epidemiological behaviour of meningoccocal disease in Brazil, with type B becoming more prevalent.  There is only one vaccine available for this type of meningitis, produced in Cuba, which is not available for universal use, and produced somewhat mixed results when used in Brazil.  Certain types of meningitis are endemic in Brazil and in almost every country elsewhere the world.  This means that a certain number of cases of meningitis are expected to occur each year as part of the “normal” behaviour of this disease.  During the 1990s, an average of 28,000 cases a year of all types of meningitis were notified in Brazil, with meningoccocal meningitis accounting for some 20 per cent of them, averaging out at 5,400 cases a year.  Localized outbreaks of meningococcal disease were noted during the 1980s and 1990s, with an increase in the number of “expected” occurrences during the first half of the 1990s which has not yet been fully explained, constituting an increase in the endemic level.  Outstanding among the measures introduced by the Ministry of Health and other levels of management within Brazil’s Single Health</w:t>
      </w:r>
      <w:r>
        <w:rPr>
          <w:lang w:val="en-GB"/>
        </w:rPr>
        <w:noBreakHyphen/>
        <w:t>Care System designed to bring the various types of meningitis under control, parallel to epidemiological surveillance activities, are the improvements in laboratory diagnostic techniques and medical treatment which is effectively reducing the mortality rates for this disease, along with the correct deployment of measures such as chemo</w:t>
      </w:r>
      <w:r>
        <w:rPr>
          <w:lang w:val="en-GB"/>
        </w:rPr>
        <w:noBreakHyphen/>
        <w:t>prophylaxis, when indicated; the use of anti</w:t>
      </w:r>
      <w:r>
        <w:rPr>
          <w:lang w:val="en-GB"/>
        </w:rPr>
        <w:noBreakHyphen/>
        <w:t xml:space="preserve">meningococcal vaccine whose effectiveness has already been proved in case of outbreaks; the introduction of the vaccine against type B </w:t>
      </w:r>
      <w:r>
        <w:rPr>
          <w:u w:val="single"/>
          <w:lang w:val="en-GB"/>
        </w:rPr>
        <w:t>Haemophilus influenzae</w:t>
      </w:r>
      <w:r>
        <w:rPr>
          <w:lang w:val="en-GB"/>
        </w:rPr>
        <w:t xml:space="preserve">, now included in the basic immunization system for all infants aged under one year in Brazil.  The type B </w:t>
      </w:r>
      <w:r>
        <w:rPr>
          <w:u w:val="single"/>
          <w:lang w:val="en-GB"/>
        </w:rPr>
        <w:t>Haemophilus influenzae</w:t>
      </w:r>
      <w:r>
        <w:rPr>
          <w:lang w:val="en-GB"/>
        </w:rPr>
        <w:t xml:space="preserve"> is one of the main agents causing severe meningitis in infants aged under one year, with a high mortality rate of around 8 per cent, and the threat of after</w:t>
      </w:r>
      <w:r>
        <w:rPr>
          <w:lang w:val="en-GB"/>
        </w:rPr>
        <w:noBreakHyphen/>
        <w:t>effects, some of them severe, including mental retardation and deafness.</w:t>
      </w:r>
    </w:p>
    <w:p w:rsidR="00000000" w:rsidRDefault="00000000"/>
    <w:p w:rsidR="00000000" w:rsidRDefault="00000000">
      <w:pPr>
        <w:pStyle w:val="ParaNo"/>
        <w:tabs>
          <w:tab w:val="clear" w:pos="360"/>
          <w:tab w:val="clear" w:pos="737"/>
        </w:tabs>
        <w:ind w:left="0" w:firstLine="0"/>
        <w:rPr>
          <w:lang w:val="en-GB"/>
        </w:rPr>
      </w:pPr>
      <w:r>
        <w:rPr>
          <w:lang w:val="en-GB"/>
        </w:rPr>
        <w:t>Emerging and re</w:t>
      </w:r>
      <w:r>
        <w:rPr>
          <w:lang w:val="en-GB"/>
        </w:rPr>
        <w:noBreakHyphen/>
        <w:t>emerging communicable diseases.  A third group of diseases in Brazil reflects the worldwide phenomenon of the emergence and re</w:t>
      </w:r>
      <w:r>
        <w:rPr>
          <w:lang w:val="en-GB"/>
        </w:rPr>
        <w:noBreakHyphen/>
        <w:t>emergence of communicable diseases, including the appearance of AIDS during the early 1980s; the re</w:t>
      </w:r>
      <w:r>
        <w:rPr>
          <w:lang w:val="en-GB"/>
        </w:rPr>
        <w:noBreakHyphen/>
        <w:t>introduction of cholera from Peru in 1991; and the dengue fever epidemic that made this one of the top public health priorities in South America and Brazil during the late 1990s.</w:t>
      </w:r>
    </w:p>
    <w:p w:rsidR="00000000" w:rsidRDefault="00000000"/>
    <w:p w:rsidR="00000000" w:rsidRDefault="00000000">
      <w:pPr>
        <w:pStyle w:val="ParaNo"/>
        <w:tabs>
          <w:tab w:val="clear" w:pos="360"/>
          <w:tab w:val="clear" w:pos="737"/>
        </w:tabs>
        <w:ind w:left="0" w:firstLine="0"/>
        <w:rPr>
          <w:lang w:val="en-GB"/>
        </w:rPr>
      </w:pPr>
      <w:r>
        <w:rPr>
          <w:lang w:val="en-GB"/>
        </w:rPr>
        <w:t>AIDS.  The first case of AIDS was identified in Brazil during the early 1980s, with the disease spreading rapidly up to 1996, when 20,714 new cases were recorded.  Since then, its growth rate has slowed, with lower incidence levels as well as a significant drop in the mortality rate.  The Ministry of Health runs permanent AIDS prevention campaigns, guaranteeing treatment with anti</w:t>
      </w:r>
      <w:r>
        <w:rPr>
          <w:lang w:val="en-GB"/>
        </w:rPr>
        <w:noBreakHyphen/>
        <w:t>viral drugs for all patients and imposing tighter controls over blood transfusions.</w:t>
      </w:r>
    </w:p>
    <w:p w:rsidR="00000000" w:rsidRDefault="00000000"/>
    <w:p w:rsidR="00000000" w:rsidRDefault="00000000">
      <w:pPr>
        <w:pStyle w:val="ParaNo"/>
        <w:tabs>
          <w:tab w:val="clear" w:pos="360"/>
          <w:tab w:val="clear" w:pos="737"/>
        </w:tabs>
        <w:ind w:left="0" w:firstLine="0"/>
        <w:rPr>
          <w:lang w:val="en-GB"/>
        </w:rPr>
      </w:pPr>
      <w:r>
        <w:rPr>
          <w:lang w:val="en-GB"/>
        </w:rPr>
        <w:t>Cholera.  The cholera epidemic peaked in Brazil in 1993 with 60,340 cases.  The efforts of the Public Health System have managed to shrink this figure more than 13-fold (92 per cent), despite the unsatisfactory sanitary conditions of a portion of the population creating a favourable context for the dissemination and persistence of this disease.  In 1998 and 1999, the drought that assailed north</w:t>
      </w:r>
      <w:r>
        <w:rPr>
          <w:lang w:val="en-GB"/>
        </w:rPr>
        <w:noBreakHyphen/>
        <w:t>east Brazil resulted in a severe water supply crisis, even in the state capitals, paving the way for the reappearance of this disease.  However, the Ministry of Health stepped up its prevention and epidemiological surveillance activities in this region, with Health Minister José Serra launching a sanitary education campaign, in parallel to distribution of sodium hypochlorite through the Community Health Care Agents Programme in the Major Isidoro municipal district of Alagoas State.  Some Cr$ 2.3 million were invested by FUNASA under agreements with the State Health Bureau in order to strengthen monitoring activities for river basins in north</w:t>
      </w:r>
      <w:r>
        <w:rPr>
          <w:lang w:val="en-GB"/>
        </w:rPr>
        <w:noBreakHyphen/>
        <w:t>east Brazil, in addition to Cr$ 5,157,683.66 allocated to guarantee water supplies in regions affected by the drought.  Cholera currently appears in the form of location</w:t>
      </w:r>
      <w:r>
        <w:rPr>
          <w:lang w:val="en-GB"/>
        </w:rPr>
        <w:noBreakHyphen/>
        <w:t>specific outbreaks, mainly in small villages in north</w:t>
      </w:r>
      <w:r>
        <w:rPr>
          <w:lang w:val="en-GB"/>
        </w:rPr>
        <w:noBreakHyphen/>
        <w:t>east Brazil with limited access to treated water and inadequate sewage facilities.  An outbreak occurred at the Port of Paranaguá in 1999, probably triggered by infected truckers from north</w:t>
      </w:r>
      <w:r>
        <w:rPr>
          <w:lang w:val="en-GB"/>
        </w:rPr>
        <w:noBreakHyphen/>
        <w:t>east Brazil.  However, this was brought under control in just a few weeks, demonstrating the rapid response capacity of Brazil’s health</w:t>
      </w:r>
      <w:r>
        <w:rPr>
          <w:lang w:val="en-GB"/>
        </w:rPr>
        <w:noBreakHyphen/>
        <w:t xml:space="preserve">care sector and ensuring fast control and elimination of this disease where sanitary conditions are favourable.  In the course of the current year, cholera has shrunk appreciably in terms of both the number of cases and the geographical areas where it appears.  During the first six months of the year, some 500 cases of cholera were recorded, in only two States </w:t>
      </w:r>
      <w:r>
        <w:rPr>
          <w:lang w:val="en-GB"/>
        </w:rPr>
        <w:noBreakHyphen/>
        <w:t xml:space="preserve"> Pernambuco and Alagoas </w:t>
      </w:r>
      <w:r>
        <w:rPr>
          <w:lang w:val="en-GB"/>
        </w:rPr>
        <w:noBreakHyphen/>
        <w:t xml:space="preserve"> in north</w:t>
      </w:r>
      <w:r>
        <w:rPr>
          <w:lang w:val="en-GB"/>
        </w:rPr>
        <w:noBreakHyphen/>
        <w:t>east Brazil, opening up prospects for appreciable reductions compared with 1999.</w:t>
      </w:r>
    </w:p>
    <w:p w:rsidR="00000000" w:rsidRDefault="00000000"/>
    <w:p w:rsidR="00000000" w:rsidRDefault="00000000">
      <w:pPr>
        <w:pStyle w:val="ParaNo"/>
        <w:tabs>
          <w:tab w:val="clear" w:pos="360"/>
          <w:tab w:val="clear" w:pos="737"/>
        </w:tabs>
        <w:ind w:left="0" w:firstLine="0"/>
        <w:rPr>
          <w:lang w:val="en-GB"/>
        </w:rPr>
      </w:pPr>
      <w:r>
        <w:rPr>
          <w:lang w:val="en-GB"/>
        </w:rPr>
        <w:t>Dengue fever.  This disease has been attacked through one of the largest public health</w:t>
      </w:r>
      <w:r>
        <w:rPr>
          <w:lang w:val="en-GB"/>
        </w:rPr>
        <w:noBreakHyphen/>
        <w:t>care campaigns ever run in Brazil.  The mosquito that transmits this disease (</w:t>
      </w:r>
      <w:r>
        <w:rPr>
          <w:u w:val="single"/>
          <w:lang w:val="en-GB"/>
        </w:rPr>
        <w:t>Aedes aegypti</w:t>
      </w:r>
      <w:r>
        <w:rPr>
          <w:lang w:val="en-GB"/>
        </w:rPr>
        <w:t>) had been eradicated from many countries in the Americas during the 1950s and 1960s, but returned during the 1970s due to gaps in the epidemiological surveillance system, as well as social and environmental alterations prompted by the rapid expansion of urban sprawl during that period.  Today, this vector is found in large portions of the Americas, ranging from Uruguay to the southern United States of America, with significant outbreaks of dengue fever in countries such as Venezuela, Cuba, Brazil and, more recently, Paraguay.  The difficulties encountered in eradicating a mosquito that lives and reproduces in the many different types of recipients that can trap rainwater, often discarded as garbage (bottles, cans and tyres), have demanded massive efforts by the health</w:t>
      </w:r>
      <w:r>
        <w:rPr>
          <w:lang w:val="en-GB"/>
        </w:rPr>
        <w:noBreakHyphen/>
        <w:t>care sector, absorbing outlays estimated at Cr$ 1 million a day.  Closely linked to other government policies, including garbage removal and urban cleaning programmes, these efforts have also increased the awareness among society of the need for communities to keep their own surroundings free of this mosquito, while strengthening epidemiological surveillance activities.  All this could well maintain the downtrend in the number of cases that has already been noted in 1998 and 1999, when the numbers dropped from 557,699 to around 211,267, a drop of 64 per cent.</w:t>
      </w:r>
    </w:p>
    <w:p w:rsidR="00000000" w:rsidRDefault="00000000"/>
    <w:p w:rsidR="00000000" w:rsidRDefault="00000000">
      <w:pPr>
        <w:pStyle w:val="ParaNo"/>
        <w:tabs>
          <w:tab w:val="clear" w:pos="360"/>
          <w:tab w:val="clear" w:pos="737"/>
        </w:tabs>
        <w:ind w:left="0" w:firstLine="0"/>
        <w:rPr>
          <w:lang w:val="en-GB"/>
        </w:rPr>
      </w:pPr>
      <w:r>
        <w:rPr>
          <w:lang w:val="en-GB"/>
        </w:rPr>
        <w:t>Visceral Leishmaniasis.  This is largely a forest</w:t>
      </w:r>
      <w:r>
        <w:rPr>
          <w:lang w:val="en-GB"/>
        </w:rPr>
        <w:noBreakHyphen/>
        <w:t xml:space="preserve">based disease, also known as </w:t>
      </w:r>
      <w:r>
        <w:rPr>
          <w:u w:val="single"/>
          <w:lang w:val="en-GB"/>
        </w:rPr>
        <w:t>chalaza</w:t>
      </w:r>
      <w:r>
        <w:rPr>
          <w:lang w:val="en-GB"/>
        </w:rPr>
        <w:t>, which has displayed alterations in its behaviour prompted by social and environmental changes.  They include deforestation that has reduced the number of animals available to serve as a source of food for the vector mosquito, making dogs and human beings as the most accessible alternatives, parallel to waves of migration that have brought human and canine populations to the poverty</w:t>
      </w:r>
      <w:r>
        <w:rPr>
          <w:lang w:val="en-GB"/>
        </w:rPr>
        <w:noBreakHyphen/>
        <w:t xml:space="preserve">stricken outskirts of larger towns and cities, leaving rural areas where this disease was endemic.  Furthermore, as yet there are no truly effective ways of preventing this disease.  The epidemiological behaviour of visceral leishmaniasis is cyclic, with regular upsurges over periods that average out at every five years, in parallel to an uptrend from 1980 through to today.  This increase in the number of cases registered over recent years keeps pace with a trend towards changes in the pattern of geographical occurrence, with cases recorded on the outskirts of some large cities such as Belo Horizonte and Fortaleza, reflecting an expansion in the usual area of occurrence of this disease.  Control strategies focus on identifying and eliminating its reservoirs, particularly dogs; combating the vector; and proper diagnosis and treatment for recorded cases.  Better scientific knowledge of the specific role of each link in the chain of transmission of visceral leishmaniasis </w:t>
      </w:r>
      <w:r>
        <w:rPr>
          <w:lang w:val="en-GB"/>
        </w:rPr>
        <w:noBreakHyphen/>
        <w:t xml:space="preserve"> still involving inconclusive technical discussions </w:t>
      </w:r>
      <w:r>
        <w:rPr>
          <w:lang w:val="en-GB"/>
        </w:rPr>
        <w:noBreakHyphen/>
        <w:t xml:space="preserve"> will help shape more effective control actions.</w:t>
      </w:r>
    </w:p>
    <w:p w:rsidR="00000000" w:rsidRDefault="00000000"/>
    <w:p w:rsidR="00000000" w:rsidRDefault="00000000">
      <w:pPr>
        <w:pStyle w:val="ParaNo"/>
        <w:tabs>
          <w:tab w:val="clear" w:pos="360"/>
          <w:tab w:val="clear" w:pos="737"/>
        </w:tabs>
        <w:ind w:left="0" w:firstLine="0"/>
        <w:rPr>
          <w:lang w:val="en-GB"/>
        </w:rPr>
      </w:pPr>
      <w:r>
        <w:rPr>
          <w:lang w:val="en-GB"/>
        </w:rPr>
        <w:br w:type="page"/>
        <w:t>Yellow fever.  This disease appears in two different forms:  urban and forest.  Urban yellow fever has been eradicated in Brazil since 1942, while forest yellow fever cannot be eradicated because this disease follows a large</w:t>
      </w:r>
      <w:r>
        <w:rPr>
          <w:lang w:val="en-GB"/>
        </w:rPr>
        <w:noBreakHyphen/>
        <w:t>scale natural circulation cycle among primates living in tropical forests.</w:t>
      </w:r>
    </w:p>
    <w:p w:rsidR="00000000" w:rsidRDefault="00000000"/>
    <w:p w:rsidR="00000000" w:rsidRDefault="00000000">
      <w:pPr>
        <w:pStyle w:val="ParaNo"/>
        <w:tabs>
          <w:tab w:val="clear" w:pos="360"/>
          <w:tab w:val="clear" w:pos="737"/>
        </w:tabs>
        <w:ind w:left="0" w:firstLine="0"/>
        <w:rPr>
          <w:lang w:val="en-GB"/>
        </w:rPr>
      </w:pPr>
      <w:r>
        <w:rPr>
          <w:lang w:val="en-GB"/>
        </w:rPr>
        <w:t>Even though the number of cases of forest yellow fever recorded each year in Brazil is below that of most of the countries sharing the Amazon Basin (for instance, Peru recorded 165 cases in 1998), it is still very much a focus of attention, with new vaccination strategies designed to protect the sectors of the Brazilian population living in endemic areas (Legal Amazonia and the centre</w:t>
      </w:r>
      <w:r>
        <w:rPr>
          <w:lang w:val="en-GB"/>
        </w:rPr>
        <w:noBreakHyphen/>
        <w:t>west region).  Since April 1998, a campaign launched by Health Minister José Serra in Mato Grosso has stepped up yellow fever vaccinations in the endemic region, in order to ensure full coverage of all residents.  By 1998, this more intensive campaign had quadrupled the average number of vaccinations in Brazil, reaching 12 million people.  These actions continued throughout 1999, focused on people living in hard</w:t>
      </w:r>
      <w:r>
        <w:rPr>
          <w:lang w:val="en-GB"/>
        </w:rPr>
        <w:noBreakHyphen/>
        <w:t>to</w:t>
      </w:r>
      <w:r>
        <w:rPr>
          <w:lang w:val="en-GB"/>
        </w:rPr>
        <w:noBreakHyphen/>
        <w:t xml:space="preserve">access areas and expanding vaccination facilities to areas that are contiguous with the endemic region, vaccinating communities in the </w:t>
      </w:r>
      <w:r>
        <w:rPr>
          <w:u w:val="single"/>
          <w:lang w:val="en-GB"/>
        </w:rPr>
        <w:t>Triângulo Mineiro</w:t>
      </w:r>
      <w:r>
        <w:rPr>
          <w:lang w:val="en-GB"/>
        </w:rPr>
        <w:t xml:space="preserve"> (Minas Gerais State) as well as north and north</w:t>
      </w:r>
      <w:r>
        <w:rPr>
          <w:lang w:val="en-GB"/>
        </w:rPr>
        <w:noBreakHyphen/>
        <w:t xml:space="preserve">east São Paulo and Paraná States.  In 1999, 16 million people were inoculated against yellow fever.  Epidemiological surveillance activities also became more intensive, in an effort to register the real number of cases of yellow fever while introducing timely isolation measures.  The outbreak recorded in the Chapada dos Veadeiros National Park at Alto Paraíso, Goiás State </w:t>
      </w:r>
      <w:r>
        <w:rPr>
          <w:lang w:val="en-GB"/>
        </w:rPr>
        <w:noBreakHyphen/>
        <w:t xml:space="preserve"> which attracted some 3,000 visitors for the year</w:t>
      </w:r>
      <w:r>
        <w:rPr>
          <w:lang w:val="en-GB"/>
        </w:rPr>
        <w:noBreakHyphen/>
        <w:t xml:space="preserve">end festivities </w:t>
      </w:r>
      <w:r>
        <w:rPr>
          <w:lang w:val="en-GB"/>
        </w:rPr>
        <w:noBreakHyphen/>
        <w:t xml:space="preserve"> stressed the need to assure protection for a new risk group:  rural and eco</w:t>
      </w:r>
      <w:r>
        <w:rPr>
          <w:lang w:val="en-GB"/>
        </w:rPr>
        <w:noBreakHyphen/>
        <w:t>tourists.  Working closely with travel and tourism entities, the Ministry of Health has been running a campaign designed to warn travellers to endemic regions of the need for pre</w:t>
      </w:r>
      <w:r>
        <w:rPr>
          <w:lang w:val="en-GB"/>
        </w:rPr>
        <w:noBreakHyphen/>
        <w:t>trip vaccination, with access to this vaccine extended throughout the entire health</w:t>
      </w:r>
      <w:r>
        <w:rPr>
          <w:lang w:val="en-GB"/>
        </w:rPr>
        <w:noBreakHyphen/>
        <w:t>care network.  In 2000, some 8 million people had been inoculated by June.</w:t>
      </w:r>
    </w:p>
    <w:p w:rsidR="00000000" w:rsidRDefault="00000000"/>
    <w:p w:rsidR="00000000" w:rsidRDefault="00000000">
      <w:pPr>
        <w:pStyle w:val="ParaNo"/>
        <w:tabs>
          <w:tab w:val="clear" w:pos="360"/>
          <w:tab w:val="clear" w:pos="737"/>
        </w:tabs>
        <w:ind w:left="0" w:firstLine="0"/>
        <w:rPr>
          <w:lang w:val="en-GB"/>
        </w:rPr>
      </w:pPr>
      <w:r>
        <w:rPr>
          <w:lang w:val="en-GB"/>
        </w:rPr>
        <w:t>Hanta viruses.  The hanta viruses constitute an emerging source of diseases with two main clinical forms:  renal and pulmonary.  The renal form is found more frequently in Europe and Asia, while the pulmonary type occurs mainly in the Americas, affecting almost every country, with the United States of America and Argentina recording the highest number of cases.  Human infection occurs most frequently through inhaling the aerosols formed through the secretions and excretions of the vectors, which are forest</w:t>
      </w:r>
      <w:r>
        <w:rPr>
          <w:lang w:val="en-GB"/>
        </w:rPr>
        <w:noBreakHyphen/>
        <w:t>dwelling rodents.  The first cases were detected in Brazil in 1993, in São Paulo, with the disease being recorded mainly in the south, south</w:t>
      </w:r>
      <w:r>
        <w:rPr>
          <w:lang w:val="en-GB"/>
        </w:rPr>
        <w:noBreakHyphen/>
        <w:t>east and centre</w:t>
      </w:r>
      <w:r>
        <w:rPr>
          <w:lang w:val="en-GB"/>
        </w:rPr>
        <w:noBreakHyphen/>
        <w:t>west.  The measures implemented by the Ministry of Health included epidemiological surveillance measures for the disease; the development of laboratory capacity for carrying out diagnoses; the disclosure of proper treatment measures in order to reduce mortality rates; and studies of the hantavirus circulation situation among forest</w:t>
      </w:r>
      <w:r>
        <w:rPr>
          <w:lang w:val="en-GB"/>
        </w:rPr>
        <w:noBreakHyphen/>
        <w:t>dwelling rodents in Brazil, by means of a survey that is being carried out by FUNASA in the course of the current year.  These actions increased the detection capacity, reflecting the epidemiological reality of the hantaviruses more accurately in Brazil whilst also indicating the most appropriate prevention and control measures.</w:t>
      </w:r>
    </w:p>
    <w:p w:rsidR="00000000" w:rsidRDefault="00000000"/>
    <w:p w:rsidR="00000000" w:rsidRDefault="00000000">
      <w:pPr>
        <w:pStyle w:val="ParaNo"/>
        <w:tabs>
          <w:tab w:val="clear" w:pos="360"/>
          <w:tab w:val="clear" w:pos="737"/>
        </w:tabs>
        <w:ind w:left="0" w:firstLine="0"/>
        <w:rPr>
          <w:lang w:val="en-GB"/>
        </w:rPr>
      </w:pPr>
      <w:r>
        <w:rPr>
          <w:lang w:val="en-GB"/>
        </w:rPr>
        <w:t>Listed below are the steps that the Brazilian Government has ranked as vital for disease prevention and control, implemented through the Ministry of Health.</w:t>
      </w:r>
    </w:p>
    <w:p w:rsidR="00000000" w:rsidRDefault="00000000"/>
    <w:p w:rsidR="00000000" w:rsidRDefault="00000000">
      <w:pPr>
        <w:pStyle w:val="ParaNo"/>
        <w:tabs>
          <w:tab w:val="clear" w:pos="360"/>
          <w:tab w:val="clear" w:pos="737"/>
        </w:tabs>
        <w:ind w:left="0" w:firstLine="0"/>
        <w:rPr>
          <w:lang w:val="en-GB"/>
        </w:rPr>
      </w:pPr>
      <w:r>
        <w:rPr>
          <w:lang w:val="en-GB"/>
        </w:rPr>
        <w:br w:type="page"/>
        <w:t>Expansion of the National Immunizations Programme.  In order to maintain and extend the positive results achieved for the control or eradication of diseases that can be prevented by immunization, the Ministry of Health has stepped up its prevention activities.  Over the past three years, the National Immunizations Programme introduced vaccines such as the anti</w:t>
      </w:r>
      <w:r>
        <w:rPr>
          <w:lang w:val="en-GB"/>
        </w:rPr>
        <w:noBreakHyphen/>
        <w:t xml:space="preserve">hepatitis B on a nationwide basis, the type B </w:t>
      </w:r>
      <w:r>
        <w:rPr>
          <w:u w:val="single"/>
          <w:lang w:val="en-GB"/>
        </w:rPr>
        <w:t>Haemophilus influenza</w:t>
      </w:r>
      <w:r>
        <w:rPr>
          <w:lang w:val="en-GB"/>
        </w:rPr>
        <w:t xml:space="preserve"> vaccine, and vaccinations for the elderly against influenza, tetanus and pneumococcal pneumonia.  </w:t>
      </w:r>
    </w:p>
    <w:p w:rsidR="00000000" w:rsidRDefault="00000000"/>
    <w:p w:rsidR="00000000" w:rsidRDefault="00000000">
      <w:pPr>
        <w:pStyle w:val="ParaNo"/>
        <w:tabs>
          <w:tab w:val="clear" w:pos="360"/>
          <w:tab w:val="clear" w:pos="737"/>
        </w:tabs>
        <w:rPr>
          <w:kern w:val="20"/>
          <w:lang w:val="en-GB"/>
        </w:rPr>
      </w:pPr>
      <w:r>
        <w:rPr>
          <w:kern w:val="20"/>
          <w:lang w:val="en-GB"/>
        </w:rPr>
        <w:t>In 1999 the influenza vaccine achieved 87.3 per cent coverage among the population aged 65 years and over, which is one of the highest rates in the world.  In the course of the current year, this will be extended to include those aged 60 years and over, covering some 14 million people.  With these new vaccines, Brazil’s basic vaccination calendar includes all vaccines recommended by international entities such as the PAHO and WHO whose effectiveness has been proven for use by public health systems.</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The budget allocation assigned to the acquisition of immunobiological measures rose from Cr$ 37.6 million in 1994 to Cr$ 217.4 million in 1999.  Additionally, cooperation agreements were signed with Brazilian and international manufacturers, assuring technological transfers while lowering vaccine prices.  Through this process, the price of influenza vaccine, for instance, dropped from US$ 4.24 to US$ 1.85 per dose since last year.</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 xml:space="preserve">VIGISUS project.  In a shrinking world, where the barriers between countries are fading away rapidly, it is vital to strengthen the nation’s capacity to forecast, prevent and detect the introduction of new diseases while blocking the reappearance of “old” diseases.  Consequently, through the National Health Foundation (FUNASA </w:t>
      </w:r>
      <w:r>
        <w:rPr>
          <w:kern w:val="20"/>
          <w:lang w:val="en-GB"/>
        </w:rPr>
        <w:noBreakHyphen/>
        <w:t xml:space="preserve"> </w:t>
      </w:r>
      <w:r>
        <w:rPr>
          <w:kern w:val="20"/>
          <w:u w:val="single"/>
          <w:lang w:val="en-GB"/>
        </w:rPr>
        <w:t>Fundação Nacional de Saúde</w:t>
      </w:r>
      <w:r>
        <w:rPr>
          <w:kern w:val="20"/>
          <w:lang w:val="en-GB"/>
        </w:rPr>
        <w:t>) the Ministry of Health signed a loan agreement with the World Bank providing US$ 600 million to underpin Brazil’s National Health</w:t>
      </w:r>
      <w:r>
        <w:rPr>
          <w:kern w:val="20"/>
          <w:lang w:val="en-GB"/>
        </w:rPr>
        <w:noBreakHyphen/>
        <w:t>Care Surveillance System (</w:t>
      </w:r>
      <w:r>
        <w:rPr>
          <w:kern w:val="20"/>
          <w:u w:val="single"/>
          <w:lang w:val="en-GB"/>
        </w:rPr>
        <w:t>Sistema Nacional de Vigilância em Saúde</w:t>
      </w:r>
      <w:r>
        <w:rPr>
          <w:kern w:val="20"/>
          <w:lang w:val="en-GB"/>
        </w:rPr>
        <w:t>).  Its implementation began during the second half of 1999, with this financing planned for use by the following areas:  epidemiological surveillance, environmental health surveillance, indigenous health and disease control in Legal Amazonia, acquisition of information technology and communications equipment and vehicles, upgrading public health laboratories, training courses and capacity</w:t>
      </w:r>
      <w:r>
        <w:rPr>
          <w:kern w:val="20"/>
          <w:lang w:val="en-GB"/>
        </w:rPr>
        <w:noBreakHyphen/>
        <w:t>building programmes, studies and research projects, among many others.</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Decentralization and a steady flow of financing for controlling endemic diseases.  In December 1999, Ministerial Edict 1,399 and Edict 950 were published jointly by the Executive Secretariat for the Ministry of Health and the National Health Foundation (FUNASA), introducing a new Disease Control and Epidemiological Policy for Brazil.  Initially, activities in this field that were still carried out directly by the National Health Foundation (FUNASA) were decentralized through transfer to the states and municipal districts, assuring closer integration with other basic health</w:t>
      </w:r>
      <w:r>
        <w:rPr>
          <w:kern w:val="20"/>
          <w:lang w:val="en-GB"/>
        </w:rPr>
        <w:noBreakHyphen/>
        <w:t>care activities, including the Community Health</w:t>
      </w:r>
      <w:r>
        <w:rPr>
          <w:kern w:val="20"/>
          <w:lang w:val="en-GB"/>
        </w:rPr>
        <w:noBreakHyphen/>
        <w:t>Care Agents, the Family Health Teams and the service network run by the Single Health</w:t>
      </w:r>
      <w:r>
        <w:rPr>
          <w:kern w:val="20"/>
          <w:lang w:val="en-GB"/>
        </w:rPr>
        <w:noBreakHyphen/>
        <w:t>Care System (SUS).  Second, a stable financing mechanism was established through the introduction of the Disease Control and Epidemiology Financial Ceiling (</w:t>
      </w:r>
      <w:r>
        <w:rPr>
          <w:kern w:val="20"/>
          <w:u w:val="single"/>
          <w:lang w:val="en-GB"/>
        </w:rPr>
        <w:t>Teto Financeiro de Epidemiologia e Controle de Doenças</w:t>
      </w:r>
      <w:r>
        <w:rPr>
          <w:kern w:val="20"/>
          <w:lang w:val="en-GB"/>
        </w:rPr>
        <w:t>) which will assure a steady stream of financing channelled directly on a fund</w:t>
      </w:r>
      <w:r>
        <w:rPr>
          <w:kern w:val="20"/>
          <w:lang w:val="en-GB"/>
        </w:rPr>
        <w:noBreakHyphen/>
        <w:t>to</w:t>
      </w:r>
      <w:r>
        <w:rPr>
          <w:kern w:val="20"/>
          <w:lang w:val="en-GB"/>
        </w:rPr>
        <w:noBreakHyphen/>
        <w:t>fund basis, avoiding the stumbling</w:t>
      </w:r>
      <w:r>
        <w:rPr>
          <w:kern w:val="20"/>
          <w:lang w:val="en-GB"/>
        </w:rPr>
        <w:noBreakHyphen/>
        <w:t xml:space="preserve">blocks noted with transfers under agreements, parallel to the assignment </w:t>
      </w:r>
    </w:p>
    <w:p w:rsidR="00000000" w:rsidRDefault="00000000">
      <w:pPr>
        <w:rPr>
          <w:kern w:val="20"/>
        </w:rPr>
      </w:pPr>
      <w:r>
        <w:rPr>
          <w:kern w:val="20"/>
        </w:rPr>
        <w:br w:type="page"/>
        <w:t>of additional funds to this area totalling Cr$ 518 million, transferred by the Federal Government to the states and municipal districts.  These funds will be used to underwrite a set of activities and targets designed to strengthen prevention and control actions, ensuring that the reduction targets are achieved for malaria and dengue, the eradication of measles, and the ongoing eradication of poliomyelitis, and other diseases.  At the moment (31 June), a total of 17 states and 1,290 municipal districts have already taken over all disease control and epidemiological activities in full.</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Adoption of epidemiological criteria for transferring sanitation funding.  From this year onwards, the National Health Foundation (FUNASA) budget funds allocated to sanitation activities will be transferred to the states and municipal districts according to epidemiological criteria, assigning top priority to projects where they will have the greatest impact on disease control and prevention.  Consequently, it will be possible to focus on higher</w:t>
      </w:r>
      <w:r>
        <w:rPr>
          <w:kern w:val="20"/>
          <w:lang w:val="en-GB"/>
        </w:rPr>
        <w:noBreakHyphen/>
        <w:t xml:space="preserve">risk areas, interweaving health care and sanitation activities in order to achieve greater efficacy levels.  Places with high rates of diseases related to precarious sanitary situations, such as schistosomosis, cholera, typhoid fever and high infant mortality rates caused by diarrhoea, may be assigned funds that will guarantee access to treated water and sewage disposal, while upgrading the sanitary conditions in individual households.  The funds required to install adequate garbage disposal facilities will be channelled to towns with high </w:t>
      </w:r>
      <w:r>
        <w:rPr>
          <w:kern w:val="20"/>
          <w:u w:val="single"/>
          <w:lang w:val="en-GB"/>
        </w:rPr>
        <w:t>Aedes aegypti</w:t>
      </w:r>
      <w:r>
        <w:rPr>
          <w:kern w:val="20"/>
          <w:lang w:val="en-GB"/>
        </w:rPr>
        <w:t xml:space="preserve"> infestation rates, where breeding sites are related to the poor functioning of the urban cleaning system (tyres, bottles, etc).  Locations recording the presence of Chagas disease vectors with housing conditions that favour the proliferation of these insects will also be assigned top priority for funding intended to upgrade these homes.</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Among the emerging diseases in Brazil, AIDS is particularly noteworthy.  The first case of this epidemic was diagnosed in 1980, with the total number of cases reaching 190,949 by June 2000, with the HIV</w:t>
      </w:r>
      <w:r>
        <w:rPr>
          <w:kern w:val="20"/>
          <w:lang w:val="en-GB"/>
        </w:rPr>
        <w:noBreakHyphen/>
        <w:t>positive average estimated at 536,900 cases for persons aged 15</w:t>
      </w:r>
      <w:r>
        <w:rPr>
          <w:kern w:val="20"/>
          <w:lang w:val="en-GB"/>
        </w:rPr>
        <w:noBreakHyphen/>
        <w:t>49 years.  This epidemic has remained stable over the past few years at around 12 cases per 1,000 inhabitants, with the mortality rate having dropped since 1995.</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The AIDS epidemic has passed through three phases so far:  (i) initial, up to 1986, when it was prevalent among men who had sex with men (MSM) and the population with high levels of schooling; (ii) the second phase, characterized by an upsurge in transmission among injectable drug users, reflected in an increase among lower age groups and heterosexuals; (iii) the current phase, which consists of dissemination among heterosexuals, particularly women (the current proportion is 2 men to 1 woman, compared with 17 men to 1 woman at the start of the epidemic), with an increase in transmission among people with lower levels of schooling.</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Another equally important aspect that the Brazilian Government would like to stress is related to mental disturbances and alterations in behaviour.  The most recent data on the distribution of mental disturbances in Brazil come from a survey carried out in 1990</w:t>
      </w:r>
      <w:r>
        <w:rPr>
          <w:kern w:val="20"/>
          <w:lang w:val="en-GB"/>
        </w:rPr>
        <w:noBreakHyphen/>
        <w:t>1991 in three metropolitan regions (</w:t>
      </w:r>
      <w:r>
        <w:rPr>
          <w:kern w:val="20"/>
          <w:u w:val="single"/>
          <w:lang w:val="en-GB"/>
        </w:rPr>
        <w:t>F.N. Almeida</w:t>
      </w:r>
      <w:r>
        <w:rPr>
          <w:kern w:val="20"/>
          <w:lang w:val="en-GB"/>
        </w:rPr>
        <w:t>, On Psychiatric Morbidity in Metropolitan Regions in Brazil, epidemiological report produced by the Single Health</w:t>
      </w:r>
      <w:r>
        <w:rPr>
          <w:kern w:val="20"/>
          <w:lang w:val="en-GB"/>
        </w:rPr>
        <w:noBreakHyphen/>
        <w:t>Care System, National Health Foundation/CENEPI, Brasilia, June 1992).  Neuroses were the most frequent type of disturbance, with prevalence rates varying from 7.6 per cent in São Paulo to 17.6 per cent in Brasilia.  Psychotic depression was detected in 14.5 per cent of women in Porto Alegre.</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br w:type="page"/>
        <w:t>Various types of alcoholism were found in proportions varying from 4.5 per cent to 8.7 per cent, reaching 15 per cent among the male population.  According to 1995 data, alcoholism and drug consumption together account for some 20 per cent of hospitalizations for mental disturbance in Brazil, 93 per cent of them men, reaching 28 per cent in the south.</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The use of injectable drugs is an increasingly important factor for AIDS transmission, accounting for 21 per cent of the total number of cases recorded in 1996.</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Brazil is endowed with an effective National Health Policy.  According to its 1988 Constitution, health is the right of all, and a duty of the State.  This principle is the backbone of Law No. 8,080 dated 19 September 1990, which regulates health</w:t>
      </w:r>
      <w:r>
        <w:rPr>
          <w:kern w:val="20"/>
          <w:lang w:val="en-GB"/>
        </w:rPr>
        <w:noBreakHyphen/>
        <w:t>care services and actions nationwide organized by individuals or corporate legal entities established under public or private law.</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To a certain extent, it could be said that the health</w:t>
      </w:r>
      <w:r>
        <w:rPr>
          <w:kern w:val="20"/>
          <w:lang w:val="en-GB"/>
        </w:rPr>
        <w:noBreakHyphen/>
        <w:t>care policy implemented by the Brazilian Government has gradually been absorbing the proposals issued by WHO in terms of primary health</w:t>
      </w:r>
      <w:r>
        <w:rPr>
          <w:kern w:val="20"/>
          <w:lang w:val="en-GB"/>
        </w:rPr>
        <w:noBreakHyphen/>
        <w:t>care facilities.  In other words, this is reflected through the Family Health</w:t>
      </w:r>
      <w:r>
        <w:rPr>
          <w:kern w:val="20"/>
          <w:lang w:val="en-GB"/>
        </w:rPr>
        <w:noBreakHyphen/>
        <w:t>Care Programme, the Community Health</w:t>
      </w:r>
      <w:r>
        <w:rPr>
          <w:kern w:val="20"/>
          <w:lang w:val="en-GB"/>
        </w:rPr>
        <w:noBreakHyphen/>
        <w:t>Care Agents Programme and the Basic Treatment Threshold Programme, with the last making provision for direct financial transfers from the Federal Government to municipal districts to underwrite programmes of a preventive nature, among many others.</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Article 196 of the Brazilian Constitution establishes the right of all its citizens to health, while stipulating that it is the duty of the State to assure this.  Public health</w:t>
      </w:r>
      <w:r>
        <w:rPr>
          <w:kern w:val="20"/>
          <w:lang w:val="en-GB"/>
        </w:rPr>
        <w:noBreakHyphen/>
        <w:t>care services and actions are organized according to the precepts of article 198 of the Brazilian Constitution:  a Single Health</w:t>
      </w:r>
      <w:r>
        <w:rPr>
          <w:kern w:val="20"/>
          <w:lang w:val="en-GB"/>
        </w:rPr>
        <w:noBreakHyphen/>
        <w:t>Care System structured through a regionalized network based on a hierarchical structure, characterized by decentralization, all</w:t>
      </w:r>
      <w:r>
        <w:rPr>
          <w:kern w:val="20"/>
          <w:lang w:val="en-GB"/>
        </w:rPr>
        <w:noBreakHyphen/>
        <w:t>round treatment and services, and community participation.</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The Basic Treatment Threshold (</w:t>
      </w:r>
      <w:r>
        <w:rPr>
          <w:kern w:val="20"/>
          <w:u w:val="single"/>
          <w:lang w:val="en-GB"/>
        </w:rPr>
        <w:t xml:space="preserve">PAB </w:t>
      </w:r>
      <w:r>
        <w:rPr>
          <w:kern w:val="20"/>
          <w:u w:val="single"/>
          <w:lang w:val="en-GB"/>
        </w:rPr>
        <w:noBreakHyphen/>
        <w:t xml:space="preserve"> Piso de Atenção Básica</w:t>
      </w:r>
      <w:r>
        <w:rPr>
          <w:kern w:val="20"/>
          <w:lang w:val="en-GB"/>
        </w:rPr>
        <w:t>) was introduced in 1997 and fully implemented in 1998, altering the financing logic of the Single Health</w:t>
      </w:r>
      <w:r>
        <w:rPr>
          <w:kern w:val="20"/>
          <w:lang w:val="en-GB"/>
        </w:rPr>
        <w:noBreakHyphen/>
        <w:t>Care System (SUS).  Consequently, funds were no longer transferred to municipal districts on a “production” basis, but were rather provided on the basis of pre</w:t>
      </w:r>
      <w:r>
        <w:rPr>
          <w:kern w:val="20"/>
          <w:lang w:val="en-GB"/>
        </w:rPr>
        <w:noBreakHyphen/>
        <w:t>established per capita levels, transferred from the National Health Fund to the municipal funds through fund</w:t>
      </w:r>
      <w:r>
        <w:rPr>
          <w:kern w:val="20"/>
          <w:lang w:val="en-GB"/>
        </w:rPr>
        <w:noBreakHyphen/>
        <w:t>to</w:t>
      </w:r>
      <w:r>
        <w:rPr>
          <w:kern w:val="20"/>
          <w:lang w:val="en-GB"/>
        </w:rPr>
        <w:noBreakHyphen/>
        <w:t>fund transfers.  Consequently, municipal health bureaux began to play a management role for the Single Health</w:t>
      </w:r>
      <w:r>
        <w:rPr>
          <w:kern w:val="20"/>
          <w:lang w:val="en-GB"/>
        </w:rPr>
        <w:noBreakHyphen/>
        <w:t>Care System in the municipal districts, preparing plans of actions for health</w:t>
      </w:r>
      <w:r>
        <w:rPr>
          <w:kern w:val="20"/>
          <w:lang w:val="en-GB"/>
        </w:rPr>
        <w:noBreakHyphen/>
        <w:t>care services tailored to local requirements and specific characteristics.  This alteration in the funding transfer system had sweeping redistributive effects, with a significant increase in the amount of funding channelled to municipal districts in north and north</w:t>
      </w:r>
      <w:r>
        <w:rPr>
          <w:kern w:val="20"/>
          <w:lang w:val="en-GB"/>
        </w:rPr>
        <w:noBreakHyphen/>
        <w:t>east Brazil.</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 xml:space="preserve">The actions focused on providing Basic Treatment by the Ministry of Health include drawing up strategies assigning high priority to actions promoting, protecting and recovering the health of individuals and families.  Initially implemented in 1991 through the Community </w:t>
      </w:r>
    </w:p>
    <w:p w:rsidR="00000000" w:rsidRDefault="00000000">
      <w:pPr>
        <w:rPr>
          <w:kern w:val="20"/>
        </w:rPr>
      </w:pPr>
      <w:r>
        <w:rPr>
          <w:kern w:val="20"/>
        </w:rPr>
        <w:br w:type="page"/>
        <w:t>Health</w:t>
      </w:r>
      <w:r>
        <w:rPr>
          <w:kern w:val="20"/>
        </w:rPr>
        <w:noBreakHyphen/>
        <w:t>Care Agents Programme (PACS) this process extended through to 1994 when the first teams were set up under the Family Health</w:t>
      </w:r>
      <w:r>
        <w:rPr>
          <w:kern w:val="20"/>
        </w:rPr>
        <w:noBreakHyphen/>
        <w:t>Care Programme (PSF) that included and extended the spheres of action assigned to the Community Health</w:t>
      </w:r>
      <w:r>
        <w:rPr>
          <w:kern w:val="20"/>
        </w:rPr>
        <w:noBreakHyphen/>
        <w:t>Care Agents.</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In August 2000, the Family Health Programme covered 53.9 per cent of the municipal districts in Brazil, accounting for 20.3 per cent of the nation’s population.  The Community Health</w:t>
      </w:r>
      <w:r>
        <w:rPr>
          <w:kern w:val="20"/>
          <w:lang w:val="en-GB"/>
        </w:rPr>
        <w:noBreakHyphen/>
        <w:t>Care Agents Programme covered 82.6 per cent of municipal districts in Brazil, accounting for 49.9 per cent of the nation’s population.  Initially, these strategies assigned high priority to servicing municipal districts with lower urbanization levels.</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The purpose of the Family Health</w:t>
      </w:r>
      <w:r>
        <w:rPr>
          <w:kern w:val="20"/>
          <w:lang w:val="en-GB"/>
        </w:rPr>
        <w:noBreakHyphen/>
        <w:t>Care Programme is to reorganize health</w:t>
      </w:r>
      <w:r>
        <w:rPr>
          <w:kern w:val="20"/>
          <w:lang w:val="en-GB"/>
        </w:rPr>
        <w:noBreakHyphen/>
        <w:t>care practices along new lines and criteria, replacing the traditional model that was slanted towards curing diseases, generally in hospitals.  This experience has provided broad</w:t>
      </w:r>
      <w:r>
        <w:rPr>
          <w:kern w:val="20"/>
          <w:lang w:val="en-GB"/>
        </w:rPr>
        <w:noBreakHyphen/>
        <w:t>ranging understanding of the health/disease process, highlighting the need for other types of interventions other than curative measures which extend well</w:t>
      </w:r>
      <w:r>
        <w:rPr>
          <w:kern w:val="20"/>
          <w:lang w:val="en-GB"/>
        </w:rPr>
        <w:noBreakHyphen/>
        <w:t>being while fine</w:t>
      </w:r>
      <w:r>
        <w:rPr>
          <w:kern w:val="20"/>
          <w:lang w:val="en-GB"/>
        </w:rPr>
        <w:noBreakHyphen/>
        <w:t>tuning the allocation of funding assigned to the health</w:t>
      </w:r>
      <w:r>
        <w:rPr>
          <w:kern w:val="20"/>
          <w:lang w:val="en-GB"/>
        </w:rPr>
        <w:noBreakHyphen/>
        <w:t>care sector.</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The strategy of the Family Health</w:t>
      </w:r>
      <w:r>
        <w:rPr>
          <w:kern w:val="20"/>
          <w:lang w:val="en-GB"/>
        </w:rPr>
        <w:noBreakHyphen/>
        <w:t>Care Programme is structured on the basis of the Family Health</w:t>
      </w:r>
      <w:r>
        <w:rPr>
          <w:kern w:val="20"/>
          <w:lang w:val="en-GB"/>
        </w:rPr>
        <w:noBreakHyphen/>
        <w:t>Care Unit (</w:t>
      </w:r>
      <w:r>
        <w:rPr>
          <w:kern w:val="20"/>
          <w:u w:val="single"/>
          <w:lang w:val="en-GB"/>
        </w:rPr>
        <w:t>Unidade de Saúde da Família</w:t>
      </w:r>
      <w:r>
        <w:rPr>
          <w:kern w:val="20"/>
          <w:lang w:val="en-GB"/>
        </w:rPr>
        <w:t>) which is a public health unit staffed by multidisciplinary teams that assume full responsibility for a specific population where health</w:t>
      </w:r>
      <w:r>
        <w:rPr>
          <w:kern w:val="20"/>
          <w:lang w:val="en-GB"/>
        </w:rPr>
        <w:noBreakHyphen/>
        <w:t>care promotion and disease prevention activities are implemented, parallel to treatment and rehabilitation.</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The introduction of the Basic Treatment Threshold, the Community Health</w:t>
      </w:r>
      <w:r>
        <w:rPr>
          <w:kern w:val="20"/>
          <w:lang w:val="en-GB"/>
        </w:rPr>
        <w:noBreakHyphen/>
        <w:t>Care Agents Programme and the Family Health</w:t>
      </w:r>
      <w:r>
        <w:rPr>
          <w:kern w:val="20"/>
          <w:lang w:val="en-GB"/>
        </w:rPr>
        <w:noBreakHyphen/>
        <w:t>Care Programme, among many others, reflect Brazil’s choice of new financing mechanisms that foster the decentralization of funding through the adoption of per capita values.  The preparation and implementation of health</w:t>
      </w:r>
      <w:r>
        <w:rPr>
          <w:kern w:val="20"/>
          <w:lang w:val="en-GB"/>
        </w:rPr>
        <w:noBreakHyphen/>
        <w:t>care policies at the municipal level endow these actions with greater effectiveness, while also enhancing their potential for social control.  These initiatives make unmistakable contributions to developing a more efficient and fairer health</w:t>
      </w:r>
      <w:r>
        <w:rPr>
          <w:kern w:val="20"/>
          <w:lang w:val="en-GB"/>
        </w:rPr>
        <w:noBreakHyphen/>
        <w:t>care system based on preventing diseases and promoting health.</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 xml:space="preserve">According to estimates drawn up on the basis of information provided by the states and municipal districts to the Public Health Budget Information System (SIOPS </w:t>
      </w:r>
      <w:r>
        <w:rPr>
          <w:kern w:val="20"/>
          <w:lang w:val="en-GB"/>
        </w:rPr>
        <w:noBreakHyphen/>
        <w:t xml:space="preserve"> </w:t>
      </w:r>
      <w:r>
        <w:rPr>
          <w:kern w:val="20"/>
          <w:u w:val="single"/>
          <w:lang w:val="en-GB"/>
        </w:rPr>
        <w:t>Sistema de Informações sobre Orçamentos Públicos em Saúde</w:t>
      </w:r>
      <w:r>
        <w:rPr>
          <w:kern w:val="20"/>
          <w:lang w:val="en-GB"/>
        </w:rPr>
        <w:t>) the expenditures by the Ministry of Health, the State Health Bureaux (direct and indirect Civil Service) and municipal districts in Brazil topped Cr$ 33.6 billion in 1998, equivalent to 3.7 per cent of Brazil’s GDP.</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The Ministry of Health provided 57.5 per cent of this total, with expenditures hovering around Cr$ 19.3 billion; the State Health Bureaux provided Cr$ 5.6 billion, 16.5 per cent of the total outlays on health care; municipal districts constituting state capitals provided Cr$ 2.1 billion, 6.3 per cent of total outlays on health care, and other municipal districts in Brazil paid in Cr$ 6.3 billion, 19.7 per cent of outlays.  Overall, municipal districts contributed 26 per cent of these outlays, equivalent to some Cr$ 8.8 billion.</w:t>
      </w:r>
    </w:p>
    <w:p w:rsidR="00000000" w:rsidRDefault="00000000">
      <w:pPr>
        <w:rPr>
          <w:kern w:val="20"/>
        </w:rPr>
      </w:pPr>
    </w:p>
    <w:p w:rsidR="00000000" w:rsidRDefault="00000000">
      <w:pPr>
        <w:pStyle w:val="Heading1"/>
        <w:rPr>
          <w:kern w:val="20"/>
        </w:rPr>
      </w:pPr>
      <w:r>
        <w:rPr>
          <w:kern w:val="20"/>
        </w:rPr>
        <w:br w:type="page"/>
        <w:t>Table 76</w:t>
      </w:r>
    </w:p>
    <w:p w:rsidR="00000000" w:rsidRDefault="00000000">
      <w:pPr>
        <w:rPr>
          <w:kern w:val="20"/>
        </w:rPr>
      </w:pPr>
    </w:p>
    <w:p w:rsidR="00000000" w:rsidRDefault="00000000">
      <w:pPr>
        <w:pStyle w:val="Heading1"/>
        <w:rPr>
          <w:kern w:val="20"/>
        </w:rPr>
      </w:pPr>
      <w:r>
        <w:rPr>
          <w:kern w:val="20"/>
        </w:rPr>
        <w:t>Government outlays on health care</w:t>
      </w:r>
    </w:p>
    <w:p w:rsidR="00000000" w:rsidRDefault="00000000">
      <w:pPr>
        <w:jc w:val="center"/>
        <w:rPr>
          <w:kern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2693"/>
        <w:gridCol w:w="2410"/>
        <w:gridCol w:w="2268"/>
      </w:tblGrid>
      <w:tr w:rsidR="00000000">
        <w:trPr>
          <w:jc w:val="center"/>
        </w:trPr>
        <w:tc>
          <w:tcPr>
            <w:tcW w:w="2693" w:type="dxa"/>
            <w:tcBorders>
              <w:bottom w:val="single" w:sz="4" w:space="0" w:color="auto"/>
            </w:tcBorders>
          </w:tcPr>
          <w:p w:rsidR="00000000" w:rsidRDefault="00000000">
            <w:pPr>
              <w:jc w:val="center"/>
              <w:rPr>
                <w:kern w:val="20"/>
              </w:rPr>
            </w:pPr>
            <w:r>
              <w:rPr>
                <w:kern w:val="20"/>
              </w:rPr>
              <w:t>Level of government</w:t>
            </w:r>
          </w:p>
        </w:tc>
        <w:tc>
          <w:tcPr>
            <w:tcW w:w="2410" w:type="dxa"/>
            <w:tcBorders>
              <w:bottom w:val="single" w:sz="4" w:space="0" w:color="auto"/>
            </w:tcBorders>
          </w:tcPr>
          <w:p w:rsidR="00000000" w:rsidRDefault="00000000">
            <w:pPr>
              <w:jc w:val="center"/>
              <w:rPr>
                <w:kern w:val="20"/>
              </w:rPr>
            </w:pPr>
            <w:r>
              <w:rPr>
                <w:kern w:val="20"/>
              </w:rPr>
              <w:t>Outlays on health care (Cr$ million)</w:t>
            </w:r>
          </w:p>
        </w:tc>
        <w:tc>
          <w:tcPr>
            <w:tcW w:w="2268" w:type="dxa"/>
            <w:tcBorders>
              <w:bottom w:val="single" w:sz="4" w:space="0" w:color="auto"/>
            </w:tcBorders>
          </w:tcPr>
          <w:p w:rsidR="00000000" w:rsidRDefault="00000000">
            <w:pPr>
              <w:jc w:val="center"/>
              <w:rPr>
                <w:kern w:val="20"/>
              </w:rPr>
            </w:pPr>
            <w:r>
              <w:rPr>
                <w:kern w:val="20"/>
              </w:rPr>
              <w:t>% total government outlays</w:t>
            </w:r>
          </w:p>
        </w:tc>
      </w:tr>
      <w:tr w:rsidR="00000000">
        <w:trPr>
          <w:jc w:val="center"/>
        </w:trPr>
        <w:tc>
          <w:tcPr>
            <w:tcW w:w="2693" w:type="dxa"/>
            <w:tcBorders>
              <w:bottom w:val="nil"/>
            </w:tcBorders>
          </w:tcPr>
          <w:p w:rsidR="00000000" w:rsidRDefault="00000000">
            <w:pPr>
              <w:rPr>
                <w:kern w:val="20"/>
              </w:rPr>
            </w:pPr>
            <w:r>
              <w:rPr>
                <w:kern w:val="20"/>
              </w:rPr>
              <w:t>Ministry of Health</w:t>
            </w:r>
          </w:p>
        </w:tc>
        <w:tc>
          <w:tcPr>
            <w:tcW w:w="2410" w:type="dxa"/>
            <w:tcBorders>
              <w:bottom w:val="nil"/>
            </w:tcBorders>
          </w:tcPr>
          <w:p w:rsidR="00000000" w:rsidRDefault="00000000">
            <w:pPr>
              <w:ind w:right="742"/>
              <w:jc w:val="right"/>
              <w:rPr>
                <w:kern w:val="20"/>
              </w:rPr>
            </w:pPr>
            <w:r>
              <w:rPr>
                <w:kern w:val="20"/>
              </w:rPr>
              <w:t>19 323.69</w:t>
            </w:r>
          </w:p>
        </w:tc>
        <w:tc>
          <w:tcPr>
            <w:tcW w:w="2268" w:type="dxa"/>
            <w:tcBorders>
              <w:bottom w:val="nil"/>
            </w:tcBorders>
          </w:tcPr>
          <w:p w:rsidR="00000000" w:rsidRDefault="00000000">
            <w:pPr>
              <w:ind w:right="884"/>
              <w:jc w:val="right"/>
              <w:rPr>
                <w:kern w:val="20"/>
              </w:rPr>
            </w:pPr>
            <w:r>
              <w:rPr>
                <w:kern w:val="20"/>
              </w:rPr>
              <w:t>57.47</w:t>
            </w:r>
          </w:p>
        </w:tc>
      </w:tr>
      <w:tr w:rsidR="00000000">
        <w:trPr>
          <w:jc w:val="center"/>
        </w:trPr>
        <w:tc>
          <w:tcPr>
            <w:tcW w:w="2693" w:type="dxa"/>
            <w:tcBorders>
              <w:top w:val="nil"/>
              <w:bottom w:val="nil"/>
            </w:tcBorders>
          </w:tcPr>
          <w:p w:rsidR="00000000" w:rsidRDefault="00000000">
            <w:pPr>
              <w:rPr>
                <w:kern w:val="20"/>
              </w:rPr>
            </w:pPr>
            <w:r>
              <w:rPr>
                <w:kern w:val="20"/>
              </w:rPr>
              <w:t>State Health Bureau</w:t>
            </w:r>
          </w:p>
        </w:tc>
        <w:tc>
          <w:tcPr>
            <w:tcW w:w="2410" w:type="dxa"/>
            <w:tcBorders>
              <w:top w:val="nil"/>
              <w:bottom w:val="nil"/>
            </w:tcBorders>
          </w:tcPr>
          <w:p w:rsidR="00000000" w:rsidRDefault="00000000">
            <w:pPr>
              <w:ind w:right="742"/>
              <w:jc w:val="right"/>
              <w:rPr>
                <w:kern w:val="20"/>
              </w:rPr>
            </w:pPr>
            <w:r>
              <w:rPr>
                <w:kern w:val="20"/>
              </w:rPr>
              <w:t>5 550.50</w:t>
            </w:r>
          </w:p>
        </w:tc>
        <w:tc>
          <w:tcPr>
            <w:tcW w:w="2268" w:type="dxa"/>
            <w:tcBorders>
              <w:top w:val="nil"/>
              <w:bottom w:val="nil"/>
            </w:tcBorders>
          </w:tcPr>
          <w:p w:rsidR="00000000" w:rsidRDefault="00000000">
            <w:pPr>
              <w:ind w:right="884"/>
              <w:jc w:val="right"/>
              <w:rPr>
                <w:kern w:val="20"/>
              </w:rPr>
            </w:pPr>
            <w:r>
              <w:rPr>
                <w:kern w:val="20"/>
              </w:rPr>
              <w:t>16.51</w:t>
            </w:r>
          </w:p>
        </w:tc>
      </w:tr>
      <w:tr w:rsidR="00000000">
        <w:trPr>
          <w:jc w:val="center"/>
        </w:trPr>
        <w:tc>
          <w:tcPr>
            <w:tcW w:w="2693" w:type="dxa"/>
            <w:tcBorders>
              <w:top w:val="nil"/>
              <w:bottom w:val="nil"/>
            </w:tcBorders>
          </w:tcPr>
          <w:p w:rsidR="00000000" w:rsidRDefault="00000000">
            <w:pPr>
              <w:rPr>
                <w:kern w:val="20"/>
              </w:rPr>
            </w:pPr>
            <w:r>
              <w:rPr>
                <w:kern w:val="20"/>
              </w:rPr>
              <w:t>Municipal districts</w:t>
            </w:r>
          </w:p>
        </w:tc>
        <w:tc>
          <w:tcPr>
            <w:tcW w:w="2410" w:type="dxa"/>
            <w:tcBorders>
              <w:top w:val="nil"/>
              <w:bottom w:val="nil"/>
            </w:tcBorders>
          </w:tcPr>
          <w:p w:rsidR="00000000" w:rsidRDefault="00000000">
            <w:pPr>
              <w:ind w:right="742"/>
              <w:jc w:val="right"/>
              <w:rPr>
                <w:kern w:val="20"/>
              </w:rPr>
            </w:pPr>
            <w:r>
              <w:rPr>
                <w:kern w:val="20"/>
              </w:rPr>
              <w:t>8 746.89</w:t>
            </w:r>
          </w:p>
        </w:tc>
        <w:tc>
          <w:tcPr>
            <w:tcW w:w="2268" w:type="dxa"/>
            <w:tcBorders>
              <w:top w:val="nil"/>
              <w:bottom w:val="nil"/>
            </w:tcBorders>
          </w:tcPr>
          <w:p w:rsidR="00000000" w:rsidRDefault="00000000">
            <w:pPr>
              <w:ind w:right="884"/>
              <w:jc w:val="right"/>
              <w:rPr>
                <w:kern w:val="20"/>
              </w:rPr>
            </w:pPr>
            <w:r>
              <w:rPr>
                <w:kern w:val="20"/>
              </w:rPr>
              <w:t>26.02</w:t>
            </w:r>
          </w:p>
        </w:tc>
      </w:tr>
      <w:tr w:rsidR="00000000">
        <w:trPr>
          <w:jc w:val="center"/>
        </w:trPr>
        <w:tc>
          <w:tcPr>
            <w:tcW w:w="2693" w:type="dxa"/>
            <w:tcBorders>
              <w:top w:val="nil"/>
              <w:bottom w:val="nil"/>
            </w:tcBorders>
          </w:tcPr>
          <w:p w:rsidR="00000000" w:rsidRDefault="00000000">
            <w:pPr>
              <w:rPr>
                <w:kern w:val="20"/>
              </w:rPr>
            </w:pPr>
            <w:r>
              <w:rPr>
                <w:kern w:val="20"/>
              </w:rPr>
              <w:t>State capitals</w:t>
            </w:r>
          </w:p>
        </w:tc>
        <w:tc>
          <w:tcPr>
            <w:tcW w:w="2410" w:type="dxa"/>
            <w:tcBorders>
              <w:top w:val="nil"/>
              <w:bottom w:val="nil"/>
            </w:tcBorders>
          </w:tcPr>
          <w:p w:rsidR="00000000" w:rsidRDefault="00000000">
            <w:pPr>
              <w:ind w:right="742"/>
              <w:jc w:val="right"/>
              <w:rPr>
                <w:kern w:val="20"/>
              </w:rPr>
            </w:pPr>
            <w:r>
              <w:rPr>
                <w:kern w:val="20"/>
              </w:rPr>
              <w:t xml:space="preserve"> (2 110.19)</w:t>
            </w:r>
          </w:p>
        </w:tc>
        <w:tc>
          <w:tcPr>
            <w:tcW w:w="2268" w:type="dxa"/>
            <w:tcBorders>
              <w:top w:val="nil"/>
              <w:bottom w:val="nil"/>
            </w:tcBorders>
          </w:tcPr>
          <w:p w:rsidR="00000000" w:rsidRDefault="00000000">
            <w:pPr>
              <w:ind w:right="884"/>
              <w:jc w:val="right"/>
              <w:rPr>
                <w:kern w:val="20"/>
              </w:rPr>
            </w:pPr>
            <w:r>
              <w:rPr>
                <w:kern w:val="20"/>
              </w:rPr>
              <w:t>6.28</w:t>
            </w:r>
          </w:p>
        </w:tc>
      </w:tr>
      <w:tr w:rsidR="00000000">
        <w:trPr>
          <w:jc w:val="center"/>
        </w:trPr>
        <w:tc>
          <w:tcPr>
            <w:tcW w:w="2693" w:type="dxa"/>
            <w:tcBorders>
              <w:top w:val="nil"/>
              <w:bottom w:val="single" w:sz="4" w:space="0" w:color="auto"/>
            </w:tcBorders>
          </w:tcPr>
          <w:p w:rsidR="00000000" w:rsidRDefault="00000000">
            <w:pPr>
              <w:rPr>
                <w:kern w:val="20"/>
              </w:rPr>
            </w:pPr>
            <w:r>
              <w:rPr>
                <w:kern w:val="20"/>
              </w:rPr>
              <w:t>Other municipal districts</w:t>
            </w:r>
          </w:p>
        </w:tc>
        <w:tc>
          <w:tcPr>
            <w:tcW w:w="2410" w:type="dxa"/>
            <w:tcBorders>
              <w:top w:val="nil"/>
              <w:bottom w:val="single" w:sz="4" w:space="0" w:color="auto"/>
            </w:tcBorders>
          </w:tcPr>
          <w:p w:rsidR="00000000" w:rsidRDefault="00000000">
            <w:pPr>
              <w:ind w:right="742"/>
              <w:jc w:val="right"/>
              <w:rPr>
                <w:kern w:val="20"/>
              </w:rPr>
            </w:pPr>
            <w:r>
              <w:rPr>
                <w:kern w:val="20"/>
              </w:rPr>
              <w:t xml:space="preserve"> (6 636.70)</w:t>
            </w:r>
          </w:p>
        </w:tc>
        <w:tc>
          <w:tcPr>
            <w:tcW w:w="2268" w:type="dxa"/>
            <w:tcBorders>
              <w:top w:val="nil"/>
              <w:bottom w:val="single" w:sz="4" w:space="0" w:color="auto"/>
            </w:tcBorders>
          </w:tcPr>
          <w:p w:rsidR="00000000" w:rsidRDefault="00000000">
            <w:pPr>
              <w:ind w:right="884"/>
              <w:jc w:val="right"/>
              <w:rPr>
                <w:kern w:val="20"/>
              </w:rPr>
            </w:pPr>
            <w:r>
              <w:rPr>
                <w:kern w:val="20"/>
              </w:rPr>
              <w:t>19.74</w:t>
            </w:r>
          </w:p>
        </w:tc>
      </w:tr>
      <w:tr w:rsidR="00000000">
        <w:trPr>
          <w:jc w:val="center"/>
        </w:trPr>
        <w:tc>
          <w:tcPr>
            <w:tcW w:w="2693" w:type="dxa"/>
            <w:tcBorders>
              <w:top w:val="single" w:sz="4" w:space="0" w:color="auto"/>
            </w:tcBorders>
          </w:tcPr>
          <w:p w:rsidR="00000000" w:rsidRDefault="00000000">
            <w:pPr>
              <w:rPr>
                <w:kern w:val="20"/>
              </w:rPr>
            </w:pPr>
            <w:r>
              <w:rPr>
                <w:kern w:val="20"/>
              </w:rPr>
              <w:t xml:space="preserve">     Total</w:t>
            </w:r>
          </w:p>
        </w:tc>
        <w:tc>
          <w:tcPr>
            <w:tcW w:w="2410" w:type="dxa"/>
            <w:tcBorders>
              <w:top w:val="single" w:sz="4" w:space="0" w:color="auto"/>
            </w:tcBorders>
          </w:tcPr>
          <w:p w:rsidR="00000000" w:rsidRDefault="00000000">
            <w:pPr>
              <w:ind w:right="742"/>
              <w:jc w:val="right"/>
              <w:rPr>
                <w:kern w:val="20"/>
              </w:rPr>
            </w:pPr>
            <w:r>
              <w:rPr>
                <w:kern w:val="20"/>
              </w:rPr>
              <w:t>33 621.08</w:t>
            </w:r>
          </w:p>
        </w:tc>
        <w:tc>
          <w:tcPr>
            <w:tcW w:w="2268" w:type="dxa"/>
            <w:tcBorders>
              <w:top w:val="single" w:sz="4" w:space="0" w:color="auto"/>
            </w:tcBorders>
          </w:tcPr>
          <w:p w:rsidR="00000000" w:rsidRDefault="00000000">
            <w:pPr>
              <w:ind w:right="884"/>
              <w:jc w:val="right"/>
              <w:rPr>
                <w:kern w:val="20"/>
              </w:rPr>
            </w:pPr>
            <w:r>
              <w:rPr>
                <w:kern w:val="20"/>
              </w:rPr>
              <w:t>100.00</w:t>
            </w:r>
          </w:p>
        </w:tc>
      </w:tr>
    </w:tbl>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In terms of outlays on health care channelled to activities in the basic treatment field, particularly noteworthy is the increase of 65.2 per cent in fund allocation from 1995 to 1999, an average yearly increase of 13.4 per cent.  Further details are given in table 77 below:</w:t>
      </w:r>
    </w:p>
    <w:p w:rsidR="00000000" w:rsidRDefault="00000000">
      <w:pPr>
        <w:rPr>
          <w:kern w:val="20"/>
        </w:rPr>
      </w:pPr>
    </w:p>
    <w:p w:rsidR="00000000" w:rsidRDefault="00000000">
      <w:pPr>
        <w:pStyle w:val="Heading1"/>
        <w:rPr>
          <w:kern w:val="20"/>
        </w:rPr>
      </w:pPr>
      <w:r>
        <w:rPr>
          <w:kern w:val="20"/>
        </w:rPr>
        <w:t>Table 77</w:t>
      </w:r>
    </w:p>
    <w:p w:rsidR="00000000" w:rsidRDefault="00000000">
      <w:pPr>
        <w:rPr>
          <w:kern w:val="20"/>
        </w:rPr>
      </w:pPr>
    </w:p>
    <w:p w:rsidR="00000000" w:rsidRDefault="00000000">
      <w:pPr>
        <w:pStyle w:val="Heading1"/>
        <w:rPr>
          <w:kern w:val="20"/>
        </w:rPr>
      </w:pPr>
      <w:r>
        <w:rPr>
          <w:kern w:val="20"/>
        </w:rPr>
        <w:t xml:space="preserve">Basic social outlays </w:t>
      </w:r>
      <w:r>
        <w:rPr>
          <w:kern w:val="20"/>
        </w:rPr>
        <w:noBreakHyphen/>
        <w:t xml:space="preserve"> health care and sanitation, 1995</w:t>
      </w:r>
      <w:r>
        <w:rPr>
          <w:kern w:val="20"/>
        </w:rPr>
        <w:noBreakHyphen/>
        <w:t>1999 (Cr$ million)</w:t>
      </w:r>
    </w:p>
    <w:p w:rsidR="00000000" w:rsidRDefault="00000000"/>
    <w:tbl>
      <w:tblPr>
        <w:tblW w:w="0" w:type="auto"/>
        <w:jc w:val="center"/>
        <w:tblLayout w:type="fixed"/>
        <w:tblCellMar>
          <w:top w:w="28" w:type="dxa"/>
          <w:left w:w="30" w:type="dxa"/>
          <w:bottom w:w="28" w:type="dxa"/>
          <w:right w:w="30" w:type="dxa"/>
        </w:tblCellMar>
        <w:tblLook w:val="0000" w:firstRow="0" w:lastRow="0" w:firstColumn="0" w:lastColumn="0" w:noHBand="0" w:noVBand="0"/>
      </w:tblPr>
      <w:tblGrid>
        <w:gridCol w:w="2552"/>
        <w:gridCol w:w="1275"/>
        <w:gridCol w:w="1276"/>
        <w:gridCol w:w="2268"/>
      </w:tblGrid>
      <w:tr w:rsidR="00000000">
        <w:trPr>
          <w:trHeight w:val="142"/>
          <w:jc w:val="center"/>
        </w:trPr>
        <w:tc>
          <w:tcPr>
            <w:tcW w:w="2552"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lang w:eastAsia="pt-BR"/>
              </w:rPr>
            </w:pP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lang w:eastAsia="pt-BR"/>
              </w:rPr>
            </w:pPr>
            <w:r>
              <w:rPr>
                <w:snapToGrid w:val="0"/>
                <w:lang w:eastAsia="pt-BR"/>
              </w:rPr>
              <w:t>1995</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lang w:eastAsia="pt-BR"/>
              </w:rPr>
            </w:pPr>
            <w:r>
              <w:rPr>
                <w:snapToGrid w:val="0"/>
                <w:lang w:eastAsia="pt-BR"/>
              </w:rPr>
              <w:t>1999</w:t>
            </w:r>
          </w:p>
        </w:tc>
        <w:tc>
          <w:tcPr>
            <w:tcW w:w="2268"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lang w:eastAsia="pt-BR"/>
              </w:rPr>
            </w:pPr>
            <w:r>
              <w:rPr>
                <w:snapToGrid w:val="0"/>
                <w:lang w:eastAsia="pt-BR"/>
              </w:rPr>
              <w:t>% increase 1995</w:t>
            </w:r>
            <w:r>
              <w:rPr>
                <w:snapToGrid w:val="0"/>
                <w:lang w:eastAsia="pt-BR"/>
              </w:rPr>
              <w:noBreakHyphen/>
              <w:t>1999</w:t>
            </w:r>
          </w:p>
        </w:tc>
      </w:tr>
      <w:tr w:rsidR="00000000">
        <w:trPr>
          <w:trHeight w:val="250"/>
          <w:jc w:val="center"/>
        </w:trPr>
        <w:tc>
          <w:tcPr>
            <w:tcW w:w="2552" w:type="dxa"/>
            <w:tcBorders>
              <w:top w:val="single" w:sz="6" w:space="0" w:color="auto"/>
              <w:left w:val="single" w:sz="6" w:space="0" w:color="auto"/>
              <w:right w:val="single" w:sz="6" w:space="0" w:color="auto"/>
            </w:tcBorders>
          </w:tcPr>
          <w:p w:rsidR="00000000" w:rsidRDefault="00000000">
            <w:pPr>
              <w:rPr>
                <w:snapToGrid w:val="0"/>
                <w:lang w:eastAsia="pt-BR"/>
              </w:rPr>
            </w:pPr>
            <w:r>
              <w:rPr>
                <w:snapToGrid w:val="0"/>
                <w:lang w:eastAsia="pt-BR"/>
              </w:rPr>
              <w:t>Health care</w:t>
            </w:r>
          </w:p>
        </w:tc>
        <w:tc>
          <w:tcPr>
            <w:tcW w:w="1275" w:type="dxa"/>
            <w:tcBorders>
              <w:top w:val="single" w:sz="6" w:space="0" w:color="auto"/>
              <w:left w:val="single" w:sz="6" w:space="0" w:color="auto"/>
              <w:right w:val="single" w:sz="6" w:space="0" w:color="auto"/>
            </w:tcBorders>
          </w:tcPr>
          <w:p w:rsidR="00000000" w:rsidRDefault="00000000">
            <w:pPr>
              <w:ind w:right="111"/>
              <w:jc w:val="right"/>
              <w:rPr>
                <w:snapToGrid w:val="0"/>
                <w:lang w:eastAsia="pt-BR"/>
              </w:rPr>
            </w:pPr>
            <w:r>
              <w:rPr>
                <w:snapToGrid w:val="0"/>
                <w:lang w:eastAsia="pt-BR"/>
              </w:rPr>
              <w:t>5 360 186</w:t>
            </w:r>
          </w:p>
        </w:tc>
        <w:tc>
          <w:tcPr>
            <w:tcW w:w="1276" w:type="dxa"/>
            <w:tcBorders>
              <w:top w:val="single" w:sz="6" w:space="0" w:color="auto"/>
              <w:left w:val="single" w:sz="6" w:space="0" w:color="auto"/>
              <w:right w:val="single" w:sz="6" w:space="0" w:color="auto"/>
            </w:tcBorders>
          </w:tcPr>
          <w:p w:rsidR="00000000" w:rsidRDefault="00000000">
            <w:pPr>
              <w:ind w:right="112"/>
              <w:jc w:val="right"/>
              <w:rPr>
                <w:snapToGrid w:val="0"/>
                <w:lang w:eastAsia="pt-BR"/>
              </w:rPr>
            </w:pPr>
            <w:r>
              <w:rPr>
                <w:snapToGrid w:val="0"/>
                <w:lang w:eastAsia="pt-BR"/>
              </w:rPr>
              <w:t>8 855 688</w:t>
            </w:r>
          </w:p>
        </w:tc>
        <w:tc>
          <w:tcPr>
            <w:tcW w:w="2268" w:type="dxa"/>
            <w:tcBorders>
              <w:top w:val="single" w:sz="6" w:space="0" w:color="auto"/>
              <w:left w:val="single" w:sz="6" w:space="0" w:color="auto"/>
              <w:right w:val="single" w:sz="6" w:space="0" w:color="auto"/>
            </w:tcBorders>
          </w:tcPr>
          <w:p w:rsidR="00000000" w:rsidRDefault="00000000">
            <w:pPr>
              <w:ind w:right="962"/>
              <w:jc w:val="right"/>
              <w:rPr>
                <w:snapToGrid w:val="0"/>
                <w:lang w:eastAsia="pt-BR"/>
              </w:rPr>
            </w:pPr>
            <w:r>
              <w:rPr>
                <w:snapToGrid w:val="0"/>
                <w:lang w:eastAsia="pt-BR"/>
              </w:rPr>
              <w:t>65.2</w:t>
            </w:r>
          </w:p>
        </w:tc>
      </w:tr>
      <w:tr w:rsidR="00000000">
        <w:trPr>
          <w:trHeight w:val="250"/>
          <w:jc w:val="center"/>
        </w:trPr>
        <w:tc>
          <w:tcPr>
            <w:tcW w:w="2552" w:type="dxa"/>
            <w:tcBorders>
              <w:left w:val="single" w:sz="6" w:space="0" w:color="auto"/>
              <w:right w:val="single" w:sz="6" w:space="0" w:color="auto"/>
            </w:tcBorders>
          </w:tcPr>
          <w:p w:rsidR="00000000" w:rsidRDefault="00000000">
            <w:pPr>
              <w:rPr>
                <w:snapToGrid w:val="0"/>
                <w:lang w:eastAsia="pt-BR"/>
              </w:rPr>
            </w:pPr>
            <w:r>
              <w:rPr>
                <w:snapToGrid w:val="0"/>
                <w:lang w:eastAsia="pt-BR"/>
              </w:rPr>
              <w:t>A.  Basic treatment</w:t>
            </w:r>
          </w:p>
        </w:tc>
        <w:tc>
          <w:tcPr>
            <w:tcW w:w="1275" w:type="dxa"/>
            <w:tcBorders>
              <w:left w:val="single" w:sz="6" w:space="0" w:color="auto"/>
              <w:right w:val="single" w:sz="6" w:space="0" w:color="auto"/>
            </w:tcBorders>
          </w:tcPr>
          <w:p w:rsidR="00000000" w:rsidRDefault="00000000">
            <w:pPr>
              <w:ind w:right="111"/>
              <w:jc w:val="right"/>
              <w:rPr>
                <w:snapToGrid w:val="0"/>
                <w:lang w:eastAsia="pt-BR"/>
              </w:rPr>
            </w:pPr>
            <w:r>
              <w:rPr>
                <w:snapToGrid w:val="0"/>
                <w:lang w:eastAsia="pt-BR"/>
              </w:rPr>
              <w:t>1 194 271</w:t>
            </w:r>
          </w:p>
        </w:tc>
        <w:tc>
          <w:tcPr>
            <w:tcW w:w="1276" w:type="dxa"/>
            <w:tcBorders>
              <w:left w:val="single" w:sz="6" w:space="0" w:color="auto"/>
              <w:right w:val="single" w:sz="6" w:space="0" w:color="auto"/>
            </w:tcBorders>
          </w:tcPr>
          <w:p w:rsidR="00000000" w:rsidRDefault="00000000">
            <w:pPr>
              <w:ind w:right="112"/>
              <w:jc w:val="right"/>
              <w:rPr>
                <w:snapToGrid w:val="0"/>
                <w:lang w:eastAsia="pt-BR"/>
              </w:rPr>
            </w:pPr>
            <w:r>
              <w:rPr>
                <w:snapToGrid w:val="0"/>
                <w:lang w:eastAsia="pt-BR"/>
              </w:rPr>
              <w:t>2 144 282</w:t>
            </w:r>
          </w:p>
        </w:tc>
        <w:tc>
          <w:tcPr>
            <w:tcW w:w="2268" w:type="dxa"/>
            <w:tcBorders>
              <w:left w:val="single" w:sz="6" w:space="0" w:color="auto"/>
              <w:right w:val="single" w:sz="6" w:space="0" w:color="auto"/>
            </w:tcBorders>
          </w:tcPr>
          <w:p w:rsidR="00000000" w:rsidRDefault="00000000">
            <w:pPr>
              <w:ind w:right="962"/>
              <w:jc w:val="right"/>
              <w:rPr>
                <w:snapToGrid w:val="0"/>
                <w:lang w:eastAsia="pt-BR"/>
              </w:rPr>
            </w:pPr>
            <w:r>
              <w:rPr>
                <w:snapToGrid w:val="0"/>
                <w:lang w:eastAsia="pt-BR"/>
              </w:rPr>
              <w:t>79.5</w:t>
            </w:r>
          </w:p>
        </w:tc>
      </w:tr>
      <w:tr w:rsidR="00000000">
        <w:trPr>
          <w:trHeight w:val="250"/>
          <w:jc w:val="center"/>
        </w:trPr>
        <w:tc>
          <w:tcPr>
            <w:tcW w:w="2552" w:type="dxa"/>
            <w:tcBorders>
              <w:left w:val="single" w:sz="6" w:space="0" w:color="auto"/>
              <w:right w:val="single" w:sz="6" w:space="0" w:color="auto"/>
            </w:tcBorders>
          </w:tcPr>
          <w:p w:rsidR="00000000" w:rsidRDefault="00000000">
            <w:pPr>
              <w:rPr>
                <w:snapToGrid w:val="0"/>
                <w:lang w:eastAsia="pt-BR"/>
              </w:rPr>
            </w:pPr>
            <w:r>
              <w:rPr>
                <w:snapToGrid w:val="0"/>
                <w:lang w:eastAsia="pt-BR"/>
              </w:rPr>
              <w:t>B.  Basic infrastructure</w:t>
            </w:r>
          </w:p>
        </w:tc>
        <w:tc>
          <w:tcPr>
            <w:tcW w:w="1275" w:type="dxa"/>
            <w:tcBorders>
              <w:left w:val="single" w:sz="6" w:space="0" w:color="auto"/>
              <w:right w:val="single" w:sz="6" w:space="0" w:color="auto"/>
            </w:tcBorders>
          </w:tcPr>
          <w:p w:rsidR="00000000" w:rsidRDefault="00000000">
            <w:pPr>
              <w:ind w:right="111"/>
              <w:jc w:val="right"/>
              <w:rPr>
                <w:snapToGrid w:val="0"/>
                <w:lang w:eastAsia="pt-BR"/>
              </w:rPr>
            </w:pPr>
            <w:r>
              <w:rPr>
                <w:snapToGrid w:val="0"/>
                <w:lang w:eastAsia="pt-BR"/>
              </w:rPr>
              <w:t>1 003 021</w:t>
            </w:r>
          </w:p>
        </w:tc>
        <w:tc>
          <w:tcPr>
            <w:tcW w:w="1276" w:type="dxa"/>
            <w:tcBorders>
              <w:left w:val="single" w:sz="6" w:space="0" w:color="auto"/>
              <w:right w:val="single" w:sz="6" w:space="0" w:color="auto"/>
            </w:tcBorders>
          </w:tcPr>
          <w:p w:rsidR="00000000" w:rsidRDefault="00000000">
            <w:pPr>
              <w:ind w:right="112"/>
              <w:jc w:val="right"/>
              <w:rPr>
                <w:snapToGrid w:val="0"/>
                <w:lang w:eastAsia="pt-BR"/>
              </w:rPr>
            </w:pPr>
            <w:r>
              <w:rPr>
                <w:snapToGrid w:val="0"/>
                <w:lang w:eastAsia="pt-BR"/>
              </w:rPr>
              <w:t>1 926 008</w:t>
            </w:r>
          </w:p>
        </w:tc>
        <w:tc>
          <w:tcPr>
            <w:tcW w:w="2268" w:type="dxa"/>
            <w:tcBorders>
              <w:left w:val="single" w:sz="6" w:space="0" w:color="auto"/>
              <w:right w:val="single" w:sz="6" w:space="0" w:color="auto"/>
            </w:tcBorders>
          </w:tcPr>
          <w:p w:rsidR="00000000" w:rsidRDefault="00000000">
            <w:pPr>
              <w:ind w:right="962"/>
              <w:jc w:val="right"/>
              <w:rPr>
                <w:snapToGrid w:val="0"/>
                <w:lang w:eastAsia="pt-BR"/>
              </w:rPr>
            </w:pPr>
            <w:r>
              <w:rPr>
                <w:snapToGrid w:val="0"/>
                <w:lang w:eastAsia="pt-BR"/>
              </w:rPr>
              <w:t>92.0</w:t>
            </w:r>
          </w:p>
        </w:tc>
      </w:tr>
      <w:tr w:rsidR="00000000">
        <w:trPr>
          <w:trHeight w:val="250"/>
          <w:jc w:val="center"/>
        </w:trPr>
        <w:tc>
          <w:tcPr>
            <w:tcW w:w="2552" w:type="dxa"/>
            <w:tcBorders>
              <w:left w:val="single" w:sz="6" w:space="0" w:color="auto"/>
              <w:right w:val="single" w:sz="6" w:space="0" w:color="auto"/>
            </w:tcBorders>
          </w:tcPr>
          <w:p w:rsidR="00000000" w:rsidRDefault="00000000">
            <w:pPr>
              <w:rPr>
                <w:snapToGrid w:val="0"/>
                <w:lang w:eastAsia="pt-BR"/>
              </w:rPr>
            </w:pPr>
            <w:r>
              <w:rPr>
                <w:snapToGrid w:val="0"/>
                <w:lang w:eastAsia="pt-BR"/>
              </w:rPr>
              <w:t>Sanitation</w:t>
            </w:r>
          </w:p>
        </w:tc>
        <w:tc>
          <w:tcPr>
            <w:tcW w:w="1275" w:type="dxa"/>
            <w:tcBorders>
              <w:left w:val="single" w:sz="6" w:space="0" w:color="auto"/>
              <w:right w:val="single" w:sz="6" w:space="0" w:color="auto"/>
            </w:tcBorders>
          </w:tcPr>
          <w:p w:rsidR="00000000" w:rsidRDefault="00000000">
            <w:pPr>
              <w:ind w:right="111"/>
              <w:jc w:val="right"/>
              <w:rPr>
                <w:snapToGrid w:val="0"/>
                <w:lang w:eastAsia="pt-BR"/>
              </w:rPr>
            </w:pPr>
            <w:r>
              <w:rPr>
                <w:snapToGrid w:val="0"/>
                <w:lang w:eastAsia="pt-BR"/>
              </w:rPr>
              <w:t>64 443</w:t>
            </w:r>
          </w:p>
        </w:tc>
        <w:tc>
          <w:tcPr>
            <w:tcW w:w="1276" w:type="dxa"/>
            <w:tcBorders>
              <w:left w:val="single" w:sz="6" w:space="0" w:color="auto"/>
              <w:right w:val="single" w:sz="6" w:space="0" w:color="auto"/>
            </w:tcBorders>
          </w:tcPr>
          <w:p w:rsidR="00000000" w:rsidRDefault="00000000">
            <w:pPr>
              <w:ind w:right="112"/>
              <w:jc w:val="right"/>
              <w:rPr>
                <w:snapToGrid w:val="0"/>
                <w:lang w:eastAsia="pt-BR"/>
              </w:rPr>
            </w:pPr>
            <w:r>
              <w:rPr>
                <w:snapToGrid w:val="0"/>
                <w:lang w:eastAsia="pt-BR"/>
              </w:rPr>
              <w:t>363 790</w:t>
            </w:r>
          </w:p>
        </w:tc>
        <w:tc>
          <w:tcPr>
            <w:tcW w:w="2268" w:type="dxa"/>
            <w:tcBorders>
              <w:left w:val="single" w:sz="6" w:space="0" w:color="auto"/>
              <w:right w:val="single" w:sz="6" w:space="0" w:color="auto"/>
            </w:tcBorders>
          </w:tcPr>
          <w:p w:rsidR="00000000" w:rsidRDefault="00000000">
            <w:pPr>
              <w:ind w:right="962"/>
              <w:jc w:val="right"/>
              <w:rPr>
                <w:snapToGrid w:val="0"/>
                <w:lang w:eastAsia="pt-BR"/>
              </w:rPr>
            </w:pPr>
            <w:r>
              <w:rPr>
                <w:snapToGrid w:val="0"/>
                <w:lang w:eastAsia="pt-BR"/>
              </w:rPr>
              <w:t>464.5</w:t>
            </w:r>
          </w:p>
        </w:tc>
      </w:tr>
      <w:tr w:rsidR="00000000">
        <w:trPr>
          <w:trHeight w:val="250"/>
          <w:jc w:val="center"/>
        </w:trPr>
        <w:tc>
          <w:tcPr>
            <w:tcW w:w="2552" w:type="dxa"/>
            <w:tcBorders>
              <w:left w:val="single" w:sz="6" w:space="0" w:color="auto"/>
              <w:right w:val="single" w:sz="6" w:space="0" w:color="auto"/>
            </w:tcBorders>
          </w:tcPr>
          <w:p w:rsidR="00000000" w:rsidRDefault="00000000">
            <w:pPr>
              <w:rPr>
                <w:snapToGrid w:val="0"/>
                <w:lang w:eastAsia="pt-BR"/>
              </w:rPr>
            </w:pPr>
            <w:r>
              <w:rPr>
                <w:snapToGrid w:val="0"/>
                <w:lang w:eastAsia="pt-BR"/>
              </w:rPr>
              <w:t>Investment</w:t>
            </w:r>
          </w:p>
        </w:tc>
        <w:tc>
          <w:tcPr>
            <w:tcW w:w="1275" w:type="dxa"/>
            <w:tcBorders>
              <w:left w:val="single" w:sz="6" w:space="0" w:color="auto"/>
              <w:right w:val="single" w:sz="6" w:space="0" w:color="auto"/>
            </w:tcBorders>
          </w:tcPr>
          <w:p w:rsidR="00000000" w:rsidRDefault="00000000">
            <w:pPr>
              <w:ind w:right="111"/>
              <w:jc w:val="right"/>
              <w:rPr>
                <w:snapToGrid w:val="0"/>
                <w:lang w:eastAsia="pt-BR"/>
              </w:rPr>
            </w:pPr>
            <w:r>
              <w:rPr>
                <w:snapToGrid w:val="0"/>
                <w:lang w:eastAsia="pt-BR"/>
              </w:rPr>
              <w:t>377 302</w:t>
            </w:r>
          </w:p>
        </w:tc>
        <w:tc>
          <w:tcPr>
            <w:tcW w:w="1276" w:type="dxa"/>
            <w:tcBorders>
              <w:left w:val="single" w:sz="6" w:space="0" w:color="auto"/>
              <w:right w:val="single" w:sz="6" w:space="0" w:color="auto"/>
            </w:tcBorders>
          </w:tcPr>
          <w:p w:rsidR="00000000" w:rsidRDefault="00000000">
            <w:pPr>
              <w:ind w:right="112"/>
              <w:jc w:val="right"/>
              <w:rPr>
                <w:snapToGrid w:val="0"/>
                <w:lang w:eastAsia="pt-BR"/>
              </w:rPr>
            </w:pPr>
            <w:r>
              <w:rPr>
                <w:snapToGrid w:val="0"/>
                <w:lang w:eastAsia="pt-BR"/>
              </w:rPr>
              <w:t>785 786</w:t>
            </w:r>
          </w:p>
        </w:tc>
        <w:tc>
          <w:tcPr>
            <w:tcW w:w="2268" w:type="dxa"/>
            <w:tcBorders>
              <w:left w:val="single" w:sz="6" w:space="0" w:color="auto"/>
              <w:right w:val="single" w:sz="6" w:space="0" w:color="auto"/>
            </w:tcBorders>
          </w:tcPr>
          <w:p w:rsidR="00000000" w:rsidRDefault="00000000">
            <w:pPr>
              <w:ind w:right="962"/>
              <w:jc w:val="right"/>
              <w:rPr>
                <w:snapToGrid w:val="0"/>
                <w:lang w:eastAsia="pt-BR"/>
              </w:rPr>
            </w:pPr>
            <w:r>
              <w:rPr>
                <w:snapToGrid w:val="0"/>
                <w:lang w:eastAsia="pt-BR"/>
              </w:rPr>
              <w:t>108.3</w:t>
            </w:r>
          </w:p>
        </w:tc>
      </w:tr>
      <w:tr w:rsidR="00000000">
        <w:trPr>
          <w:trHeight w:val="250"/>
          <w:jc w:val="center"/>
        </w:trPr>
        <w:tc>
          <w:tcPr>
            <w:tcW w:w="2552" w:type="dxa"/>
            <w:tcBorders>
              <w:left w:val="single" w:sz="6" w:space="0" w:color="auto"/>
              <w:right w:val="single" w:sz="6" w:space="0" w:color="auto"/>
            </w:tcBorders>
          </w:tcPr>
          <w:p w:rsidR="00000000" w:rsidRDefault="00000000">
            <w:pPr>
              <w:rPr>
                <w:snapToGrid w:val="0"/>
                <w:lang w:eastAsia="pt-BR"/>
              </w:rPr>
            </w:pPr>
            <w:r>
              <w:rPr>
                <w:snapToGrid w:val="0"/>
                <w:lang w:eastAsia="pt-BR"/>
              </w:rPr>
              <w:t>Defrayal</w:t>
            </w:r>
          </w:p>
        </w:tc>
        <w:tc>
          <w:tcPr>
            <w:tcW w:w="1275" w:type="dxa"/>
            <w:tcBorders>
              <w:left w:val="single" w:sz="6" w:space="0" w:color="auto"/>
              <w:right w:val="single" w:sz="6" w:space="0" w:color="auto"/>
            </w:tcBorders>
          </w:tcPr>
          <w:p w:rsidR="00000000" w:rsidRDefault="00000000">
            <w:pPr>
              <w:ind w:right="111"/>
              <w:jc w:val="right"/>
              <w:rPr>
                <w:snapToGrid w:val="0"/>
                <w:lang w:eastAsia="pt-BR"/>
              </w:rPr>
            </w:pPr>
            <w:r>
              <w:rPr>
                <w:snapToGrid w:val="0"/>
                <w:lang w:eastAsia="pt-BR"/>
              </w:rPr>
              <w:t>561 276</w:t>
            </w:r>
          </w:p>
        </w:tc>
        <w:tc>
          <w:tcPr>
            <w:tcW w:w="1276" w:type="dxa"/>
            <w:tcBorders>
              <w:left w:val="single" w:sz="6" w:space="0" w:color="auto"/>
              <w:right w:val="single" w:sz="6" w:space="0" w:color="auto"/>
            </w:tcBorders>
          </w:tcPr>
          <w:p w:rsidR="00000000" w:rsidRDefault="00000000">
            <w:pPr>
              <w:ind w:right="112"/>
              <w:jc w:val="right"/>
              <w:rPr>
                <w:snapToGrid w:val="0"/>
                <w:lang w:eastAsia="pt-BR"/>
              </w:rPr>
            </w:pPr>
            <w:r>
              <w:rPr>
                <w:snapToGrid w:val="0"/>
                <w:lang w:eastAsia="pt-BR"/>
              </w:rPr>
              <w:t>776 432</w:t>
            </w:r>
          </w:p>
        </w:tc>
        <w:tc>
          <w:tcPr>
            <w:tcW w:w="2268" w:type="dxa"/>
            <w:tcBorders>
              <w:left w:val="single" w:sz="6" w:space="0" w:color="auto"/>
              <w:right w:val="single" w:sz="6" w:space="0" w:color="auto"/>
            </w:tcBorders>
          </w:tcPr>
          <w:p w:rsidR="00000000" w:rsidRDefault="00000000">
            <w:pPr>
              <w:ind w:right="962"/>
              <w:jc w:val="right"/>
              <w:rPr>
                <w:snapToGrid w:val="0"/>
                <w:lang w:eastAsia="pt-BR"/>
              </w:rPr>
            </w:pPr>
            <w:r>
              <w:rPr>
                <w:snapToGrid w:val="0"/>
                <w:lang w:eastAsia="pt-BR"/>
              </w:rPr>
              <w:t>38.3</w:t>
            </w:r>
          </w:p>
        </w:tc>
      </w:tr>
      <w:tr w:rsidR="00000000">
        <w:trPr>
          <w:trHeight w:val="250"/>
          <w:jc w:val="center"/>
        </w:trPr>
        <w:tc>
          <w:tcPr>
            <w:tcW w:w="2552" w:type="dxa"/>
            <w:tcBorders>
              <w:left w:val="single" w:sz="6" w:space="0" w:color="auto"/>
              <w:right w:val="single" w:sz="6" w:space="0" w:color="auto"/>
            </w:tcBorders>
          </w:tcPr>
          <w:p w:rsidR="00000000" w:rsidRDefault="00000000">
            <w:pPr>
              <w:rPr>
                <w:snapToGrid w:val="0"/>
                <w:lang w:eastAsia="pt-BR"/>
              </w:rPr>
            </w:pPr>
            <w:r>
              <w:rPr>
                <w:snapToGrid w:val="0"/>
                <w:lang w:eastAsia="pt-BR"/>
              </w:rPr>
              <w:t>C.  Disease control</w:t>
            </w:r>
          </w:p>
        </w:tc>
        <w:tc>
          <w:tcPr>
            <w:tcW w:w="1275" w:type="dxa"/>
            <w:tcBorders>
              <w:left w:val="single" w:sz="6" w:space="0" w:color="auto"/>
              <w:right w:val="single" w:sz="6" w:space="0" w:color="auto"/>
            </w:tcBorders>
          </w:tcPr>
          <w:p w:rsidR="00000000" w:rsidRDefault="00000000">
            <w:pPr>
              <w:ind w:right="111"/>
              <w:jc w:val="right"/>
              <w:rPr>
                <w:snapToGrid w:val="0"/>
                <w:lang w:eastAsia="pt-BR"/>
              </w:rPr>
            </w:pPr>
            <w:r>
              <w:rPr>
                <w:snapToGrid w:val="0"/>
                <w:lang w:eastAsia="pt-BR"/>
              </w:rPr>
              <w:t>228 668</w:t>
            </w:r>
          </w:p>
        </w:tc>
        <w:tc>
          <w:tcPr>
            <w:tcW w:w="1276" w:type="dxa"/>
            <w:tcBorders>
              <w:left w:val="single" w:sz="6" w:space="0" w:color="auto"/>
              <w:right w:val="single" w:sz="6" w:space="0" w:color="auto"/>
            </w:tcBorders>
          </w:tcPr>
          <w:p w:rsidR="00000000" w:rsidRDefault="00000000">
            <w:pPr>
              <w:ind w:right="112"/>
              <w:jc w:val="right"/>
              <w:rPr>
                <w:snapToGrid w:val="0"/>
                <w:lang w:eastAsia="pt-BR"/>
              </w:rPr>
            </w:pPr>
            <w:r>
              <w:rPr>
                <w:snapToGrid w:val="0"/>
                <w:lang w:eastAsia="pt-BR"/>
              </w:rPr>
              <w:t>806 574</w:t>
            </w:r>
          </w:p>
        </w:tc>
        <w:tc>
          <w:tcPr>
            <w:tcW w:w="2268" w:type="dxa"/>
            <w:tcBorders>
              <w:left w:val="single" w:sz="6" w:space="0" w:color="auto"/>
              <w:right w:val="single" w:sz="6" w:space="0" w:color="auto"/>
            </w:tcBorders>
          </w:tcPr>
          <w:p w:rsidR="00000000" w:rsidRDefault="00000000">
            <w:pPr>
              <w:ind w:right="962"/>
              <w:jc w:val="right"/>
              <w:rPr>
                <w:snapToGrid w:val="0"/>
                <w:lang w:eastAsia="pt-BR"/>
              </w:rPr>
            </w:pPr>
            <w:r>
              <w:rPr>
                <w:snapToGrid w:val="0"/>
                <w:lang w:eastAsia="pt-BR"/>
              </w:rPr>
              <w:t>252.7</w:t>
            </w:r>
          </w:p>
        </w:tc>
      </w:tr>
      <w:tr w:rsidR="00000000">
        <w:trPr>
          <w:trHeight w:val="250"/>
          <w:jc w:val="center"/>
        </w:trPr>
        <w:tc>
          <w:tcPr>
            <w:tcW w:w="2552" w:type="dxa"/>
            <w:tcBorders>
              <w:left w:val="single" w:sz="6" w:space="0" w:color="auto"/>
              <w:right w:val="single" w:sz="6" w:space="0" w:color="auto"/>
            </w:tcBorders>
          </w:tcPr>
          <w:p w:rsidR="00000000" w:rsidRDefault="00000000">
            <w:pPr>
              <w:rPr>
                <w:snapToGrid w:val="0"/>
                <w:lang w:eastAsia="pt-BR"/>
              </w:rPr>
            </w:pPr>
            <w:r>
              <w:rPr>
                <w:snapToGrid w:val="0"/>
                <w:lang w:eastAsia="pt-BR"/>
              </w:rPr>
              <w:t>Vaccines</w:t>
            </w:r>
          </w:p>
        </w:tc>
        <w:tc>
          <w:tcPr>
            <w:tcW w:w="1275" w:type="dxa"/>
            <w:tcBorders>
              <w:left w:val="single" w:sz="6" w:space="0" w:color="auto"/>
              <w:right w:val="single" w:sz="6" w:space="0" w:color="auto"/>
            </w:tcBorders>
          </w:tcPr>
          <w:p w:rsidR="00000000" w:rsidRDefault="00000000">
            <w:pPr>
              <w:ind w:right="111"/>
              <w:jc w:val="right"/>
              <w:rPr>
                <w:snapToGrid w:val="0"/>
                <w:lang w:eastAsia="pt-BR"/>
              </w:rPr>
            </w:pPr>
            <w:r>
              <w:rPr>
                <w:snapToGrid w:val="0"/>
                <w:lang w:eastAsia="pt-BR"/>
              </w:rPr>
              <w:t>83 152</w:t>
            </w:r>
          </w:p>
        </w:tc>
        <w:tc>
          <w:tcPr>
            <w:tcW w:w="1276" w:type="dxa"/>
            <w:tcBorders>
              <w:left w:val="single" w:sz="6" w:space="0" w:color="auto"/>
              <w:right w:val="single" w:sz="6" w:space="0" w:color="auto"/>
            </w:tcBorders>
          </w:tcPr>
          <w:p w:rsidR="00000000" w:rsidRDefault="00000000">
            <w:pPr>
              <w:ind w:right="112"/>
              <w:jc w:val="right"/>
              <w:rPr>
                <w:snapToGrid w:val="0"/>
                <w:lang w:eastAsia="pt-BR"/>
              </w:rPr>
            </w:pPr>
            <w:r>
              <w:rPr>
                <w:snapToGrid w:val="0"/>
                <w:lang w:eastAsia="pt-BR"/>
              </w:rPr>
              <w:t>262 968</w:t>
            </w:r>
          </w:p>
        </w:tc>
        <w:tc>
          <w:tcPr>
            <w:tcW w:w="2268" w:type="dxa"/>
            <w:tcBorders>
              <w:left w:val="single" w:sz="6" w:space="0" w:color="auto"/>
              <w:right w:val="single" w:sz="6" w:space="0" w:color="auto"/>
            </w:tcBorders>
          </w:tcPr>
          <w:p w:rsidR="00000000" w:rsidRDefault="00000000">
            <w:pPr>
              <w:ind w:right="962"/>
              <w:jc w:val="right"/>
              <w:rPr>
                <w:snapToGrid w:val="0"/>
                <w:lang w:eastAsia="pt-BR"/>
              </w:rPr>
            </w:pPr>
            <w:r>
              <w:rPr>
                <w:snapToGrid w:val="0"/>
                <w:lang w:eastAsia="pt-BR"/>
              </w:rPr>
              <w:t>216.2</w:t>
            </w:r>
          </w:p>
        </w:tc>
      </w:tr>
      <w:tr w:rsidR="00000000">
        <w:trPr>
          <w:trHeight w:val="250"/>
          <w:jc w:val="center"/>
        </w:trPr>
        <w:tc>
          <w:tcPr>
            <w:tcW w:w="2552" w:type="dxa"/>
            <w:tcBorders>
              <w:left w:val="single" w:sz="6" w:space="0" w:color="auto"/>
              <w:right w:val="single" w:sz="6" w:space="0" w:color="auto"/>
            </w:tcBorders>
          </w:tcPr>
          <w:p w:rsidR="00000000" w:rsidRDefault="00000000">
            <w:pPr>
              <w:rPr>
                <w:snapToGrid w:val="0"/>
                <w:lang w:eastAsia="pt-BR"/>
              </w:rPr>
            </w:pPr>
            <w:r>
              <w:rPr>
                <w:snapToGrid w:val="0"/>
                <w:lang w:eastAsia="pt-BR"/>
              </w:rPr>
              <w:t>Endemic disease control</w:t>
            </w:r>
          </w:p>
        </w:tc>
        <w:tc>
          <w:tcPr>
            <w:tcW w:w="1275" w:type="dxa"/>
            <w:tcBorders>
              <w:left w:val="single" w:sz="6" w:space="0" w:color="auto"/>
              <w:right w:val="single" w:sz="6" w:space="0" w:color="auto"/>
            </w:tcBorders>
          </w:tcPr>
          <w:p w:rsidR="00000000" w:rsidRDefault="00000000">
            <w:pPr>
              <w:ind w:right="111"/>
              <w:jc w:val="right"/>
              <w:rPr>
                <w:snapToGrid w:val="0"/>
                <w:lang w:eastAsia="pt-BR"/>
              </w:rPr>
            </w:pPr>
            <w:r>
              <w:rPr>
                <w:snapToGrid w:val="0"/>
                <w:lang w:eastAsia="pt-BR"/>
              </w:rPr>
              <w:t>145 516</w:t>
            </w:r>
          </w:p>
        </w:tc>
        <w:tc>
          <w:tcPr>
            <w:tcW w:w="1276" w:type="dxa"/>
            <w:tcBorders>
              <w:left w:val="single" w:sz="6" w:space="0" w:color="auto"/>
              <w:right w:val="single" w:sz="6" w:space="0" w:color="auto"/>
            </w:tcBorders>
          </w:tcPr>
          <w:p w:rsidR="00000000" w:rsidRDefault="00000000">
            <w:pPr>
              <w:ind w:right="112"/>
              <w:jc w:val="right"/>
              <w:rPr>
                <w:snapToGrid w:val="0"/>
                <w:lang w:eastAsia="pt-BR"/>
              </w:rPr>
            </w:pPr>
            <w:r>
              <w:rPr>
                <w:snapToGrid w:val="0"/>
                <w:lang w:eastAsia="pt-BR"/>
              </w:rPr>
              <w:t>543 606</w:t>
            </w:r>
          </w:p>
        </w:tc>
        <w:tc>
          <w:tcPr>
            <w:tcW w:w="2268" w:type="dxa"/>
            <w:tcBorders>
              <w:left w:val="single" w:sz="6" w:space="0" w:color="auto"/>
              <w:right w:val="single" w:sz="6" w:space="0" w:color="auto"/>
            </w:tcBorders>
          </w:tcPr>
          <w:p w:rsidR="00000000" w:rsidRDefault="00000000">
            <w:pPr>
              <w:ind w:right="962"/>
              <w:jc w:val="right"/>
              <w:rPr>
                <w:snapToGrid w:val="0"/>
                <w:lang w:eastAsia="pt-BR"/>
              </w:rPr>
            </w:pPr>
            <w:r>
              <w:rPr>
                <w:snapToGrid w:val="0"/>
                <w:lang w:eastAsia="pt-BR"/>
              </w:rPr>
              <w:t>273.6</w:t>
            </w:r>
          </w:p>
        </w:tc>
      </w:tr>
      <w:tr w:rsidR="00000000">
        <w:trPr>
          <w:trHeight w:val="250"/>
          <w:jc w:val="center"/>
        </w:trPr>
        <w:tc>
          <w:tcPr>
            <w:tcW w:w="2552" w:type="dxa"/>
            <w:tcBorders>
              <w:left w:val="single" w:sz="6" w:space="0" w:color="auto"/>
              <w:right w:val="single" w:sz="6" w:space="0" w:color="auto"/>
            </w:tcBorders>
          </w:tcPr>
          <w:p w:rsidR="00000000" w:rsidRDefault="00000000">
            <w:pPr>
              <w:rPr>
                <w:snapToGrid w:val="0"/>
                <w:lang w:eastAsia="pt-BR"/>
              </w:rPr>
            </w:pPr>
            <w:r>
              <w:rPr>
                <w:snapToGrid w:val="0"/>
                <w:lang w:eastAsia="pt-BR"/>
              </w:rPr>
              <w:t>D.  Medication</w:t>
            </w:r>
          </w:p>
        </w:tc>
        <w:tc>
          <w:tcPr>
            <w:tcW w:w="1275" w:type="dxa"/>
            <w:tcBorders>
              <w:left w:val="single" w:sz="6" w:space="0" w:color="auto"/>
              <w:right w:val="single" w:sz="6" w:space="0" w:color="auto"/>
            </w:tcBorders>
          </w:tcPr>
          <w:p w:rsidR="00000000" w:rsidRDefault="00000000">
            <w:pPr>
              <w:ind w:right="111"/>
              <w:jc w:val="right"/>
              <w:rPr>
                <w:snapToGrid w:val="0"/>
                <w:lang w:eastAsia="pt-BR"/>
              </w:rPr>
            </w:pPr>
            <w:r>
              <w:rPr>
                <w:snapToGrid w:val="0"/>
                <w:lang w:eastAsia="pt-BR"/>
              </w:rPr>
              <w:t>424 075</w:t>
            </w:r>
          </w:p>
        </w:tc>
        <w:tc>
          <w:tcPr>
            <w:tcW w:w="1276" w:type="dxa"/>
            <w:tcBorders>
              <w:left w:val="single" w:sz="6" w:space="0" w:color="auto"/>
              <w:right w:val="single" w:sz="6" w:space="0" w:color="auto"/>
            </w:tcBorders>
          </w:tcPr>
          <w:p w:rsidR="00000000" w:rsidRDefault="00000000">
            <w:pPr>
              <w:ind w:right="112"/>
              <w:jc w:val="right"/>
              <w:rPr>
                <w:snapToGrid w:val="0"/>
                <w:lang w:eastAsia="pt-BR"/>
              </w:rPr>
            </w:pPr>
            <w:r>
              <w:rPr>
                <w:snapToGrid w:val="0"/>
                <w:lang w:eastAsia="pt-BR"/>
              </w:rPr>
              <w:t>960 406</w:t>
            </w:r>
          </w:p>
        </w:tc>
        <w:tc>
          <w:tcPr>
            <w:tcW w:w="2268" w:type="dxa"/>
            <w:tcBorders>
              <w:left w:val="single" w:sz="6" w:space="0" w:color="auto"/>
              <w:right w:val="single" w:sz="6" w:space="0" w:color="auto"/>
            </w:tcBorders>
          </w:tcPr>
          <w:p w:rsidR="00000000" w:rsidRDefault="00000000">
            <w:pPr>
              <w:ind w:right="962"/>
              <w:jc w:val="right"/>
              <w:rPr>
                <w:snapToGrid w:val="0"/>
                <w:lang w:eastAsia="pt-BR"/>
              </w:rPr>
            </w:pPr>
            <w:r>
              <w:rPr>
                <w:snapToGrid w:val="0"/>
                <w:lang w:eastAsia="pt-BR"/>
              </w:rPr>
              <w:t>126.5</w:t>
            </w:r>
          </w:p>
        </w:tc>
      </w:tr>
      <w:tr w:rsidR="00000000">
        <w:trPr>
          <w:trHeight w:val="250"/>
          <w:jc w:val="center"/>
        </w:trPr>
        <w:tc>
          <w:tcPr>
            <w:tcW w:w="2552" w:type="dxa"/>
            <w:tcBorders>
              <w:left w:val="single" w:sz="6" w:space="0" w:color="auto"/>
              <w:right w:val="single" w:sz="6" w:space="0" w:color="auto"/>
            </w:tcBorders>
          </w:tcPr>
          <w:p w:rsidR="00000000" w:rsidRDefault="00000000">
            <w:pPr>
              <w:rPr>
                <w:snapToGrid w:val="0"/>
                <w:lang w:eastAsia="pt-BR"/>
              </w:rPr>
            </w:pPr>
            <w:r>
              <w:rPr>
                <w:snapToGrid w:val="0"/>
                <w:lang w:eastAsia="pt-BR"/>
              </w:rPr>
              <w:t>E.  Sanitary surveillance</w:t>
            </w:r>
          </w:p>
        </w:tc>
        <w:tc>
          <w:tcPr>
            <w:tcW w:w="1275" w:type="dxa"/>
            <w:tcBorders>
              <w:left w:val="single" w:sz="6" w:space="0" w:color="auto"/>
              <w:right w:val="single" w:sz="6" w:space="0" w:color="auto"/>
            </w:tcBorders>
          </w:tcPr>
          <w:p w:rsidR="00000000" w:rsidRDefault="00000000">
            <w:pPr>
              <w:ind w:right="111"/>
              <w:jc w:val="right"/>
              <w:rPr>
                <w:snapToGrid w:val="0"/>
                <w:lang w:eastAsia="pt-BR"/>
              </w:rPr>
            </w:pPr>
            <w:r>
              <w:rPr>
                <w:snapToGrid w:val="0"/>
                <w:lang w:eastAsia="pt-BR"/>
              </w:rPr>
              <w:t>3 118</w:t>
            </w:r>
          </w:p>
        </w:tc>
        <w:tc>
          <w:tcPr>
            <w:tcW w:w="1276" w:type="dxa"/>
            <w:tcBorders>
              <w:left w:val="single" w:sz="6" w:space="0" w:color="auto"/>
              <w:right w:val="single" w:sz="6" w:space="0" w:color="auto"/>
            </w:tcBorders>
          </w:tcPr>
          <w:p w:rsidR="00000000" w:rsidRDefault="00000000">
            <w:pPr>
              <w:ind w:right="112"/>
              <w:jc w:val="right"/>
              <w:rPr>
                <w:snapToGrid w:val="0"/>
                <w:lang w:eastAsia="pt-BR"/>
              </w:rPr>
            </w:pPr>
            <w:r>
              <w:rPr>
                <w:snapToGrid w:val="0"/>
                <w:lang w:eastAsia="pt-BR"/>
              </w:rPr>
              <w:t>132 004</w:t>
            </w:r>
          </w:p>
        </w:tc>
        <w:tc>
          <w:tcPr>
            <w:tcW w:w="2268" w:type="dxa"/>
            <w:tcBorders>
              <w:left w:val="single" w:sz="6" w:space="0" w:color="auto"/>
              <w:right w:val="single" w:sz="6" w:space="0" w:color="auto"/>
            </w:tcBorders>
          </w:tcPr>
          <w:p w:rsidR="00000000" w:rsidRDefault="00000000">
            <w:pPr>
              <w:ind w:right="962"/>
              <w:jc w:val="right"/>
              <w:rPr>
                <w:snapToGrid w:val="0"/>
                <w:lang w:eastAsia="pt-BR"/>
              </w:rPr>
            </w:pPr>
            <w:r>
              <w:rPr>
                <w:snapToGrid w:val="0"/>
                <w:lang w:eastAsia="pt-BR"/>
              </w:rPr>
              <w:t>4133.6</w:t>
            </w:r>
          </w:p>
        </w:tc>
      </w:tr>
      <w:tr w:rsidR="00000000">
        <w:trPr>
          <w:trHeight w:val="250"/>
          <w:jc w:val="center"/>
        </w:trPr>
        <w:tc>
          <w:tcPr>
            <w:tcW w:w="2552" w:type="dxa"/>
            <w:tcBorders>
              <w:left w:val="single" w:sz="6" w:space="0" w:color="auto"/>
              <w:right w:val="single" w:sz="6" w:space="0" w:color="auto"/>
            </w:tcBorders>
          </w:tcPr>
          <w:p w:rsidR="00000000" w:rsidRDefault="00000000">
            <w:pPr>
              <w:rPr>
                <w:snapToGrid w:val="0"/>
                <w:lang w:eastAsia="pt-BR"/>
              </w:rPr>
            </w:pPr>
            <w:r>
              <w:rPr>
                <w:snapToGrid w:val="0"/>
                <w:lang w:eastAsia="pt-BR"/>
              </w:rPr>
              <w:t>F.  Staff</w:t>
            </w:r>
          </w:p>
        </w:tc>
        <w:tc>
          <w:tcPr>
            <w:tcW w:w="1275" w:type="dxa"/>
            <w:tcBorders>
              <w:left w:val="single" w:sz="6" w:space="0" w:color="auto"/>
              <w:right w:val="single" w:sz="6" w:space="0" w:color="auto"/>
            </w:tcBorders>
          </w:tcPr>
          <w:p w:rsidR="00000000" w:rsidRDefault="00000000">
            <w:pPr>
              <w:ind w:right="111"/>
              <w:jc w:val="right"/>
              <w:rPr>
                <w:snapToGrid w:val="0"/>
                <w:lang w:eastAsia="pt-BR"/>
              </w:rPr>
            </w:pPr>
            <w:r>
              <w:rPr>
                <w:snapToGrid w:val="0"/>
                <w:lang w:eastAsia="pt-BR"/>
              </w:rPr>
              <w:t>2 507 033</w:t>
            </w:r>
          </w:p>
        </w:tc>
        <w:tc>
          <w:tcPr>
            <w:tcW w:w="1276" w:type="dxa"/>
            <w:tcBorders>
              <w:left w:val="single" w:sz="6" w:space="0" w:color="auto"/>
              <w:right w:val="single" w:sz="6" w:space="0" w:color="auto"/>
            </w:tcBorders>
          </w:tcPr>
          <w:p w:rsidR="00000000" w:rsidRDefault="00000000">
            <w:pPr>
              <w:ind w:right="112"/>
              <w:jc w:val="right"/>
              <w:rPr>
                <w:snapToGrid w:val="0"/>
                <w:lang w:eastAsia="pt-BR"/>
              </w:rPr>
            </w:pPr>
            <w:r>
              <w:rPr>
                <w:snapToGrid w:val="0"/>
                <w:lang w:eastAsia="pt-BR"/>
              </w:rPr>
              <w:t>2 886 414</w:t>
            </w:r>
          </w:p>
        </w:tc>
        <w:tc>
          <w:tcPr>
            <w:tcW w:w="2268" w:type="dxa"/>
            <w:tcBorders>
              <w:left w:val="single" w:sz="6" w:space="0" w:color="auto"/>
              <w:right w:val="single" w:sz="6" w:space="0" w:color="auto"/>
            </w:tcBorders>
          </w:tcPr>
          <w:p w:rsidR="00000000" w:rsidRDefault="00000000">
            <w:pPr>
              <w:ind w:right="962"/>
              <w:jc w:val="right"/>
              <w:rPr>
                <w:snapToGrid w:val="0"/>
                <w:lang w:eastAsia="pt-BR"/>
              </w:rPr>
            </w:pPr>
            <w:r>
              <w:rPr>
                <w:snapToGrid w:val="0"/>
                <w:lang w:eastAsia="pt-BR"/>
              </w:rPr>
              <w:t>15.1</w:t>
            </w:r>
          </w:p>
        </w:tc>
      </w:tr>
      <w:tr w:rsidR="00000000">
        <w:trPr>
          <w:trHeight w:val="250"/>
          <w:jc w:val="center"/>
        </w:trPr>
        <w:tc>
          <w:tcPr>
            <w:tcW w:w="2552" w:type="dxa"/>
            <w:tcBorders>
              <w:left w:val="single" w:sz="6" w:space="0" w:color="auto"/>
              <w:bottom w:val="single" w:sz="6" w:space="0" w:color="auto"/>
              <w:right w:val="single" w:sz="6" w:space="0" w:color="auto"/>
            </w:tcBorders>
          </w:tcPr>
          <w:p w:rsidR="00000000" w:rsidRDefault="00000000">
            <w:pPr>
              <w:rPr>
                <w:snapToGrid w:val="0"/>
                <w:lang w:eastAsia="pt-BR"/>
              </w:rPr>
            </w:pPr>
            <w:r>
              <w:rPr>
                <w:snapToGrid w:val="0"/>
                <w:lang w:eastAsia="pt-BR"/>
              </w:rPr>
              <w:t>Sanitation</w:t>
            </w:r>
          </w:p>
        </w:tc>
        <w:tc>
          <w:tcPr>
            <w:tcW w:w="1275" w:type="dxa"/>
            <w:tcBorders>
              <w:left w:val="single" w:sz="6" w:space="0" w:color="auto"/>
              <w:bottom w:val="single" w:sz="6" w:space="0" w:color="auto"/>
              <w:right w:val="single" w:sz="6" w:space="0" w:color="auto"/>
            </w:tcBorders>
          </w:tcPr>
          <w:p w:rsidR="00000000" w:rsidRDefault="00000000">
            <w:pPr>
              <w:ind w:right="111"/>
              <w:jc w:val="right"/>
              <w:rPr>
                <w:snapToGrid w:val="0"/>
                <w:lang w:eastAsia="pt-BR"/>
              </w:rPr>
            </w:pPr>
            <w:r>
              <w:rPr>
                <w:snapToGrid w:val="0"/>
                <w:lang w:eastAsia="pt-BR"/>
              </w:rPr>
              <w:t>58 505</w:t>
            </w:r>
          </w:p>
        </w:tc>
        <w:tc>
          <w:tcPr>
            <w:tcW w:w="1276" w:type="dxa"/>
            <w:tcBorders>
              <w:left w:val="single" w:sz="6" w:space="0" w:color="auto"/>
              <w:bottom w:val="single" w:sz="6" w:space="0" w:color="auto"/>
              <w:right w:val="single" w:sz="6" w:space="0" w:color="auto"/>
            </w:tcBorders>
          </w:tcPr>
          <w:p w:rsidR="00000000" w:rsidRDefault="00000000">
            <w:pPr>
              <w:ind w:right="112"/>
              <w:jc w:val="right"/>
              <w:rPr>
                <w:snapToGrid w:val="0"/>
                <w:lang w:eastAsia="pt-BR"/>
              </w:rPr>
            </w:pPr>
            <w:r>
              <w:rPr>
                <w:snapToGrid w:val="0"/>
                <w:lang w:eastAsia="pt-BR"/>
              </w:rPr>
              <w:t>158 505</w:t>
            </w:r>
          </w:p>
        </w:tc>
        <w:tc>
          <w:tcPr>
            <w:tcW w:w="2268" w:type="dxa"/>
            <w:tcBorders>
              <w:left w:val="single" w:sz="6" w:space="0" w:color="auto"/>
              <w:bottom w:val="single" w:sz="6" w:space="0" w:color="auto"/>
              <w:right w:val="single" w:sz="6" w:space="0" w:color="auto"/>
            </w:tcBorders>
          </w:tcPr>
          <w:p w:rsidR="00000000" w:rsidRDefault="00000000">
            <w:pPr>
              <w:ind w:right="962"/>
              <w:jc w:val="right"/>
              <w:rPr>
                <w:snapToGrid w:val="0"/>
                <w:lang w:eastAsia="pt-BR"/>
              </w:rPr>
            </w:pPr>
            <w:r>
              <w:rPr>
                <w:snapToGrid w:val="0"/>
                <w:lang w:eastAsia="pt-BR"/>
              </w:rPr>
              <w:t>0.0</w:t>
            </w:r>
          </w:p>
        </w:tc>
      </w:tr>
      <w:tr w:rsidR="00000000">
        <w:trPr>
          <w:trHeight w:val="250"/>
          <w:jc w:val="center"/>
        </w:trPr>
        <w:tc>
          <w:tcPr>
            <w:tcW w:w="2552" w:type="dxa"/>
            <w:tcBorders>
              <w:top w:val="single" w:sz="6" w:space="0" w:color="auto"/>
              <w:left w:val="single" w:sz="6" w:space="0" w:color="auto"/>
              <w:bottom w:val="single" w:sz="6" w:space="0" w:color="auto"/>
              <w:right w:val="single" w:sz="6" w:space="0" w:color="auto"/>
            </w:tcBorders>
          </w:tcPr>
          <w:p w:rsidR="00000000" w:rsidRDefault="00000000">
            <w:pPr>
              <w:rPr>
                <w:snapToGrid w:val="0"/>
                <w:lang w:eastAsia="pt-BR"/>
              </w:rPr>
            </w:pPr>
            <w:r>
              <w:rPr>
                <w:snapToGrid w:val="0"/>
                <w:lang w:eastAsia="pt-BR"/>
              </w:rPr>
              <w:t xml:space="preserve">     Total</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ind w:right="111"/>
              <w:jc w:val="right"/>
              <w:rPr>
                <w:snapToGrid w:val="0"/>
                <w:lang w:eastAsia="pt-BR"/>
              </w:rPr>
            </w:pPr>
            <w:r>
              <w:rPr>
                <w:snapToGrid w:val="0"/>
                <w:lang w:eastAsia="pt-BR"/>
              </w:rPr>
              <w:t>5 518 691</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ind w:right="112"/>
              <w:jc w:val="right"/>
              <w:rPr>
                <w:snapToGrid w:val="0"/>
                <w:lang w:eastAsia="pt-BR"/>
              </w:rPr>
            </w:pPr>
            <w:r>
              <w:rPr>
                <w:snapToGrid w:val="0"/>
                <w:lang w:eastAsia="pt-BR"/>
              </w:rPr>
              <w:t>9 014 193</w:t>
            </w:r>
          </w:p>
        </w:tc>
        <w:tc>
          <w:tcPr>
            <w:tcW w:w="2268" w:type="dxa"/>
            <w:tcBorders>
              <w:top w:val="single" w:sz="6" w:space="0" w:color="auto"/>
              <w:left w:val="single" w:sz="6" w:space="0" w:color="auto"/>
              <w:bottom w:val="single" w:sz="6" w:space="0" w:color="auto"/>
              <w:right w:val="single" w:sz="6" w:space="0" w:color="auto"/>
            </w:tcBorders>
          </w:tcPr>
          <w:p w:rsidR="00000000" w:rsidRDefault="00000000">
            <w:pPr>
              <w:ind w:right="962"/>
              <w:jc w:val="right"/>
              <w:rPr>
                <w:snapToGrid w:val="0"/>
                <w:lang w:eastAsia="pt-BR"/>
              </w:rPr>
            </w:pPr>
            <w:r>
              <w:rPr>
                <w:snapToGrid w:val="0"/>
                <w:lang w:eastAsia="pt-BR"/>
              </w:rPr>
              <w:t>63.3</w:t>
            </w:r>
          </w:p>
        </w:tc>
      </w:tr>
    </w:tbl>
    <w:p w:rsidR="00000000" w:rsidRDefault="00000000">
      <w:pPr>
        <w:rPr>
          <w:snapToGrid w:val="0"/>
          <w:kern w:val="16"/>
          <w:lang w:eastAsia="pt-BR"/>
        </w:rPr>
      </w:pPr>
    </w:p>
    <w:p w:rsidR="00000000" w:rsidRDefault="00000000">
      <w:pPr>
        <w:rPr>
          <w:snapToGrid w:val="0"/>
          <w:kern w:val="16"/>
          <w:lang w:eastAsia="pt-BR"/>
        </w:rPr>
      </w:pPr>
      <w:r>
        <w:rPr>
          <w:snapToGrid w:val="0"/>
          <w:kern w:val="16"/>
          <w:lang w:eastAsia="pt-BR"/>
        </w:rPr>
        <w:tab/>
      </w:r>
      <w:r>
        <w:rPr>
          <w:snapToGrid w:val="0"/>
          <w:kern w:val="16"/>
          <w:lang w:eastAsia="pt-BR"/>
        </w:rPr>
        <w:tab/>
      </w:r>
      <w:r>
        <w:rPr>
          <w:snapToGrid w:val="0"/>
          <w:kern w:val="16"/>
          <w:u w:val="single"/>
          <w:lang w:eastAsia="pt-BR"/>
        </w:rPr>
        <w:t>Source</w:t>
      </w:r>
      <w:r>
        <w:rPr>
          <w:snapToGrid w:val="0"/>
          <w:kern w:val="16"/>
          <w:lang w:eastAsia="pt-BR"/>
        </w:rPr>
        <w:t>:  SIS/Ministry of Health.</w:t>
      </w:r>
    </w:p>
    <w:p w:rsidR="00000000" w:rsidRDefault="00000000">
      <w:pPr>
        <w:rPr>
          <w:snapToGrid w:val="0"/>
          <w:kern w:val="16"/>
          <w:lang w:eastAsia="pt-BR"/>
        </w:rPr>
      </w:pPr>
    </w:p>
    <w:p w:rsidR="00000000" w:rsidRDefault="00000000">
      <w:pPr>
        <w:pStyle w:val="ParaNo"/>
        <w:tabs>
          <w:tab w:val="clear" w:pos="360"/>
          <w:tab w:val="clear" w:pos="737"/>
        </w:tabs>
        <w:ind w:left="0" w:firstLine="0"/>
        <w:rPr>
          <w:snapToGrid w:val="0"/>
          <w:kern w:val="20"/>
          <w:lang w:val="en-GB" w:eastAsia="pt-BR"/>
        </w:rPr>
      </w:pPr>
      <w:r>
        <w:rPr>
          <w:snapToGrid w:val="0"/>
          <w:kern w:val="20"/>
          <w:lang w:val="en-GB" w:eastAsia="pt-BR"/>
        </w:rPr>
        <w:br w:type="page"/>
        <w:t>Table 78 shows an increase in funds allocated to basic treatment/health care from 3.6 per cent to 4.9 per cent of the State Budget.</w:t>
      </w:r>
    </w:p>
    <w:p w:rsidR="00000000" w:rsidRDefault="00000000">
      <w:pPr>
        <w:rPr>
          <w:snapToGrid w:val="0"/>
          <w:kern w:val="20"/>
          <w:lang w:eastAsia="pt-BR"/>
        </w:rPr>
      </w:pPr>
    </w:p>
    <w:p w:rsidR="00000000" w:rsidRDefault="00000000">
      <w:pPr>
        <w:pStyle w:val="Heading1"/>
        <w:rPr>
          <w:kern w:val="20"/>
        </w:rPr>
      </w:pPr>
      <w:r>
        <w:rPr>
          <w:snapToGrid w:val="0"/>
          <w:kern w:val="20"/>
          <w:lang w:eastAsia="pt-BR"/>
        </w:rPr>
        <w:t>Table 78</w:t>
      </w:r>
    </w:p>
    <w:p w:rsidR="00000000" w:rsidRDefault="00000000">
      <w:pPr>
        <w:rPr>
          <w:kern w:val="20"/>
        </w:rPr>
      </w:pPr>
    </w:p>
    <w:p w:rsidR="00000000" w:rsidRDefault="00000000">
      <w:pPr>
        <w:pStyle w:val="Heading1"/>
        <w:rPr>
          <w:snapToGrid w:val="0"/>
          <w:kern w:val="20"/>
          <w:lang w:eastAsia="pt-BR"/>
        </w:rPr>
      </w:pPr>
      <w:r>
        <w:rPr>
          <w:snapToGrid w:val="0"/>
          <w:kern w:val="20"/>
          <w:lang w:eastAsia="pt-BR"/>
        </w:rPr>
        <w:t>Basic social outlays, 1995</w:t>
      </w:r>
      <w:r>
        <w:rPr>
          <w:snapToGrid w:val="0"/>
          <w:kern w:val="20"/>
          <w:lang w:eastAsia="pt-BR"/>
        </w:rPr>
        <w:noBreakHyphen/>
        <w:t>1999</w:t>
      </w:r>
    </w:p>
    <w:p w:rsidR="00000000" w:rsidRDefault="00000000"/>
    <w:tbl>
      <w:tblPr>
        <w:tblW w:w="0" w:type="auto"/>
        <w:jc w:val="center"/>
        <w:tblLayout w:type="fixed"/>
        <w:tblCellMar>
          <w:top w:w="28" w:type="dxa"/>
          <w:left w:w="30" w:type="dxa"/>
          <w:bottom w:w="28" w:type="dxa"/>
          <w:right w:w="30" w:type="dxa"/>
        </w:tblCellMar>
        <w:tblLook w:val="0000" w:firstRow="0" w:lastRow="0" w:firstColumn="0" w:lastColumn="0" w:noHBand="0" w:noVBand="0"/>
      </w:tblPr>
      <w:tblGrid>
        <w:gridCol w:w="3686"/>
        <w:gridCol w:w="1701"/>
        <w:gridCol w:w="1985"/>
      </w:tblGrid>
      <w:tr w:rsidR="00000000">
        <w:trPr>
          <w:trHeight w:val="250"/>
          <w:jc w:val="center"/>
        </w:trPr>
        <w:tc>
          <w:tcPr>
            <w:tcW w:w="3686"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eastAsia="pt-BR"/>
              </w:rPr>
            </w:pP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eastAsia="pt-BR"/>
              </w:rPr>
            </w:pPr>
            <w:r>
              <w:rPr>
                <w:snapToGrid w:val="0"/>
                <w:color w:val="000000"/>
                <w:lang w:eastAsia="pt-BR"/>
              </w:rPr>
              <w:t>1995</w:t>
            </w:r>
          </w:p>
        </w:tc>
        <w:tc>
          <w:tcPr>
            <w:tcW w:w="1985"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eastAsia="pt-BR"/>
              </w:rPr>
            </w:pPr>
            <w:r>
              <w:rPr>
                <w:snapToGrid w:val="0"/>
                <w:color w:val="000000"/>
                <w:lang w:eastAsia="pt-BR"/>
              </w:rPr>
              <w:t>1999</w:t>
            </w:r>
          </w:p>
        </w:tc>
      </w:tr>
      <w:tr w:rsidR="00000000">
        <w:trPr>
          <w:trHeight w:val="250"/>
          <w:jc w:val="center"/>
        </w:trPr>
        <w:tc>
          <w:tcPr>
            <w:tcW w:w="3686" w:type="dxa"/>
            <w:tcBorders>
              <w:top w:val="single" w:sz="6" w:space="0" w:color="auto"/>
              <w:left w:val="single" w:sz="6" w:space="0" w:color="auto"/>
              <w:right w:val="single" w:sz="6" w:space="0" w:color="auto"/>
            </w:tcBorders>
          </w:tcPr>
          <w:p w:rsidR="00000000" w:rsidRDefault="00000000">
            <w:pPr>
              <w:rPr>
                <w:snapToGrid w:val="0"/>
                <w:color w:val="000000"/>
                <w:lang w:eastAsia="pt-BR"/>
              </w:rPr>
            </w:pPr>
            <w:r>
              <w:rPr>
                <w:snapToGrid w:val="0"/>
                <w:color w:val="000000"/>
                <w:lang w:eastAsia="pt-BR"/>
              </w:rPr>
              <w:t>Health care (Cr$ million)</w:t>
            </w:r>
          </w:p>
        </w:tc>
        <w:tc>
          <w:tcPr>
            <w:tcW w:w="1701" w:type="dxa"/>
            <w:tcBorders>
              <w:top w:val="single" w:sz="6" w:space="0" w:color="auto"/>
              <w:left w:val="single" w:sz="6" w:space="0" w:color="auto"/>
              <w:right w:val="single" w:sz="6" w:space="0" w:color="auto"/>
            </w:tcBorders>
          </w:tcPr>
          <w:p w:rsidR="00000000" w:rsidRDefault="00000000">
            <w:pPr>
              <w:ind w:right="536"/>
              <w:jc w:val="right"/>
              <w:rPr>
                <w:snapToGrid w:val="0"/>
                <w:color w:val="000000"/>
                <w:lang w:eastAsia="pt-BR"/>
              </w:rPr>
            </w:pPr>
            <w:r>
              <w:rPr>
                <w:snapToGrid w:val="0"/>
                <w:color w:val="000000"/>
                <w:lang w:eastAsia="pt-BR"/>
              </w:rPr>
              <w:t>8 488</w:t>
            </w:r>
          </w:p>
        </w:tc>
        <w:tc>
          <w:tcPr>
            <w:tcW w:w="1985" w:type="dxa"/>
            <w:tcBorders>
              <w:top w:val="single" w:sz="6" w:space="0" w:color="auto"/>
              <w:left w:val="single" w:sz="6" w:space="0" w:color="auto"/>
              <w:right w:val="single" w:sz="6" w:space="0" w:color="auto"/>
            </w:tcBorders>
          </w:tcPr>
          <w:p w:rsidR="00000000" w:rsidRDefault="00000000">
            <w:pPr>
              <w:ind w:right="537"/>
              <w:jc w:val="right"/>
              <w:rPr>
                <w:snapToGrid w:val="0"/>
                <w:color w:val="000000"/>
                <w:lang w:eastAsia="pt-BR"/>
              </w:rPr>
            </w:pPr>
            <w:r>
              <w:rPr>
                <w:snapToGrid w:val="0"/>
                <w:color w:val="000000"/>
                <w:lang w:eastAsia="pt-BR"/>
              </w:rPr>
              <w:t>14 024</w:t>
            </w:r>
          </w:p>
        </w:tc>
      </w:tr>
      <w:tr w:rsidR="00000000">
        <w:trPr>
          <w:trHeight w:val="250"/>
          <w:jc w:val="center"/>
        </w:trPr>
        <w:tc>
          <w:tcPr>
            <w:tcW w:w="3686" w:type="dxa"/>
            <w:tcBorders>
              <w:left w:val="single" w:sz="6" w:space="0" w:color="auto"/>
              <w:right w:val="single" w:sz="6" w:space="0" w:color="auto"/>
            </w:tcBorders>
          </w:tcPr>
          <w:p w:rsidR="00000000" w:rsidRDefault="00000000">
            <w:pPr>
              <w:rPr>
                <w:snapToGrid w:val="0"/>
                <w:color w:val="000000"/>
                <w:lang w:eastAsia="pt-BR"/>
              </w:rPr>
            </w:pPr>
            <w:r>
              <w:rPr>
                <w:snapToGrid w:val="0"/>
                <w:color w:val="000000"/>
                <w:lang w:eastAsia="pt-BR"/>
              </w:rPr>
              <w:t>Federal</w:t>
            </w:r>
          </w:p>
        </w:tc>
        <w:tc>
          <w:tcPr>
            <w:tcW w:w="1701" w:type="dxa"/>
            <w:tcBorders>
              <w:left w:val="single" w:sz="6" w:space="0" w:color="auto"/>
              <w:right w:val="single" w:sz="6" w:space="0" w:color="auto"/>
            </w:tcBorders>
          </w:tcPr>
          <w:p w:rsidR="00000000" w:rsidRDefault="00000000">
            <w:pPr>
              <w:ind w:right="536"/>
              <w:jc w:val="right"/>
              <w:rPr>
                <w:snapToGrid w:val="0"/>
                <w:color w:val="000000"/>
                <w:lang w:eastAsia="pt-BR"/>
              </w:rPr>
            </w:pPr>
            <w:r>
              <w:rPr>
                <w:snapToGrid w:val="0"/>
                <w:color w:val="000000"/>
                <w:lang w:eastAsia="pt-BR"/>
              </w:rPr>
              <w:t>5 360</w:t>
            </w:r>
          </w:p>
        </w:tc>
        <w:tc>
          <w:tcPr>
            <w:tcW w:w="1985" w:type="dxa"/>
            <w:tcBorders>
              <w:left w:val="single" w:sz="6" w:space="0" w:color="auto"/>
              <w:right w:val="single" w:sz="6" w:space="0" w:color="auto"/>
            </w:tcBorders>
          </w:tcPr>
          <w:p w:rsidR="00000000" w:rsidRDefault="00000000">
            <w:pPr>
              <w:ind w:right="537"/>
              <w:jc w:val="right"/>
              <w:rPr>
                <w:snapToGrid w:val="0"/>
                <w:color w:val="000000"/>
                <w:lang w:eastAsia="pt-BR"/>
              </w:rPr>
            </w:pPr>
            <w:r>
              <w:rPr>
                <w:snapToGrid w:val="0"/>
                <w:color w:val="000000"/>
                <w:lang w:eastAsia="pt-BR"/>
              </w:rPr>
              <w:t>8 856</w:t>
            </w:r>
          </w:p>
        </w:tc>
      </w:tr>
      <w:tr w:rsidR="00000000">
        <w:trPr>
          <w:trHeight w:val="250"/>
          <w:jc w:val="center"/>
        </w:trPr>
        <w:tc>
          <w:tcPr>
            <w:tcW w:w="3686" w:type="dxa"/>
            <w:tcBorders>
              <w:left w:val="single" w:sz="6" w:space="0" w:color="auto"/>
              <w:right w:val="single" w:sz="6" w:space="0" w:color="auto"/>
            </w:tcBorders>
          </w:tcPr>
          <w:p w:rsidR="00000000" w:rsidRDefault="00000000">
            <w:pPr>
              <w:rPr>
                <w:snapToGrid w:val="0"/>
                <w:color w:val="000000"/>
                <w:lang w:eastAsia="pt-BR"/>
              </w:rPr>
            </w:pPr>
            <w:r>
              <w:rPr>
                <w:snapToGrid w:val="0"/>
                <w:color w:val="000000"/>
                <w:lang w:eastAsia="pt-BR"/>
              </w:rPr>
              <w:t>State/municipal</w:t>
            </w:r>
          </w:p>
        </w:tc>
        <w:tc>
          <w:tcPr>
            <w:tcW w:w="1701" w:type="dxa"/>
            <w:tcBorders>
              <w:left w:val="single" w:sz="6" w:space="0" w:color="auto"/>
              <w:right w:val="single" w:sz="6" w:space="0" w:color="auto"/>
            </w:tcBorders>
          </w:tcPr>
          <w:p w:rsidR="00000000" w:rsidRDefault="00000000">
            <w:pPr>
              <w:ind w:right="536"/>
              <w:jc w:val="right"/>
              <w:rPr>
                <w:snapToGrid w:val="0"/>
                <w:color w:val="000000"/>
                <w:lang w:eastAsia="pt-BR"/>
              </w:rPr>
            </w:pPr>
            <w:r>
              <w:rPr>
                <w:snapToGrid w:val="0"/>
                <w:color w:val="000000"/>
                <w:lang w:eastAsia="pt-BR"/>
              </w:rPr>
              <w:t>3 128</w:t>
            </w:r>
          </w:p>
        </w:tc>
        <w:tc>
          <w:tcPr>
            <w:tcW w:w="1985" w:type="dxa"/>
            <w:tcBorders>
              <w:left w:val="single" w:sz="6" w:space="0" w:color="auto"/>
              <w:right w:val="single" w:sz="6" w:space="0" w:color="auto"/>
            </w:tcBorders>
          </w:tcPr>
          <w:p w:rsidR="00000000" w:rsidRDefault="00000000">
            <w:pPr>
              <w:ind w:right="537"/>
              <w:jc w:val="right"/>
              <w:rPr>
                <w:snapToGrid w:val="0"/>
                <w:color w:val="000000"/>
                <w:lang w:eastAsia="pt-BR"/>
              </w:rPr>
            </w:pPr>
            <w:r>
              <w:rPr>
                <w:snapToGrid w:val="0"/>
                <w:color w:val="000000"/>
                <w:lang w:eastAsia="pt-BR"/>
              </w:rPr>
              <w:t>5 168</w:t>
            </w:r>
          </w:p>
        </w:tc>
      </w:tr>
      <w:tr w:rsidR="00000000">
        <w:trPr>
          <w:trHeight w:val="250"/>
          <w:jc w:val="center"/>
        </w:trPr>
        <w:tc>
          <w:tcPr>
            <w:tcW w:w="3686" w:type="dxa"/>
            <w:tcBorders>
              <w:left w:val="single" w:sz="6" w:space="0" w:color="auto"/>
              <w:right w:val="single" w:sz="6" w:space="0" w:color="auto"/>
            </w:tcBorders>
          </w:tcPr>
          <w:p w:rsidR="00000000" w:rsidRDefault="00000000">
            <w:pPr>
              <w:rPr>
                <w:snapToGrid w:val="0"/>
                <w:color w:val="000000"/>
                <w:lang w:eastAsia="pt-BR"/>
              </w:rPr>
            </w:pPr>
            <w:r>
              <w:rPr>
                <w:snapToGrid w:val="0"/>
                <w:color w:val="000000"/>
                <w:lang w:eastAsia="pt-BR"/>
              </w:rPr>
              <w:t>Basic welfare outlays (Cr$ million)</w:t>
            </w:r>
          </w:p>
        </w:tc>
        <w:tc>
          <w:tcPr>
            <w:tcW w:w="1701" w:type="dxa"/>
            <w:tcBorders>
              <w:left w:val="single" w:sz="6" w:space="0" w:color="auto"/>
              <w:right w:val="single" w:sz="6" w:space="0" w:color="auto"/>
            </w:tcBorders>
          </w:tcPr>
          <w:p w:rsidR="00000000" w:rsidRDefault="00000000">
            <w:pPr>
              <w:ind w:right="536"/>
              <w:jc w:val="right"/>
              <w:rPr>
                <w:snapToGrid w:val="0"/>
                <w:color w:val="000000"/>
                <w:lang w:eastAsia="pt-BR"/>
              </w:rPr>
            </w:pPr>
            <w:r>
              <w:rPr>
                <w:snapToGrid w:val="0"/>
                <w:color w:val="000000"/>
                <w:lang w:eastAsia="pt-BR"/>
              </w:rPr>
              <w:t>25 150</w:t>
            </w:r>
          </w:p>
        </w:tc>
        <w:tc>
          <w:tcPr>
            <w:tcW w:w="1985" w:type="dxa"/>
            <w:tcBorders>
              <w:left w:val="single" w:sz="6" w:space="0" w:color="auto"/>
              <w:right w:val="single" w:sz="6" w:space="0" w:color="auto"/>
            </w:tcBorders>
          </w:tcPr>
          <w:p w:rsidR="00000000" w:rsidRDefault="00000000">
            <w:pPr>
              <w:ind w:right="537"/>
              <w:jc w:val="right"/>
              <w:rPr>
                <w:snapToGrid w:val="0"/>
                <w:color w:val="000000"/>
                <w:lang w:eastAsia="pt-BR"/>
              </w:rPr>
            </w:pPr>
            <w:r>
              <w:rPr>
                <w:snapToGrid w:val="0"/>
                <w:color w:val="000000"/>
                <w:lang w:eastAsia="pt-BR"/>
              </w:rPr>
              <w:t>34 147</w:t>
            </w:r>
          </w:p>
        </w:tc>
      </w:tr>
      <w:tr w:rsidR="00000000">
        <w:trPr>
          <w:trHeight w:val="250"/>
          <w:jc w:val="center"/>
        </w:trPr>
        <w:tc>
          <w:tcPr>
            <w:tcW w:w="3686" w:type="dxa"/>
            <w:tcBorders>
              <w:left w:val="single" w:sz="6" w:space="0" w:color="auto"/>
              <w:right w:val="single" w:sz="6" w:space="0" w:color="auto"/>
            </w:tcBorders>
          </w:tcPr>
          <w:p w:rsidR="00000000" w:rsidRDefault="00000000">
            <w:pPr>
              <w:rPr>
                <w:snapToGrid w:val="0"/>
                <w:color w:val="000000"/>
                <w:lang w:eastAsia="pt-BR"/>
              </w:rPr>
            </w:pPr>
            <w:r>
              <w:rPr>
                <w:snapToGrid w:val="0"/>
                <w:color w:val="000000"/>
                <w:lang w:eastAsia="pt-BR"/>
              </w:rPr>
              <w:t>Budget (Cr$ million)</w:t>
            </w:r>
          </w:p>
        </w:tc>
        <w:tc>
          <w:tcPr>
            <w:tcW w:w="1701" w:type="dxa"/>
            <w:tcBorders>
              <w:left w:val="single" w:sz="6" w:space="0" w:color="auto"/>
              <w:right w:val="single" w:sz="6" w:space="0" w:color="auto"/>
            </w:tcBorders>
          </w:tcPr>
          <w:p w:rsidR="00000000" w:rsidRDefault="00000000">
            <w:pPr>
              <w:ind w:right="536"/>
              <w:jc w:val="right"/>
              <w:rPr>
                <w:snapToGrid w:val="0"/>
                <w:color w:val="000000"/>
                <w:lang w:eastAsia="pt-BR"/>
              </w:rPr>
            </w:pPr>
            <w:r>
              <w:rPr>
                <w:snapToGrid w:val="0"/>
                <w:color w:val="000000"/>
                <w:lang w:eastAsia="pt-BR"/>
              </w:rPr>
              <w:t>239 038</w:t>
            </w:r>
          </w:p>
        </w:tc>
        <w:tc>
          <w:tcPr>
            <w:tcW w:w="1985" w:type="dxa"/>
            <w:tcBorders>
              <w:left w:val="single" w:sz="6" w:space="0" w:color="auto"/>
              <w:right w:val="single" w:sz="6" w:space="0" w:color="auto"/>
            </w:tcBorders>
          </w:tcPr>
          <w:p w:rsidR="00000000" w:rsidRDefault="00000000">
            <w:pPr>
              <w:ind w:right="537"/>
              <w:jc w:val="right"/>
              <w:rPr>
                <w:snapToGrid w:val="0"/>
                <w:color w:val="000000"/>
                <w:lang w:eastAsia="pt-BR"/>
              </w:rPr>
            </w:pPr>
            <w:r>
              <w:rPr>
                <w:snapToGrid w:val="0"/>
                <w:color w:val="000000"/>
                <w:lang w:eastAsia="pt-BR"/>
              </w:rPr>
              <w:t>288 693</w:t>
            </w:r>
          </w:p>
        </w:tc>
      </w:tr>
      <w:tr w:rsidR="00000000">
        <w:trPr>
          <w:trHeight w:val="250"/>
          <w:jc w:val="center"/>
        </w:trPr>
        <w:tc>
          <w:tcPr>
            <w:tcW w:w="3686" w:type="dxa"/>
            <w:tcBorders>
              <w:left w:val="single" w:sz="6" w:space="0" w:color="auto"/>
              <w:right w:val="single" w:sz="6" w:space="0" w:color="auto"/>
            </w:tcBorders>
          </w:tcPr>
          <w:p w:rsidR="00000000" w:rsidRDefault="00000000">
            <w:pPr>
              <w:rPr>
                <w:snapToGrid w:val="0"/>
                <w:color w:val="000000"/>
                <w:lang w:eastAsia="pt-BR"/>
              </w:rPr>
            </w:pPr>
            <w:r>
              <w:rPr>
                <w:snapToGrid w:val="0"/>
                <w:color w:val="000000"/>
                <w:lang w:eastAsia="pt-BR"/>
              </w:rPr>
              <w:t>GDP (Cr$ million)</w:t>
            </w:r>
          </w:p>
        </w:tc>
        <w:tc>
          <w:tcPr>
            <w:tcW w:w="1701" w:type="dxa"/>
            <w:tcBorders>
              <w:left w:val="single" w:sz="6" w:space="0" w:color="auto"/>
              <w:right w:val="single" w:sz="6" w:space="0" w:color="auto"/>
            </w:tcBorders>
          </w:tcPr>
          <w:p w:rsidR="00000000" w:rsidRDefault="00000000">
            <w:pPr>
              <w:ind w:right="536"/>
              <w:jc w:val="right"/>
              <w:rPr>
                <w:snapToGrid w:val="0"/>
                <w:color w:val="000000"/>
                <w:lang w:eastAsia="pt-BR"/>
              </w:rPr>
            </w:pPr>
            <w:r>
              <w:rPr>
                <w:snapToGrid w:val="0"/>
                <w:color w:val="000000"/>
                <w:lang w:eastAsia="pt-BR"/>
              </w:rPr>
              <w:t>646 192</w:t>
            </w:r>
          </w:p>
        </w:tc>
        <w:tc>
          <w:tcPr>
            <w:tcW w:w="1985" w:type="dxa"/>
            <w:tcBorders>
              <w:left w:val="single" w:sz="6" w:space="0" w:color="auto"/>
              <w:right w:val="single" w:sz="6" w:space="0" w:color="auto"/>
            </w:tcBorders>
          </w:tcPr>
          <w:p w:rsidR="00000000" w:rsidRDefault="00000000">
            <w:pPr>
              <w:ind w:right="537"/>
              <w:jc w:val="right"/>
              <w:rPr>
                <w:snapToGrid w:val="0"/>
                <w:color w:val="000000"/>
                <w:lang w:eastAsia="pt-BR"/>
              </w:rPr>
            </w:pPr>
            <w:r>
              <w:rPr>
                <w:snapToGrid w:val="0"/>
                <w:color w:val="000000"/>
                <w:lang w:eastAsia="pt-BR"/>
              </w:rPr>
              <w:t>1 010 068</w:t>
            </w:r>
          </w:p>
        </w:tc>
      </w:tr>
      <w:tr w:rsidR="00000000">
        <w:trPr>
          <w:trHeight w:val="250"/>
          <w:jc w:val="center"/>
        </w:trPr>
        <w:tc>
          <w:tcPr>
            <w:tcW w:w="3686" w:type="dxa"/>
            <w:tcBorders>
              <w:left w:val="single" w:sz="6" w:space="0" w:color="auto"/>
              <w:right w:val="single" w:sz="6" w:space="0" w:color="auto"/>
            </w:tcBorders>
          </w:tcPr>
          <w:p w:rsidR="00000000" w:rsidRDefault="00000000">
            <w:pPr>
              <w:rPr>
                <w:snapToGrid w:val="0"/>
                <w:color w:val="000000"/>
                <w:lang w:eastAsia="pt-BR"/>
              </w:rPr>
            </w:pPr>
            <w:r>
              <w:rPr>
                <w:snapToGrid w:val="0"/>
                <w:color w:val="000000"/>
                <w:lang w:eastAsia="pt-BR"/>
              </w:rPr>
              <w:t>Health</w:t>
            </w:r>
            <w:r>
              <w:rPr>
                <w:snapToGrid w:val="0"/>
                <w:color w:val="000000"/>
                <w:lang w:eastAsia="pt-BR"/>
              </w:rPr>
              <w:noBreakHyphen/>
              <w:t>Care/Budget (%)</w:t>
            </w:r>
          </w:p>
        </w:tc>
        <w:tc>
          <w:tcPr>
            <w:tcW w:w="1701" w:type="dxa"/>
            <w:tcBorders>
              <w:left w:val="single" w:sz="6" w:space="0" w:color="auto"/>
              <w:right w:val="single" w:sz="6" w:space="0" w:color="auto"/>
            </w:tcBorders>
          </w:tcPr>
          <w:p w:rsidR="00000000" w:rsidRDefault="00000000">
            <w:pPr>
              <w:ind w:right="536"/>
              <w:jc w:val="right"/>
              <w:rPr>
                <w:snapToGrid w:val="0"/>
                <w:color w:val="000000"/>
                <w:lang w:eastAsia="pt-BR"/>
              </w:rPr>
            </w:pPr>
            <w:r>
              <w:rPr>
                <w:snapToGrid w:val="0"/>
                <w:color w:val="000000"/>
                <w:lang w:eastAsia="pt-BR"/>
              </w:rPr>
              <w:t>3.55</w:t>
            </w:r>
          </w:p>
        </w:tc>
        <w:tc>
          <w:tcPr>
            <w:tcW w:w="1985" w:type="dxa"/>
            <w:tcBorders>
              <w:left w:val="single" w:sz="6" w:space="0" w:color="auto"/>
              <w:right w:val="single" w:sz="6" w:space="0" w:color="auto"/>
            </w:tcBorders>
          </w:tcPr>
          <w:p w:rsidR="00000000" w:rsidRDefault="00000000">
            <w:pPr>
              <w:ind w:right="537"/>
              <w:jc w:val="right"/>
              <w:rPr>
                <w:snapToGrid w:val="0"/>
                <w:color w:val="000000"/>
                <w:lang w:eastAsia="pt-BR"/>
              </w:rPr>
            </w:pPr>
            <w:r>
              <w:rPr>
                <w:snapToGrid w:val="0"/>
                <w:color w:val="000000"/>
                <w:lang w:eastAsia="pt-BR"/>
              </w:rPr>
              <w:t>4.86</w:t>
            </w:r>
          </w:p>
        </w:tc>
      </w:tr>
      <w:tr w:rsidR="00000000">
        <w:trPr>
          <w:trHeight w:val="250"/>
          <w:jc w:val="center"/>
        </w:trPr>
        <w:tc>
          <w:tcPr>
            <w:tcW w:w="3686" w:type="dxa"/>
            <w:tcBorders>
              <w:left w:val="single" w:sz="6" w:space="0" w:color="auto"/>
              <w:right w:val="single" w:sz="6" w:space="0" w:color="auto"/>
            </w:tcBorders>
          </w:tcPr>
          <w:p w:rsidR="00000000" w:rsidRDefault="00000000">
            <w:pPr>
              <w:rPr>
                <w:snapToGrid w:val="0"/>
                <w:color w:val="000000"/>
                <w:lang w:eastAsia="pt-BR"/>
              </w:rPr>
            </w:pPr>
            <w:r>
              <w:rPr>
                <w:snapToGrid w:val="0"/>
                <w:color w:val="000000"/>
                <w:lang w:eastAsia="pt-BR"/>
              </w:rPr>
              <w:t>Health care/GDP (%)</w:t>
            </w:r>
          </w:p>
        </w:tc>
        <w:tc>
          <w:tcPr>
            <w:tcW w:w="1701" w:type="dxa"/>
            <w:tcBorders>
              <w:left w:val="single" w:sz="6" w:space="0" w:color="auto"/>
              <w:right w:val="single" w:sz="6" w:space="0" w:color="auto"/>
            </w:tcBorders>
          </w:tcPr>
          <w:p w:rsidR="00000000" w:rsidRDefault="00000000">
            <w:pPr>
              <w:ind w:right="536"/>
              <w:jc w:val="right"/>
              <w:rPr>
                <w:snapToGrid w:val="0"/>
                <w:color w:val="000000"/>
                <w:lang w:eastAsia="pt-BR"/>
              </w:rPr>
            </w:pPr>
            <w:r>
              <w:rPr>
                <w:snapToGrid w:val="0"/>
                <w:color w:val="000000"/>
                <w:lang w:eastAsia="pt-BR"/>
              </w:rPr>
              <w:t>1.31</w:t>
            </w:r>
          </w:p>
        </w:tc>
        <w:tc>
          <w:tcPr>
            <w:tcW w:w="1985" w:type="dxa"/>
            <w:tcBorders>
              <w:left w:val="single" w:sz="6" w:space="0" w:color="auto"/>
              <w:right w:val="single" w:sz="6" w:space="0" w:color="auto"/>
            </w:tcBorders>
          </w:tcPr>
          <w:p w:rsidR="00000000" w:rsidRDefault="00000000">
            <w:pPr>
              <w:ind w:right="537"/>
              <w:jc w:val="right"/>
              <w:rPr>
                <w:snapToGrid w:val="0"/>
                <w:color w:val="000000"/>
                <w:lang w:eastAsia="pt-BR"/>
              </w:rPr>
            </w:pPr>
            <w:r>
              <w:rPr>
                <w:snapToGrid w:val="0"/>
                <w:color w:val="000000"/>
                <w:lang w:eastAsia="pt-BR"/>
              </w:rPr>
              <w:t>1.39</w:t>
            </w:r>
          </w:p>
        </w:tc>
      </w:tr>
      <w:tr w:rsidR="00000000">
        <w:trPr>
          <w:trHeight w:val="250"/>
          <w:jc w:val="center"/>
        </w:trPr>
        <w:tc>
          <w:tcPr>
            <w:tcW w:w="3686" w:type="dxa"/>
            <w:tcBorders>
              <w:left w:val="single" w:sz="6" w:space="0" w:color="auto"/>
              <w:right w:val="single" w:sz="6" w:space="0" w:color="auto"/>
            </w:tcBorders>
          </w:tcPr>
          <w:p w:rsidR="00000000" w:rsidRDefault="00000000">
            <w:pPr>
              <w:rPr>
                <w:snapToGrid w:val="0"/>
                <w:color w:val="000000"/>
                <w:lang w:eastAsia="pt-BR"/>
              </w:rPr>
            </w:pPr>
            <w:r>
              <w:rPr>
                <w:snapToGrid w:val="0"/>
                <w:color w:val="000000"/>
                <w:lang w:eastAsia="pt-BR"/>
              </w:rPr>
              <w:t>Basic welfare/Budget (%)</w:t>
            </w:r>
          </w:p>
        </w:tc>
        <w:tc>
          <w:tcPr>
            <w:tcW w:w="1701" w:type="dxa"/>
            <w:tcBorders>
              <w:left w:val="single" w:sz="6" w:space="0" w:color="auto"/>
              <w:right w:val="single" w:sz="6" w:space="0" w:color="auto"/>
            </w:tcBorders>
          </w:tcPr>
          <w:p w:rsidR="00000000" w:rsidRDefault="00000000">
            <w:pPr>
              <w:ind w:right="536"/>
              <w:jc w:val="right"/>
              <w:rPr>
                <w:snapToGrid w:val="0"/>
                <w:color w:val="000000"/>
                <w:lang w:eastAsia="pt-BR"/>
              </w:rPr>
            </w:pPr>
            <w:r>
              <w:rPr>
                <w:snapToGrid w:val="0"/>
                <w:color w:val="000000"/>
                <w:lang w:eastAsia="pt-BR"/>
              </w:rPr>
              <w:t>10.52</w:t>
            </w:r>
          </w:p>
        </w:tc>
        <w:tc>
          <w:tcPr>
            <w:tcW w:w="1985" w:type="dxa"/>
            <w:tcBorders>
              <w:left w:val="single" w:sz="6" w:space="0" w:color="auto"/>
              <w:right w:val="single" w:sz="6" w:space="0" w:color="auto"/>
            </w:tcBorders>
          </w:tcPr>
          <w:p w:rsidR="00000000" w:rsidRDefault="00000000">
            <w:pPr>
              <w:ind w:right="537"/>
              <w:jc w:val="right"/>
              <w:rPr>
                <w:snapToGrid w:val="0"/>
                <w:color w:val="000000"/>
                <w:lang w:eastAsia="pt-BR"/>
              </w:rPr>
            </w:pPr>
            <w:r>
              <w:rPr>
                <w:snapToGrid w:val="0"/>
                <w:color w:val="000000"/>
                <w:lang w:eastAsia="pt-BR"/>
              </w:rPr>
              <w:t>11.83</w:t>
            </w:r>
          </w:p>
        </w:tc>
      </w:tr>
      <w:tr w:rsidR="00000000">
        <w:trPr>
          <w:trHeight w:val="250"/>
          <w:jc w:val="center"/>
        </w:trPr>
        <w:tc>
          <w:tcPr>
            <w:tcW w:w="3686" w:type="dxa"/>
            <w:tcBorders>
              <w:left w:val="single" w:sz="6" w:space="0" w:color="auto"/>
              <w:bottom w:val="single" w:sz="6" w:space="0" w:color="auto"/>
              <w:right w:val="single" w:sz="6" w:space="0" w:color="auto"/>
            </w:tcBorders>
          </w:tcPr>
          <w:p w:rsidR="00000000" w:rsidRDefault="00000000">
            <w:pPr>
              <w:rPr>
                <w:snapToGrid w:val="0"/>
                <w:color w:val="000000"/>
                <w:lang w:eastAsia="pt-BR"/>
              </w:rPr>
            </w:pPr>
            <w:r>
              <w:rPr>
                <w:snapToGrid w:val="0"/>
                <w:color w:val="000000"/>
                <w:lang w:eastAsia="pt-BR"/>
              </w:rPr>
              <w:t>Basic welfare/GDP (%)</w:t>
            </w:r>
          </w:p>
        </w:tc>
        <w:tc>
          <w:tcPr>
            <w:tcW w:w="1701" w:type="dxa"/>
            <w:tcBorders>
              <w:left w:val="single" w:sz="6" w:space="0" w:color="auto"/>
              <w:bottom w:val="single" w:sz="6" w:space="0" w:color="auto"/>
              <w:right w:val="single" w:sz="6" w:space="0" w:color="auto"/>
            </w:tcBorders>
          </w:tcPr>
          <w:p w:rsidR="00000000" w:rsidRDefault="00000000">
            <w:pPr>
              <w:ind w:right="536"/>
              <w:jc w:val="right"/>
              <w:rPr>
                <w:snapToGrid w:val="0"/>
                <w:color w:val="000000"/>
                <w:lang w:eastAsia="pt-BR"/>
              </w:rPr>
            </w:pPr>
            <w:r>
              <w:rPr>
                <w:snapToGrid w:val="0"/>
                <w:color w:val="000000"/>
                <w:lang w:eastAsia="pt-BR"/>
              </w:rPr>
              <w:t>3.89</w:t>
            </w:r>
          </w:p>
        </w:tc>
        <w:tc>
          <w:tcPr>
            <w:tcW w:w="1985" w:type="dxa"/>
            <w:tcBorders>
              <w:left w:val="single" w:sz="6" w:space="0" w:color="auto"/>
              <w:bottom w:val="single" w:sz="6" w:space="0" w:color="auto"/>
              <w:right w:val="single" w:sz="6" w:space="0" w:color="auto"/>
            </w:tcBorders>
          </w:tcPr>
          <w:p w:rsidR="00000000" w:rsidRDefault="00000000">
            <w:pPr>
              <w:ind w:right="537"/>
              <w:jc w:val="right"/>
              <w:rPr>
                <w:snapToGrid w:val="0"/>
                <w:color w:val="000000"/>
                <w:lang w:eastAsia="pt-BR"/>
              </w:rPr>
            </w:pPr>
            <w:r>
              <w:rPr>
                <w:snapToGrid w:val="0"/>
                <w:color w:val="000000"/>
                <w:lang w:eastAsia="pt-BR"/>
              </w:rPr>
              <w:t>3.38</w:t>
            </w:r>
          </w:p>
        </w:tc>
      </w:tr>
    </w:tbl>
    <w:p w:rsidR="00000000" w:rsidRDefault="00000000">
      <w:pPr>
        <w:rPr>
          <w:snapToGrid w:val="0"/>
          <w:kern w:val="16"/>
          <w:lang w:eastAsia="pt-BR"/>
        </w:rPr>
      </w:pPr>
    </w:p>
    <w:p w:rsidR="00000000" w:rsidRDefault="00000000">
      <w:pPr>
        <w:rPr>
          <w:snapToGrid w:val="0"/>
          <w:kern w:val="16"/>
          <w:lang w:eastAsia="pt-BR"/>
        </w:rPr>
      </w:pPr>
      <w:r>
        <w:rPr>
          <w:snapToGrid w:val="0"/>
          <w:kern w:val="16"/>
          <w:lang w:eastAsia="pt-BR"/>
        </w:rPr>
        <w:tab/>
      </w:r>
      <w:r>
        <w:rPr>
          <w:snapToGrid w:val="0"/>
          <w:kern w:val="16"/>
          <w:lang w:eastAsia="pt-BR"/>
        </w:rPr>
        <w:tab/>
      </w:r>
      <w:r>
        <w:rPr>
          <w:snapToGrid w:val="0"/>
          <w:kern w:val="16"/>
          <w:u w:val="single"/>
          <w:lang w:eastAsia="pt-BR"/>
        </w:rPr>
        <w:t>Source</w:t>
      </w:r>
      <w:r>
        <w:rPr>
          <w:snapToGrid w:val="0"/>
          <w:kern w:val="16"/>
          <w:lang w:eastAsia="pt-BR"/>
        </w:rPr>
        <w:t>:  SIS/Ministry of Health.</w:t>
      </w:r>
    </w:p>
    <w:p w:rsidR="00000000" w:rsidRDefault="00000000">
      <w:pPr>
        <w:rPr>
          <w:kern w:val="16"/>
        </w:rPr>
      </w:pPr>
    </w:p>
    <w:p w:rsidR="00000000" w:rsidRDefault="00000000">
      <w:pPr>
        <w:pStyle w:val="ParaNo"/>
        <w:tabs>
          <w:tab w:val="clear" w:pos="360"/>
          <w:tab w:val="clear" w:pos="737"/>
        </w:tabs>
        <w:ind w:left="0" w:firstLine="0"/>
        <w:rPr>
          <w:kern w:val="20"/>
          <w:lang w:val="en-GB"/>
        </w:rPr>
      </w:pPr>
      <w:r>
        <w:rPr>
          <w:kern w:val="20"/>
          <w:lang w:val="en-GB"/>
        </w:rPr>
        <w:t>The statistical tables below indicate the access rates to sewage disposal facilities, bathrooms or sanitary facilities, public garbage collection systems and immunization for children, and life expectancy rates at birth.</w:t>
      </w:r>
    </w:p>
    <w:p w:rsidR="00000000" w:rsidRDefault="00000000">
      <w:pPr>
        <w:rPr>
          <w:kern w:val="20"/>
        </w:rPr>
      </w:pPr>
    </w:p>
    <w:p w:rsidR="00000000" w:rsidRDefault="00000000">
      <w:pPr>
        <w:pStyle w:val="Heading1"/>
        <w:rPr>
          <w:kern w:val="20"/>
        </w:rPr>
      </w:pPr>
      <w:r>
        <w:rPr>
          <w:kern w:val="20"/>
        </w:rPr>
        <w:t>Table 79</w:t>
      </w:r>
    </w:p>
    <w:p w:rsidR="00000000" w:rsidRDefault="00000000">
      <w:pPr>
        <w:rPr>
          <w:kern w:val="20"/>
        </w:rPr>
      </w:pPr>
    </w:p>
    <w:p w:rsidR="00000000" w:rsidRDefault="00000000">
      <w:pPr>
        <w:pStyle w:val="Heading1"/>
        <w:rPr>
          <w:kern w:val="20"/>
        </w:rPr>
      </w:pPr>
      <w:r>
        <w:rPr>
          <w:kern w:val="20"/>
        </w:rPr>
        <w:t>Access to sewage disposal services</w:t>
      </w:r>
    </w:p>
    <w:p w:rsidR="00000000" w:rsidRDefault="00000000"/>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1131"/>
        <w:gridCol w:w="723"/>
        <w:gridCol w:w="972"/>
        <w:gridCol w:w="707"/>
        <w:gridCol w:w="986"/>
        <w:gridCol w:w="707"/>
        <w:gridCol w:w="801"/>
        <w:gridCol w:w="822"/>
        <w:gridCol w:w="709"/>
        <w:gridCol w:w="850"/>
        <w:gridCol w:w="709"/>
      </w:tblGrid>
      <w:tr w:rsidR="00000000">
        <w:trPr>
          <w:cantSplit/>
        </w:trPr>
        <w:tc>
          <w:tcPr>
            <w:tcW w:w="1131" w:type="dxa"/>
            <w:vMerge w:val="restart"/>
            <w:vAlign w:val="center"/>
          </w:tcPr>
          <w:p w:rsidR="00000000" w:rsidRDefault="00000000">
            <w:r>
              <w:t>Location</w:t>
            </w:r>
          </w:p>
        </w:tc>
        <w:tc>
          <w:tcPr>
            <w:tcW w:w="4095" w:type="dxa"/>
            <w:gridSpan w:val="5"/>
            <w:tcBorders>
              <w:bottom w:val="nil"/>
            </w:tcBorders>
          </w:tcPr>
          <w:p w:rsidR="00000000" w:rsidRDefault="00000000">
            <w:pPr>
              <w:jc w:val="center"/>
            </w:pPr>
            <w:r>
              <w:t>Households</w:t>
            </w:r>
          </w:p>
        </w:tc>
        <w:tc>
          <w:tcPr>
            <w:tcW w:w="3891" w:type="dxa"/>
            <w:gridSpan w:val="5"/>
            <w:tcBorders>
              <w:bottom w:val="nil"/>
            </w:tcBorders>
          </w:tcPr>
          <w:p w:rsidR="00000000" w:rsidRDefault="00000000">
            <w:pPr>
              <w:jc w:val="center"/>
            </w:pPr>
            <w:r>
              <w:t>Residents</w:t>
            </w:r>
          </w:p>
        </w:tc>
      </w:tr>
      <w:tr w:rsidR="00000000">
        <w:trPr>
          <w:cantSplit/>
        </w:trPr>
        <w:tc>
          <w:tcPr>
            <w:tcW w:w="1131" w:type="dxa"/>
            <w:vMerge/>
          </w:tcPr>
          <w:p w:rsidR="00000000" w:rsidRDefault="00000000"/>
        </w:tc>
        <w:tc>
          <w:tcPr>
            <w:tcW w:w="4095" w:type="dxa"/>
            <w:gridSpan w:val="5"/>
            <w:tcBorders>
              <w:top w:val="nil"/>
            </w:tcBorders>
          </w:tcPr>
          <w:p w:rsidR="00000000" w:rsidRDefault="00000000">
            <w:pPr>
              <w:jc w:val="center"/>
            </w:pPr>
            <w:r>
              <w:t>(million households)</w:t>
            </w:r>
          </w:p>
        </w:tc>
        <w:tc>
          <w:tcPr>
            <w:tcW w:w="3891" w:type="dxa"/>
            <w:gridSpan w:val="5"/>
            <w:tcBorders>
              <w:top w:val="nil"/>
            </w:tcBorders>
          </w:tcPr>
          <w:p w:rsidR="00000000" w:rsidRDefault="00000000">
            <w:pPr>
              <w:jc w:val="center"/>
            </w:pPr>
            <w:r>
              <w:t>(million inhabitants)</w:t>
            </w:r>
          </w:p>
        </w:tc>
      </w:tr>
      <w:tr w:rsidR="00000000">
        <w:trPr>
          <w:cantSplit/>
        </w:trPr>
        <w:tc>
          <w:tcPr>
            <w:tcW w:w="1131" w:type="dxa"/>
            <w:vMerge/>
          </w:tcPr>
          <w:p w:rsidR="00000000" w:rsidRDefault="00000000"/>
        </w:tc>
        <w:tc>
          <w:tcPr>
            <w:tcW w:w="723" w:type="dxa"/>
            <w:vMerge w:val="restart"/>
          </w:tcPr>
          <w:p w:rsidR="00000000" w:rsidRDefault="00000000">
            <w:pPr>
              <w:jc w:val="center"/>
            </w:pPr>
            <w:r>
              <w:t>Total</w:t>
            </w:r>
          </w:p>
        </w:tc>
        <w:tc>
          <w:tcPr>
            <w:tcW w:w="1679" w:type="dxa"/>
            <w:gridSpan w:val="2"/>
          </w:tcPr>
          <w:p w:rsidR="00000000" w:rsidRDefault="00000000">
            <w:pPr>
              <w:jc w:val="center"/>
            </w:pPr>
            <w:r>
              <w:t>Serviced</w:t>
            </w:r>
          </w:p>
        </w:tc>
        <w:tc>
          <w:tcPr>
            <w:tcW w:w="1693" w:type="dxa"/>
            <w:gridSpan w:val="2"/>
          </w:tcPr>
          <w:p w:rsidR="00000000" w:rsidRDefault="00000000">
            <w:pPr>
              <w:jc w:val="center"/>
            </w:pPr>
            <w:r>
              <w:t>Not serviced</w:t>
            </w:r>
          </w:p>
        </w:tc>
        <w:tc>
          <w:tcPr>
            <w:tcW w:w="801" w:type="dxa"/>
            <w:vMerge w:val="restart"/>
          </w:tcPr>
          <w:p w:rsidR="00000000" w:rsidRDefault="00000000">
            <w:pPr>
              <w:jc w:val="center"/>
            </w:pPr>
            <w:r>
              <w:t>Total</w:t>
            </w:r>
          </w:p>
        </w:tc>
        <w:tc>
          <w:tcPr>
            <w:tcW w:w="1531" w:type="dxa"/>
            <w:gridSpan w:val="2"/>
          </w:tcPr>
          <w:p w:rsidR="00000000" w:rsidRDefault="00000000">
            <w:pPr>
              <w:jc w:val="center"/>
            </w:pPr>
            <w:r>
              <w:t>Serviced</w:t>
            </w:r>
          </w:p>
        </w:tc>
        <w:tc>
          <w:tcPr>
            <w:tcW w:w="1559" w:type="dxa"/>
            <w:gridSpan w:val="2"/>
          </w:tcPr>
          <w:p w:rsidR="00000000" w:rsidRDefault="00000000">
            <w:pPr>
              <w:jc w:val="center"/>
            </w:pPr>
            <w:r>
              <w:t>Not serviced</w:t>
            </w:r>
          </w:p>
        </w:tc>
      </w:tr>
      <w:tr w:rsidR="00000000">
        <w:trPr>
          <w:cantSplit/>
        </w:trPr>
        <w:tc>
          <w:tcPr>
            <w:tcW w:w="1131" w:type="dxa"/>
            <w:vMerge/>
            <w:tcBorders>
              <w:bottom w:val="single" w:sz="4" w:space="0" w:color="auto"/>
            </w:tcBorders>
          </w:tcPr>
          <w:p w:rsidR="00000000" w:rsidRDefault="00000000"/>
        </w:tc>
        <w:tc>
          <w:tcPr>
            <w:tcW w:w="723" w:type="dxa"/>
            <w:vMerge/>
            <w:tcBorders>
              <w:bottom w:val="single" w:sz="4" w:space="0" w:color="auto"/>
            </w:tcBorders>
          </w:tcPr>
          <w:p w:rsidR="00000000" w:rsidRDefault="00000000"/>
        </w:tc>
        <w:tc>
          <w:tcPr>
            <w:tcW w:w="972" w:type="dxa"/>
            <w:tcBorders>
              <w:bottom w:val="single" w:sz="4" w:space="0" w:color="auto"/>
            </w:tcBorders>
          </w:tcPr>
          <w:p w:rsidR="00000000" w:rsidRDefault="00000000">
            <w:pPr>
              <w:jc w:val="center"/>
            </w:pPr>
            <w:r>
              <w:t>Total</w:t>
            </w:r>
          </w:p>
        </w:tc>
        <w:tc>
          <w:tcPr>
            <w:tcW w:w="707" w:type="dxa"/>
            <w:tcBorders>
              <w:bottom w:val="single" w:sz="4" w:space="0" w:color="auto"/>
            </w:tcBorders>
          </w:tcPr>
          <w:p w:rsidR="00000000" w:rsidRDefault="00000000">
            <w:pPr>
              <w:jc w:val="center"/>
            </w:pPr>
            <w:r>
              <w:t>%</w:t>
            </w:r>
          </w:p>
        </w:tc>
        <w:tc>
          <w:tcPr>
            <w:tcW w:w="986" w:type="dxa"/>
            <w:tcBorders>
              <w:bottom w:val="single" w:sz="4" w:space="0" w:color="auto"/>
            </w:tcBorders>
          </w:tcPr>
          <w:p w:rsidR="00000000" w:rsidRDefault="00000000">
            <w:pPr>
              <w:jc w:val="center"/>
            </w:pPr>
            <w:r>
              <w:t>Total</w:t>
            </w:r>
          </w:p>
        </w:tc>
        <w:tc>
          <w:tcPr>
            <w:tcW w:w="707" w:type="dxa"/>
            <w:tcBorders>
              <w:bottom w:val="single" w:sz="4" w:space="0" w:color="auto"/>
            </w:tcBorders>
          </w:tcPr>
          <w:p w:rsidR="00000000" w:rsidRDefault="00000000">
            <w:pPr>
              <w:jc w:val="center"/>
            </w:pPr>
            <w:r>
              <w:t>%</w:t>
            </w:r>
          </w:p>
        </w:tc>
        <w:tc>
          <w:tcPr>
            <w:tcW w:w="801" w:type="dxa"/>
            <w:vMerge/>
            <w:tcBorders>
              <w:bottom w:val="single" w:sz="4" w:space="0" w:color="auto"/>
            </w:tcBorders>
          </w:tcPr>
          <w:p w:rsidR="00000000" w:rsidRDefault="00000000"/>
        </w:tc>
        <w:tc>
          <w:tcPr>
            <w:tcW w:w="822" w:type="dxa"/>
            <w:tcBorders>
              <w:bottom w:val="single" w:sz="4" w:space="0" w:color="auto"/>
            </w:tcBorders>
          </w:tcPr>
          <w:p w:rsidR="00000000" w:rsidRDefault="00000000">
            <w:pPr>
              <w:jc w:val="center"/>
            </w:pPr>
            <w:r>
              <w:t>Total</w:t>
            </w:r>
          </w:p>
        </w:tc>
        <w:tc>
          <w:tcPr>
            <w:tcW w:w="709" w:type="dxa"/>
            <w:tcBorders>
              <w:bottom w:val="single" w:sz="4" w:space="0" w:color="auto"/>
            </w:tcBorders>
          </w:tcPr>
          <w:p w:rsidR="00000000" w:rsidRDefault="00000000">
            <w:pPr>
              <w:jc w:val="center"/>
            </w:pPr>
            <w:r>
              <w:t>%</w:t>
            </w:r>
          </w:p>
        </w:tc>
        <w:tc>
          <w:tcPr>
            <w:tcW w:w="850" w:type="dxa"/>
            <w:tcBorders>
              <w:bottom w:val="single" w:sz="4" w:space="0" w:color="auto"/>
            </w:tcBorders>
          </w:tcPr>
          <w:p w:rsidR="00000000" w:rsidRDefault="00000000">
            <w:pPr>
              <w:jc w:val="center"/>
            </w:pPr>
            <w:r>
              <w:t>Total</w:t>
            </w:r>
          </w:p>
        </w:tc>
        <w:tc>
          <w:tcPr>
            <w:tcW w:w="709" w:type="dxa"/>
            <w:tcBorders>
              <w:bottom w:val="single" w:sz="4" w:space="0" w:color="auto"/>
            </w:tcBorders>
          </w:tcPr>
          <w:p w:rsidR="00000000" w:rsidRDefault="00000000">
            <w:pPr>
              <w:jc w:val="center"/>
            </w:pPr>
            <w:r>
              <w:t>%</w:t>
            </w:r>
          </w:p>
        </w:tc>
      </w:tr>
      <w:tr w:rsidR="00000000">
        <w:tc>
          <w:tcPr>
            <w:tcW w:w="1131" w:type="dxa"/>
            <w:tcBorders>
              <w:bottom w:val="nil"/>
            </w:tcBorders>
          </w:tcPr>
          <w:p w:rsidR="00000000" w:rsidRDefault="00000000">
            <w:r>
              <w:t>Urban</w:t>
            </w:r>
          </w:p>
        </w:tc>
        <w:tc>
          <w:tcPr>
            <w:tcW w:w="723" w:type="dxa"/>
            <w:tcBorders>
              <w:bottom w:val="nil"/>
            </w:tcBorders>
          </w:tcPr>
          <w:p w:rsidR="00000000" w:rsidRDefault="00000000">
            <w:pPr>
              <w:ind w:right="45"/>
              <w:jc w:val="right"/>
            </w:pPr>
            <w:r>
              <w:t>34.0</w:t>
            </w:r>
          </w:p>
        </w:tc>
        <w:tc>
          <w:tcPr>
            <w:tcW w:w="972" w:type="dxa"/>
            <w:tcBorders>
              <w:bottom w:val="nil"/>
            </w:tcBorders>
          </w:tcPr>
          <w:p w:rsidR="00000000" w:rsidRDefault="00000000">
            <w:pPr>
              <w:ind w:right="170"/>
              <w:jc w:val="right"/>
            </w:pPr>
            <w:r>
              <w:t>17.4</w:t>
            </w:r>
          </w:p>
        </w:tc>
        <w:tc>
          <w:tcPr>
            <w:tcW w:w="707" w:type="dxa"/>
            <w:tcBorders>
              <w:bottom w:val="nil"/>
            </w:tcBorders>
          </w:tcPr>
          <w:p w:rsidR="00000000" w:rsidRDefault="00000000">
            <w:pPr>
              <w:ind w:right="57"/>
              <w:jc w:val="right"/>
            </w:pPr>
            <w:r>
              <w:t>51.2</w:t>
            </w:r>
          </w:p>
        </w:tc>
        <w:tc>
          <w:tcPr>
            <w:tcW w:w="986" w:type="dxa"/>
            <w:tcBorders>
              <w:bottom w:val="nil"/>
            </w:tcBorders>
          </w:tcPr>
          <w:p w:rsidR="00000000" w:rsidRDefault="00000000">
            <w:pPr>
              <w:ind w:right="170"/>
              <w:jc w:val="right"/>
            </w:pPr>
            <w:r>
              <w:t>16.6</w:t>
            </w:r>
          </w:p>
        </w:tc>
        <w:tc>
          <w:tcPr>
            <w:tcW w:w="707" w:type="dxa"/>
            <w:tcBorders>
              <w:bottom w:val="nil"/>
            </w:tcBorders>
          </w:tcPr>
          <w:p w:rsidR="00000000" w:rsidRDefault="00000000">
            <w:pPr>
              <w:ind w:right="57"/>
              <w:jc w:val="right"/>
            </w:pPr>
            <w:r>
              <w:t>48.8</w:t>
            </w:r>
          </w:p>
        </w:tc>
        <w:tc>
          <w:tcPr>
            <w:tcW w:w="801" w:type="dxa"/>
            <w:tcBorders>
              <w:bottom w:val="nil"/>
            </w:tcBorders>
          </w:tcPr>
          <w:p w:rsidR="00000000" w:rsidRDefault="00000000">
            <w:pPr>
              <w:ind w:right="45"/>
              <w:jc w:val="right"/>
            </w:pPr>
            <w:r>
              <w:t>125.2</w:t>
            </w:r>
          </w:p>
        </w:tc>
        <w:tc>
          <w:tcPr>
            <w:tcW w:w="822" w:type="dxa"/>
            <w:tcBorders>
              <w:bottom w:val="nil"/>
            </w:tcBorders>
          </w:tcPr>
          <w:p w:rsidR="00000000" w:rsidRDefault="00000000">
            <w:pPr>
              <w:ind w:right="170"/>
              <w:jc w:val="right"/>
            </w:pPr>
            <w:r>
              <w:t>61.7</w:t>
            </w:r>
          </w:p>
        </w:tc>
        <w:tc>
          <w:tcPr>
            <w:tcW w:w="709" w:type="dxa"/>
            <w:tcBorders>
              <w:bottom w:val="nil"/>
            </w:tcBorders>
          </w:tcPr>
          <w:p w:rsidR="00000000" w:rsidRDefault="00000000">
            <w:pPr>
              <w:ind w:right="57"/>
              <w:jc w:val="right"/>
            </w:pPr>
            <w:r>
              <w:t>49.3</w:t>
            </w:r>
          </w:p>
        </w:tc>
        <w:tc>
          <w:tcPr>
            <w:tcW w:w="850" w:type="dxa"/>
            <w:tcBorders>
              <w:bottom w:val="nil"/>
            </w:tcBorders>
          </w:tcPr>
          <w:p w:rsidR="00000000" w:rsidRDefault="00000000">
            <w:pPr>
              <w:ind w:right="170"/>
              <w:jc w:val="right"/>
            </w:pPr>
            <w:r>
              <w:t>63.5</w:t>
            </w:r>
          </w:p>
        </w:tc>
        <w:tc>
          <w:tcPr>
            <w:tcW w:w="709" w:type="dxa"/>
            <w:tcBorders>
              <w:bottom w:val="nil"/>
            </w:tcBorders>
          </w:tcPr>
          <w:p w:rsidR="00000000" w:rsidRDefault="00000000">
            <w:pPr>
              <w:ind w:right="57"/>
              <w:jc w:val="right"/>
            </w:pPr>
            <w:r>
              <w:t>50.7</w:t>
            </w:r>
          </w:p>
        </w:tc>
      </w:tr>
      <w:tr w:rsidR="00000000">
        <w:tc>
          <w:tcPr>
            <w:tcW w:w="1131" w:type="dxa"/>
            <w:tcBorders>
              <w:top w:val="nil"/>
              <w:bottom w:val="single" w:sz="4" w:space="0" w:color="auto"/>
            </w:tcBorders>
          </w:tcPr>
          <w:p w:rsidR="00000000" w:rsidRDefault="00000000">
            <w:r>
              <w:t>Rural</w:t>
            </w:r>
          </w:p>
        </w:tc>
        <w:tc>
          <w:tcPr>
            <w:tcW w:w="723" w:type="dxa"/>
            <w:tcBorders>
              <w:top w:val="nil"/>
              <w:bottom w:val="single" w:sz="4" w:space="0" w:color="auto"/>
            </w:tcBorders>
          </w:tcPr>
          <w:p w:rsidR="00000000" w:rsidRDefault="00000000">
            <w:pPr>
              <w:ind w:right="45"/>
              <w:jc w:val="right"/>
            </w:pPr>
            <w:r>
              <w:t>7.8</w:t>
            </w:r>
          </w:p>
        </w:tc>
        <w:tc>
          <w:tcPr>
            <w:tcW w:w="972" w:type="dxa"/>
            <w:tcBorders>
              <w:top w:val="nil"/>
              <w:bottom w:val="single" w:sz="4" w:space="0" w:color="auto"/>
            </w:tcBorders>
          </w:tcPr>
          <w:p w:rsidR="00000000" w:rsidRDefault="00000000">
            <w:pPr>
              <w:ind w:right="170"/>
              <w:jc w:val="right"/>
            </w:pPr>
            <w:r>
              <w:t>0.4</w:t>
            </w:r>
          </w:p>
        </w:tc>
        <w:tc>
          <w:tcPr>
            <w:tcW w:w="707" w:type="dxa"/>
            <w:tcBorders>
              <w:top w:val="nil"/>
              <w:bottom w:val="single" w:sz="4" w:space="0" w:color="auto"/>
            </w:tcBorders>
          </w:tcPr>
          <w:p w:rsidR="00000000" w:rsidRDefault="00000000">
            <w:pPr>
              <w:ind w:right="57"/>
              <w:jc w:val="right"/>
            </w:pPr>
            <w:r>
              <w:t>5.1</w:t>
            </w:r>
          </w:p>
        </w:tc>
        <w:tc>
          <w:tcPr>
            <w:tcW w:w="986" w:type="dxa"/>
            <w:tcBorders>
              <w:top w:val="nil"/>
              <w:bottom w:val="single" w:sz="4" w:space="0" w:color="auto"/>
            </w:tcBorders>
          </w:tcPr>
          <w:p w:rsidR="00000000" w:rsidRDefault="00000000">
            <w:pPr>
              <w:ind w:right="170"/>
              <w:jc w:val="right"/>
            </w:pPr>
            <w:r>
              <w:t>7.4</w:t>
            </w:r>
          </w:p>
        </w:tc>
        <w:tc>
          <w:tcPr>
            <w:tcW w:w="707" w:type="dxa"/>
            <w:tcBorders>
              <w:top w:val="nil"/>
              <w:bottom w:val="single" w:sz="4" w:space="0" w:color="auto"/>
            </w:tcBorders>
          </w:tcPr>
          <w:p w:rsidR="00000000" w:rsidRDefault="00000000">
            <w:pPr>
              <w:ind w:right="57"/>
              <w:jc w:val="right"/>
            </w:pPr>
            <w:r>
              <w:t>94.9</w:t>
            </w:r>
          </w:p>
        </w:tc>
        <w:tc>
          <w:tcPr>
            <w:tcW w:w="801" w:type="dxa"/>
            <w:tcBorders>
              <w:top w:val="nil"/>
              <w:bottom w:val="single" w:sz="4" w:space="0" w:color="auto"/>
            </w:tcBorders>
          </w:tcPr>
          <w:p w:rsidR="00000000" w:rsidRDefault="00000000">
            <w:pPr>
              <w:ind w:right="45"/>
              <w:jc w:val="right"/>
            </w:pPr>
            <w:r>
              <w:t>32.2</w:t>
            </w:r>
          </w:p>
        </w:tc>
        <w:tc>
          <w:tcPr>
            <w:tcW w:w="822" w:type="dxa"/>
            <w:tcBorders>
              <w:top w:val="nil"/>
              <w:bottom w:val="single" w:sz="4" w:space="0" w:color="auto"/>
            </w:tcBorders>
          </w:tcPr>
          <w:p w:rsidR="00000000" w:rsidRDefault="00000000">
            <w:pPr>
              <w:ind w:right="170"/>
              <w:jc w:val="right"/>
            </w:pPr>
            <w:r>
              <w:t>1.5</w:t>
            </w:r>
          </w:p>
        </w:tc>
        <w:tc>
          <w:tcPr>
            <w:tcW w:w="709" w:type="dxa"/>
            <w:tcBorders>
              <w:top w:val="nil"/>
              <w:bottom w:val="single" w:sz="4" w:space="0" w:color="auto"/>
            </w:tcBorders>
          </w:tcPr>
          <w:p w:rsidR="00000000" w:rsidRDefault="00000000">
            <w:pPr>
              <w:ind w:right="57"/>
              <w:jc w:val="right"/>
            </w:pPr>
            <w:r>
              <w:t>4.7</w:t>
            </w:r>
          </w:p>
        </w:tc>
        <w:tc>
          <w:tcPr>
            <w:tcW w:w="850" w:type="dxa"/>
            <w:tcBorders>
              <w:top w:val="nil"/>
              <w:bottom w:val="single" w:sz="4" w:space="0" w:color="auto"/>
            </w:tcBorders>
          </w:tcPr>
          <w:p w:rsidR="00000000" w:rsidRDefault="00000000">
            <w:pPr>
              <w:ind w:right="170"/>
              <w:jc w:val="right"/>
            </w:pPr>
            <w:r>
              <w:t>30.7</w:t>
            </w:r>
          </w:p>
        </w:tc>
        <w:tc>
          <w:tcPr>
            <w:tcW w:w="709" w:type="dxa"/>
            <w:tcBorders>
              <w:top w:val="nil"/>
              <w:bottom w:val="single" w:sz="4" w:space="0" w:color="auto"/>
            </w:tcBorders>
          </w:tcPr>
          <w:p w:rsidR="00000000" w:rsidRDefault="00000000">
            <w:pPr>
              <w:ind w:right="57"/>
              <w:jc w:val="right"/>
            </w:pPr>
            <w:r>
              <w:t>95.3</w:t>
            </w:r>
          </w:p>
        </w:tc>
      </w:tr>
      <w:tr w:rsidR="00000000">
        <w:tc>
          <w:tcPr>
            <w:tcW w:w="1131" w:type="dxa"/>
            <w:tcBorders>
              <w:top w:val="single" w:sz="4" w:space="0" w:color="auto"/>
              <w:bottom w:val="single" w:sz="4" w:space="0" w:color="auto"/>
            </w:tcBorders>
          </w:tcPr>
          <w:p w:rsidR="00000000" w:rsidRDefault="00000000">
            <w:r>
              <w:t xml:space="preserve">     Total</w:t>
            </w:r>
          </w:p>
        </w:tc>
        <w:tc>
          <w:tcPr>
            <w:tcW w:w="723" w:type="dxa"/>
            <w:tcBorders>
              <w:top w:val="single" w:sz="4" w:space="0" w:color="auto"/>
              <w:bottom w:val="single" w:sz="4" w:space="0" w:color="auto"/>
            </w:tcBorders>
          </w:tcPr>
          <w:p w:rsidR="00000000" w:rsidRDefault="00000000">
            <w:pPr>
              <w:ind w:right="45"/>
              <w:jc w:val="right"/>
            </w:pPr>
            <w:r>
              <w:t>41.8</w:t>
            </w:r>
          </w:p>
        </w:tc>
        <w:tc>
          <w:tcPr>
            <w:tcW w:w="972" w:type="dxa"/>
            <w:tcBorders>
              <w:top w:val="single" w:sz="4" w:space="0" w:color="auto"/>
              <w:bottom w:val="single" w:sz="4" w:space="0" w:color="auto"/>
            </w:tcBorders>
          </w:tcPr>
          <w:p w:rsidR="00000000" w:rsidRDefault="00000000">
            <w:pPr>
              <w:ind w:right="170"/>
              <w:jc w:val="right"/>
            </w:pPr>
            <w:r>
              <w:t>17.8</w:t>
            </w:r>
          </w:p>
        </w:tc>
        <w:tc>
          <w:tcPr>
            <w:tcW w:w="707" w:type="dxa"/>
            <w:tcBorders>
              <w:top w:val="single" w:sz="4" w:space="0" w:color="auto"/>
              <w:bottom w:val="single" w:sz="4" w:space="0" w:color="auto"/>
            </w:tcBorders>
          </w:tcPr>
          <w:p w:rsidR="00000000" w:rsidRDefault="00000000">
            <w:pPr>
              <w:ind w:right="57"/>
              <w:jc w:val="right"/>
            </w:pPr>
            <w:r>
              <w:t>42.6</w:t>
            </w:r>
          </w:p>
        </w:tc>
        <w:tc>
          <w:tcPr>
            <w:tcW w:w="986" w:type="dxa"/>
            <w:tcBorders>
              <w:top w:val="single" w:sz="4" w:space="0" w:color="auto"/>
              <w:bottom w:val="single" w:sz="4" w:space="0" w:color="auto"/>
            </w:tcBorders>
          </w:tcPr>
          <w:p w:rsidR="00000000" w:rsidRDefault="00000000">
            <w:pPr>
              <w:ind w:right="170"/>
              <w:jc w:val="right"/>
            </w:pPr>
            <w:r>
              <w:t>24.0</w:t>
            </w:r>
          </w:p>
        </w:tc>
        <w:tc>
          <w:tcPr>
            <w:tcW w:w="707" w:type="dxa"/>
            <w:tcBorders>
              <w:top w:val="single" w:sz="4" w:space="0" w:color="auto"/>
              <w:bottom w:val="single" w:sz="4" w:space="0" w:color="auto"/>
            </w:tcBorders>
          </w:tcPr>
          <w:p w:rsidR="00000000" w:rsidRDefault="00000000">
            <w:pPr>
              <w:ind w:right="57"/>
              <w:jc w:val="right"/>
            </w:pPr>
            <w:r>
              <w:t>57.4</w:t>
            </w:r>
          </w:p>
        </w:tc>
        <w:tc>
          <w:tcPr>
            <w:tcW w:w="801" w:type="dxa"/>
            <w:tcBorders>
              <w:top w:val="single" w:sz="4" w:space="0" w:color="auto"/>
              <w:bottom w:val="single" w:sz="4" w:space="0" w:color="auto"/>
            </w:tcBorders>
          </w:tcPr>
          <w:p w:rsidR="00000000" w:rsidRDefault="00000000">
            <w:pPr>
              <w:ind w:right="45"/>
              <w:jc w:val="right"/>
            </w:pPr>
            <w:r>
              <w:t>157.4</w:t>
            </w:r>
          </w:p>
        </w:tc>
        <w:tc>
          <w:tcPr>
            <w:tcW w:w="822" w:type="dxa"/>
            <w:tcBorders>
              <w:top w:val="single" w:sz="4" w:space="0" w:color="auto"/>
              <w:bottom w:val="single" w:sz="4" w:space="0" w:color="auto"/>
            </w:tcBorders>
          </w:tcPr>
          <w:p w:rsidR="00000000" w:rsidRDefault="00000000">
            <w:pPr>
              <w:ind w:right="170"/>
              <w:jc w:val="right"/>
            </w:pPr>
            <w:r>
              <w:t>63.2</w:t>
            </w:r>
          </w:p>
        </w:tc>
        <w:tc>
          <w:tcPr>
            <w:tcW w:w="709" w:type="dxa"/>
            <w:tcBorders>
              <w:top w:val="single" w:sz="4" w:space="0" w:color="auto"/>
              <w:bottom w:val="single" w:sz="4" w:space="0" w:color="auto"/>
            </w:tcBorders>
          </w:tcPr>
          <w:p w:rsidR="00000000" w:rsidRDefault="00000000">
            <w:pPr>
              <w:ind w:right="57"/>
              <w:jc w:val="right"/>
            </w:pPr>
            <w:r>
              <w:t>40.2</w:t>
            </w:r>
          </w:p>
        </w:tc>
        <w:tc>
          <w:tcPr>
            <w:tcW w:w="850" w:type="dxa"/>
            <w:tcBorders>
              <w:top w:val="single" w:sz="4" w:space="0" w:color="auto"/>
              <w:bottom w:val="single" w:sz="4" w:space="0" w:color="auto"/>
            </w:tcBorders>
          </w:tcPr>
          <w:p w:rsidR="00000000" w:rsidRDefault="00000000">
            <w:pPr>
              <w:ind w:right="170"/>
              <w:jc w:val="right"/>
            </w:pPr>
            <w:r>
              <w:t>94.2</w:t>
            </w:r>
          </w:p>
        </w:tc>
        <w:tc>
          <w:tcPr>
            <w:tcW w:w="709" w:type="dxa"/>
            <w:tcBorders>
              <w:top w:val="single" w:sz="4" w:space="0" w:color="auto"/>
              <w:bottom w:val="single" w:sz="4" w:space="0" w:color="auto"/>
            </w:tcBorders>
          </w:tcPr>
          <w:p w:rsidR="00000000" w:rsidRDefault="00000000">
            <w:pPr>
              <w:ind w:right="57"/>
              <w:jc w:val="right"/>
            </w:pPr>
            <w:r>
              <w:t>59.8</w:t>
            </w:r>
          </w:p>
        </w:tc>
      </w:tr>
    </w:tbl>
    <w:p w:rsidR="00000000" w:rsidRDefault="00000000">
      <w:pPr>
        <w:rPr>
          <w:kern w:val="16"/>
        </w:rPr>
      </w:pPr>
    </w:p>
    <w:p w:rsidR="00000000" w:rsidRDefault="00000000">
      <w:pPr>
        <w:rPr>
          <w:kern w:val="16"/>
        </w:rPr>
      </w:pPr>
      <w:r>
        <w:rPr>
          <w:kern w:val="16"/>
        </w:rPr>
        <w:tab/>
      </w:r>
      <w:r>
        <w:rPr>
          <w:kern w:val="16"/>
          <w:u w:val="single"/>
        </w:rPr>
        <w:t>Source</w:t>
      </w:r>
      <w:r>
        <w:rPr>
          <w:kern w:val="16"/>
        </w:rPr>
        <w:t>:  IBGE</w:t>
      </w:r>
      <w:r>
        <w:rPr>
          <w:kern w:val="16"/>
        </w:rPr>
        <w:noBreakHyphen/>
        <w:t xml:space="preserve">PNAD </w:t>
      </w:r>
      <w:r>
        <w:rPr>
          <w:kern w:val="16"/>
        </w:rPr>
        <w:noBreakHyphen/>
        <w:t xml:space="preserve"> 1998.</w:t>
      </w:r>
    </w:p>
    <w:p w:rsidR="00000000" w:rsidRDefault="00000000">
      <w:pPr>
        <w:rPr>
          <w:kern w:val="16"/>
        </w:rPr>
      </w:pPr>
    </w:p>
    <w:p w:rsidR="00000000" w:rsidRDefault="00000000">
      <w:pPr>
        <w:pStyle w:val="Heading1"/>
        <w:rPr>
          <w:kern w:val="20"/>
        </w:rPr>
      </w:pPr>
      <w:r>
        <w:rPr>
          <w:kern w:val="20"/>
        </w:rPr>
        <w:br w:type="page"/>
        <w:t>Table 80</w:t>
      </w:r>
    </w:p>
    <w:p w:rsidR="00000000" w:rsidRDefault="00000000">
      <w:pPr>
        <w:pStyle w:val="Heading1"/>
        <w:rPr>
          <w:kern w:val="20"/>
        </w:rPr>
      </w:pPr>
    </w:p>
    <w:p w:rsidR="00000000" w:rsidRDefault="00000000">
      <w:pPr>
        <w:pStyle w:val="Heading1"/>
        <w:rPr>
          <w:kern w:val="20"/>
        </w:rPr>
      </w:pPr>
      <w:r>
        <w:rPr>
          <w:kern w:val="20"/>
        </w:rPr>
        <w:t>Access to bathrooms or sanitary facilities</w:t>
      </w:r>
    </w:p>
    <w:p w:rsidR="00000000" w:rsidRDefault="00000000"/>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1"/>
        <w:gridCol w:w="723"/>
        <w:gridCol w:w="972"/>
        <w:gridCol w:w="707"/>
        <w:gridCol w:w="986"/>
        <w:gridCol w:w="707"/>
        <w:gridCol w:w="813"/>
        <w:gridCol w:w="822"/>
        <w:gridCol w:w="709"/>
        <w:gridCol w:w="850"/>
        <w:gridCol w:w="709"/>
      </w:tblGrid>
      <w:tr w:rsidR="00000000">
        <w:tblPrEx>
          <w:tblCellMar>
            <w:top w:w="0" w:type="dxa"/>
            <w:bottom w:w="0" w:type="dxa"/>
          </w:tblCellMar>
        </w:tblPrEx>
        <w:trPr>
          <w:cantSplit/>
        </w:trPr>
        <w:tc>
          <w:tcPr>
            <w:tcW w:w="1131" w:type="dxa"/>
            <w:vMerge w:val="restart"/>
            <w:vAlign w:val="center"/>
          </w:tcPr>
          <w:p w:rsidR="00000000" w:rsidRDefault="00000000">
            <w:r>
              <w:t>Location</w:t>
            </w:r>
          </w:p>
        </w:tc>
        <w:tc>
          <w:tcPr>
            <w:tcW w:w="4095" w:type="dxa"/>
            <w:gridSpan w:val="5"/>
            <w:tcBorders>
              <w:bottom w:val="nil"/>
            </w:tcBorders>
          </w:tcPr>
          <w:p w:rsidR="00000000" w:rsidRDefault="00000000">
            <w:pPr>
              <w:jc w:val="center"/>
            </w:pPr>
            <w:r>
              <w:t>Households</w:t>
            </w:r>
          </w:p>
        </w:tc>
        <w:tc>
          <w:tcPr>
            <w:tcW w:w="3903" w:type="dxa"/>
            <w:gridSpan w:val="5"/>
            <w:tcBorders>
              <w:bottom w:val="nil"/>
            </w:tcBorders>
          </w:tcPr>
          <w:p w:rsidR="00000000" w:rsidRDefault="00000000">
            <w:pPr>
              <w:jc w:val="center"/>
            </w:pPr>
            <w:r>
              <w:t>Residents</w:t>
            </w:r>
          </w:p>
        </w:tc>
      </w:tr>
      <w:tr w:rsidR="00000000">
        <w:tblPrEx>
          <w:tblCellMar>
            <w:top w:w="0" w:type="dxa"/>
            <w:bottom w:w="0" w:type="dxa"/>
          </w:tblCellMar>
        </w:tblPrEx>
        <w:trPr>
          <w:cantSplit/>
        </w:trPr>
        <w:tc>
          <w:tcPr>
            <w:tcW w:w="1131" w:type="dxa"/>
            <w:vMerge/>
          </w:tcPr>
          <w:p w:rsidR="00000000" w:rsidRDefault="00000000"/>
        </w:tc>
        <w:tc>
          <w:tcPr>
            <w:tcW w:w="4095" w:type="dxa"/>
            <w:gridSpan w:val="5"/>
            <w:tcBorders>
              <w:top w:val="nil"/>
            </w:tcBorders>
          </w:tcPr>
          <w:p w:rsidR="00000000" w:rsidRDefault="00000000">
            <w:pPr>
              <w:jc w:val="center"/>
            </w:pPr>
            <w:r>
              <w:t>(million households)</w:t>
            </w:r>
          </w:p>
        </w:tc>
        <w:tc>
          <w:tcPr>
            <w:tcW w:w="3903" w:type="dxa"/>
            <w:gridSpan w:val="5"/>
            <w:tcBorders>
              <w:top w:val="nil"/>
            </w:tcBorders>
          </w:tcPr>
          <w:p w:rsidR="00000000" w:rsidRDefault="00000000">
            <w:pPr>
              <w:jc w:val="center"/>
            </w:pPr>
            <w:r>
              <w:t>(million inhabitants)</w:t>
            </w:r>
          </w:p>
        </w:tc>
      </w:tr>
      <w:tr w:rsidR="00000000">
        <w:tblPrEx>
          <w:tblCellMar>
            <w:top w:w="0" w:type="dxa"/>
            <w:bottom w:w="0" w:type="dxa"/>
          </w:tblCellMar>
        </w:tblPrEx>
        <w:trPr>
          <w:cantSplit/>
        </w:trPr>
        <w:tc>
          <w:tcPr>
            <w:tcW w:w="1131" w:type="dxa"/>
            <w:vMerge/>
          </w:tcPr>
          <w:p w:rsidR="00000000" w:rsidRDefault="00000000"/>
        </w:tc>
        <w:tc>
          <w:tcPr>
            <w:tcW w:w="723" w:type="dxa"/>
            <w:vMerge w:val="restart"/>
          </w:tcPr>
          <w:p w:rsidR="00000000" w:rsidRDefault="00000000">
            <w:pPr>
              <w:jc w:val="center"/>
            </w:pPr>
            <w:r>
              <w:t>Total</w:t>
            </w:r>
          </w:p>
        </w:tc>
        <w:tc>
          <w:tcPr>
            <w:tcW w:w="1679" w:type="dxa"/>
            <w:gridSpan w:val="2"/>
          </w:tcPr>
          <w:p w:rsidR="00000000" w:rsidRDefault="00000000">
            <w:pPr>
              <w:jc w:val="center"/>
            </w:pPr>
            <w:r>
              <w:t>Serviced</w:t>
            </w:r>
          </w:p>
        </w:tc>
        <w:tc>
          <w:tcPr>
            <w:tcW w:w="1693" w:type="dxa"/>
            <w:gridSpan w:val="2"/>
          </w:tcPr>
          <w:p w:rsidR="00000000" w:rsidRDefault="00000000">
            <w:pPr>
              <w:jc w:val="center"/>
            </w:pPr>
            <w:r>
              <w:t>Not serviced</w:t>
            </w:r>
          </w:p>
        </w:tc>
        <w:tc>
          <w:tcPr>
            <w:tcW w:w="813" w:type="dxa"/>
            <w:vMerge w:val="restart"/>
          </w:tcPr>
          <w:p w:rsidR="00000000" w:rsidRDefault="00000000">
            <w:pPr>
              <w:jc w:val="center"/>
            </w:pPr>
            <w:r>
              <w:t>Total</w:t>
            </w:r>
          </w:p>
        </w:tc>
        <w:tc>
          <w:tcPr>
            <w:tcW w:w="1531" w:type="dxa"/>
            <w:gridSpan w:val="2"/>
          </w:tcPr>
          <w:p w:rsidR="00000000" w:rsidRDefault="00000000">
            <w:pPr>
              <w:jc w:val="center"/>
            </w:pPr>
            <w:r>
              <w:t>Serviced</w:t>
            </w:r>
          </w:p>
        </w:tc>
        <w:tc>
          <w:tcPr>
            <w:tcW w:w="1559" w:type="dxa"/>
            <w:gridSpan w:val="2"/>
          </w:tcPr>
          <w:p w:rsidR="00000000" w:rsidRDefault="00000000">
            <w:pPr>
              <w:jc w:val="center"/>
            </w:pPr>
            <w:r>
              <w:t>Not serviced</w:t>
            </w:r>
          </w:p>
        </w:tc>
      </w:tr>
      <w:tr w:rsidR="00000000">
        <w:tblPrEx>
          <w:tblCellMar>
            <w:top w:w="0" w:type="dxa"/>
            <w:bottom w:w="0" w:type="dxa"/>
          </w:tblCellMar>
        </w:tblPrEx>
        <w:trPr>
          <w:cantSplit/>
        </w:trPr>
        <w:tc>
          <w:tcPr>
            <w:tcW w:w="1131" w:type="dxa"/>
            <w:vMerge/>
            <w:tcBorders>
              <w:bottom w:val="single" w:sz="4" w:space="0" w:color="auto"/>
            </w:tcBorders>
          </w:tcPr>
          <w:p w:rsidR="00000000" w:rsidRDefault="00000000"/>
        </w:tc>
        <w:tc>
          <w:tcPr>
            <w:tcW w:w="723" w:type="dxa"/>
            <w:vMerge/>
            <w:tcBorders>
              <w:bottom w:val="single" w:sz="4" w:space="0" w:color="auto"/>
            </w:tcBorders>
          </w:tcPr>
          <w:p w:rsidR="00000000" w:rsidRDefault="00000000">
            <w:pPr>
              <w:jc w:val="center"/>
            </w:pPr>
          </w:p>
        </w:tc>
        <w:tc>
          <w:tcPr>
            <w:tcW w:w="972" w:type="dxa"/>
            <w:tcBorders>
              <w:bottom w:val="single" w:sz="4" w:space="0" w:color="auto"/>
            </w:tcBorders>
          </w:tcPr>
          <w:p w:rsidR="00000000" w:rsidRDefault="00000000">
            <w:pPr>
              <w:ind w:right="25"/>
              <w:jc w:val="center"/>
            </w:pPr>
            <w:r>
              <w:t>Total</w:t>
            </w:r>
          </w:p>
        </w:tc>
        <w:tc>
          <w:tcPr>
            <w:tcW w:w="707" w:type="dxa"/>
            <w:tcBorders>
              <w:bottom w:val="single" w:sz="4" w:space="0" w:color="auto"/>
            </w:tcBorders>
          </w:tcPr>
          <w:p w:rsidR="00000000" w:rsidRDefault="00000000">
            <w:pPr>
              <w:jc w:val="center"/>
            </w:pPr>
            <w:r>
              <w:t>%</w:t>
            </w:r>
          </w:p>
        </w:tc>
        <w:tc>
          <w:tcPr>
            <w:tcW w:w="986" w:type="dxa"/>
            <w:tcBorders>
              <w:bottom w:val="single" w:sz="4" w:space="0" w:color="auto"/>
            </w:tcBorders>
          </w:tcPr>
          <w:p w:rsidR="00000000" w:rsidRDefault="00000000">
            <w:pPr>
              <w:jc w:val="center"/>
            </w:pPr>
            <w:r>
              <w:t>Total</w:t>
            </w:r>
          </w:p>
        </w:tc>
        <w:tc>
          <w:tcPr>
            <w:tcW w:w="707" w:type="dxa"/>
            <w:tcBorders>
              <w:bottom w:val="single" w:sz="4" w:space="0" w:color="auto"/>
            </w:tcBorders>
          </w:tcPr>
          <w:p w:rsidR="00000000" w:rsidRDefault="00000000">
            <w:pPr>
              <w:ind w:right="15"/>
              <w:jc w:val="center"/>
            </w:pPr>
            <w:r>
              <w:t>%</w:t>
            </w:r>
          </w:p>
        </w:tc>
        <w:tc>
          <w:tcPr>
            <w:tcW w:w="813" w:type="dxa"/>
            <w:vMerge/>
            <w:tcBorders>
              <w:bottom w:val="single" w:sz="4" w:space="0" w:color="auto"/>
            </w:tcBorders>
          </w:tcPr>
          <w:p w:rsidR="00000000" w:rsidRDefault="00000000">
            <w:pPr>
              <w:jc w:val="center"/>
            </w:pPr>
          </w:p>
        </w:tc>
        <w:tc>
          <w:tcPr>
            <w:tcW w:w="822" w:type="dxa"/>
            <w:tcBorders>
              <w:bottom w:val="single" w:sz="4" w:space="0" w:color="auto"/>
            </w:tcBorders>
          </w:tcPr>
          <w:p w:rsidR="00000000" w:rsidRDefault="00000000">
            <w:pPr>
              <w:jc w:val="center"/>
            </w:pPr>
            <w:r>
              <w:t>Total</w:t>
            </w:r>
          </w:p>
        </w:tc>
        <w:tc>
          <w:tcPr>
            <w:tcW w:w="709" w:type="dxa"/>
            <w:tcBorders>
              <w:bottom w:val="single" w:sz="4" w:space="0" w:color="auto"/>
            </w:tcBorders>
          </w:tcPr>
          <w:p w:rsidR="00000000" w:rsidRDefault="00000000">
            <w:pPr>
              <w:jc w:val="center"/>
            </w:pPr>
            <w:r>
              <w:t>%</w:t>
            </w:r>
          </w:p>
        </w:tc>
        <w:tc>
          <w:tcPr>
            <w:tcW w:w="850" w:type="dxa"/>
            <w:tcBorders>
              <w:bottom w:val="single" w:sz="4" w:space="0" w:color="auto"/>
            </w:tcBorders>
          </w:tcPr>
          <w:p w:rsidR="00000000" w:rsidRDefault="00000000">
            <w:pPr>
              <w:jc w:val="center"/>
            </w:pPr>
            <w:r>
              <w:t>Total</w:t>
            </w:r>
          </w:p>
        </w:tc>
        <w:tc>
          <w:tcPr>
            <w:tcW w:w="709" w:type="dxa"/>
            <w:tcBorders>
              <w:bottom w:val="single" w:sz="4" w:space="0" w:color="auto"/>
            </w:tcBorders>
          </w:tcPr>
          <w:p w:rsidR="00000000" w:rsidRDefault="00000000">
            <w:pPr>
              <w:jc w:val="center"/>
            </w:pPr>
            <w:r>
              <w:t>%</w:t>
            </w:r>
          </w:p>
        </w:tc>
      </w:tr>
      <w:tr w:rsidR="00000000">
        <w:tblPrEx>
          <w:tblCellMar>
            <w:top w:w="0" w:type="dxa"/>
            <w:bottom w:w="0" w:type="dxa"/>
          </w:tblCellMar>
        </w:tblPrEx>
        <w:tc>
          <w:tcPr>
            <w:tcW w:w="1131" w:type="dxa"/>
            <w:tcBorders>
              <w:bottom w:val="nil"/>
            </w:tcBorders>
          </w:tcPr>
          <w:p w:rsidR="00000000" w:rsidRDefault="00000000">
            <w:r>
              <w:t>Urban</w:t>
            </w:r>
          </w:p>
        </w:tc>
        <w:tc>
          <w:tcPr>
            <w:tcW w:w="723" w:type="dxa"/>
            <w:tcBorders>
              <w:bottom w:val="nil"/>
            </w:tcBorders>
          </w:tcPr>
          <w:p w:rsidR="00000000" w:rsidRDefault="00000000">
            <w:pPr>
              <w:ind w:right="57"/>
              <w:jc w:val="right"/>
            </w:pPr>
            <w:r>
              <w:t>34.0</w:t>
            </w:r>
          </w:p>
        </w:tc>
        <w:tc>
          <w:tcPr>
            <w:tcW w:w="972" w:type="dxa"/>
            <w:tcBorders>
              <w:bottom w:val="nil"/>
            </w:tcBorders>
          </w:tcPr>
          <w:p w:rsidR="00000000" w:rsidRDefault="00000000">
            <w:pPr>
              <w:ind w:right="170"/>
              <w:jc w:val="right"/>
            </w:pPr>
            <w:r>
              <w:t>32.9</w:t>
            </w:r>
          </w:p>
        </w:tc>
        <w:tc>
          <w:tcPr>
            <w:tcW w:w="707" w:type="dxa"/>
            <w:tcBorders>
              <w:bottom w:val="nil"/>
            </w:tcBorders>
          </w:tcPr>
          <w:p w:rsidR="00000000" w:rsidRDefault="00000000">
            <w:pPr>
              <w:ind w:right="57"/>
              <w:jc w:val="right"/>
            </w:pPr>
            <w:r>
              <w:t>96.8</w:t>
            </w:r>
          </w:p>
        </w:tc>
        <w:tc>
          <w:tcPr>
            <w:tcW w:w="986" w:type="dxa"/>
            <w:tcBorders>
              <w:bottom w:val="nil"/>
            </w:tcBorders>
          </w:tcPr>
          <w:p w:rsidR="00000000" w:rsidRDefault="00000000">
            <w:pPr>
              <w:ind w:right="170"/>
              <w:jc w:val="right"/>
            </w:pPr>
            <w:r>
              <w:t>1.1</w:t>
            </w:r>
          </w:p>
        </w:tc>
        <w:tc>
          <w:tcPr>
            <w:tcW w:w="707" w:type="dxa"/>
            <w:tcBorders>
              <w:bottom w:val="nil"/>
            </w:tcBorders>
          </w:tcPr>
          <w:p w:rsidR="00000000" w:rsidRDefault="00000000">
            <w:pPr>
              <w:ind w:right="57"/>
              <w:jc w:val="right"/>
            </w:pPr>
            <w:r>
              <w:t>3.2</w:t>
            </w:r>
          </w:p>
        </w:tc>
        <w:tc>
          <w:tcPr>
            <w:tcW w:w="813" w:type="dxa"/>
            <w:tcBorders>
              <w:bottom w:val="nil"/>
            </w:tcBorders>
          </w:tcPr>
          <w:p w:rsidR="00000000" w:rsidRDefault="00000000">
            <w:pPr>
              <w:ind w:right="57"/>
              <w:jc w:val="right"/>
            </w:pPr>
            <w:r>
              <w:t>125.2</w:t>
            </w:r>
          </w:p>
        </w:tc>
        <w:tc>
          <w:tcPr>
            <w:tcW w:w="822" w:type="dxa"/>
            <w:tcBorders>
              <w:bottom w:val="nil"/>
            </w:tcBorders>
          </w:tcPr>
          <w:p w:rsidR="00000000" w:rsidRDefault="00000000">
            <w:pPr>
              <w:ind w:right="57"/>
              <w:jc w:val="right"/>
            </w:pPr>
            <w:r>
              <w:t>121.1</w:t>
            </w:r>
          </w:p>
        </w:tc>
        <w:tc>
          <w:tcPr>
            <w:tcW w:w="709" w:type="dxa"/>
            <w:tcBorders>
              <w:bottom w:val="nil"/>
            </w:tcBorders>
          </w:tcPr>
          <w:p w:rsidR="00000000" w:rsidRDefault="00000000">
            <w:pPr>
              <w:ind w:right="57"/>
              <w:jc w:val="right"/>
            </w:pPr>
            <w:r>
              <w:t>96.7</w:t>
            </w:r>
          </w:p>
        </w:tc>
        <w:tc>
          <w:tcPr>
            <w:tcW w:w="850" w:type="dxa"/>
            <w:tcBorders>
              <w:bottom w:val="nil"/>
            </w:tcBorders>
          </w:tcPr>
          <w:p w:rsidR="00000000" w:rsidRDefault="00000000">
            <w:pPr>
              <w:ind w:right="170"/>
              <w:jc w:val="right"/>
            </w:pPr>
            <w:r>
              <w:t>4.1</w:t>
            </w:r>
          </w:p>
        </w:tc>
        <w:tc>
          <w:tcPr>
            <w:tcW w:w="709" w:type="dxa"/>
            <w:tcBorders>
              <w:bottom w:val="nil"/>
            </w:tcBorders>
          </w:tcPr>
          <w:p w:rsidR="00000000" w:rsidRDefault="00000000">
            <w:pPr>
              <w:ind w:right="57"/>
              <w:jc w:val="right"/>
            </w:pPr>
            <w:r>
              <w:t>3.3</w:t>
            </w:r>
          </w:p>
        </w:tc>
      </w:tr>
      <w:tr w:rsidR="00000000">
        <w:tblPrEx>
          <w:tblCellMar>
            <w:top w:w="0" w:type="dxa"/>
            <w:bottom w:w="0" w:type="dxa"/>
          </w:tblCellMar>
        </w:tblPrEx>
        <w:tc>
          <w:tcPr>
            <w:tcW w:w="1131" w:type="dxa"/>
            <w:tcBorders>
              <w:top w:val="nil"/>
              <w:bottom w:val="single" w:sz="4" w:space="0" w:color="auto"/>
            </w:tcBorders>
          </w:tcPr>
          <w:p w:rsidR="00000000" w:rsidRDefault="00000000">
            <w:r>
              <w:t>Rural</w:t>
            </w:r>
          </w:p>
        </w:tc>
        <w:tc>
          <w:tcPr>
            <w:tcW w:w="723" w:type="dxa"/>
            <w:tcBorders>
              <w:top w:val="nil"/>
              <w:bottom w:val="single" w:sz="4" w:space="0" w:color="auto"/>
            </w:tcBorders>
          </w:tcPr>
          <w:p w:rsidR="00000000" w:rsidRDefault="00000000">
            <w:pPr>
              <w:ind w:right="57"/>
              <w:jc w:val="right"/>
            </w:pPr>
            <w:r>
              <w:t>7.8</w:t>
            </w:r>
          </w:p>
        </w:tc>
        <w:tc>
          <w:tcPr>
            <w:tcW w:w="972" w:type="dxa"/>
            <w:tcBorders>
              <w:top w:val="nil"/>
              <w:bottom w:val="single" w:sz="4" w:space="0" w:color="auto"/>
            </w:tcBorders>
          </w:tcPr>
          <w:p w:rsidR="00000000" w:rsidRDefault="00000000">
            <w:pPr>
              <w:ind w:right="170"/>
              <w:jc w:val="right"/>
            </w:pPr>
            <w:r>
              <w:t>5.1</w:t>
            </w:r>
          </w:p>
        </w:tc>
        <w:tc>
          <w:tcPr>
            <w:tcW w:w="707" w:type="dxa"/>
            <w:tcBorders>
              <w:top w:val="nil"/>
              <w:bottom w:val="single" w:sz="4" w:space="0" w:color="auto"/>
            </w:tcBorders>
          </w:tcPr>
          <w:p w:rsidR="00000000" w:rsidRDefault="00000000">
            <w:pPr>
              <w:ind w:right="57"/>
              <w:jc w:val="right"/>
            </w:pPr>
            <w:r>
              <w:t>65.4</w:t>
            </w:r>
          </w:p>
        </w:tc>
        <w:tc>
          <w:tcPr>
            <w:tcW w:w="986" w:type="dxa"/>
            <w:tcBorders>
              <w:top w:val="nil"/>
              <w:bottom w:val="single" w:sz="4" w:space="0" w:color="auto"/>
            </w:tcBorders>
          </w:tcPr>
          <w:p w:rsidR="00000000" w:rsidRDefault="00000000">
            <w:pPr>
              <w:ind w:right="170"/>
              <w:jc w:val="right"/>
            </w:pPr>
            <w:r>
              <w:t>1.7</w:t>
            </w:r>
          </w:p>
        </w:tc>
        <w:tc>
          <w:tcPr>
            <w:tcW w:w="707" w:type="dxa"/>
            <w:tcBorders>
              <w:top w:val="nil"/>
              <w:bottom w:val="single" w:sz="4" w:space="0" w:color="auto"/>
            </w:tcBorders>
          </w:tcPr>
          <w:p w:rsidR="00000000" w:rsidRDefault="00000000">
            <w:pPr>
              <w:ind w:right="57"/>
              <w:jc w:val="right"/>
            </w:pPr>
            <w:r>
              <w:t>34.6</w:t>
            </w:r>
          </w:p>
        </w:tc>
        <w:tc>
          <w:tcPr>
            <w:tcW w:w="813" w:type="dxa"/>
            <w:tcBorders>
              <w:top w:val="nil"/>
              <w:bottom w:val="single" w:sz="4" w:space="0" w:color="auto"/>
            </w:tcBorders>
          </w:tcPr>
          <w:p w:rsidR="00000000" w:rsidRDefault="00000000">
            <w:pPr>
              <w:ind w:right="57"/>
              <w:jc w:val="right"/>
            </w:pPr>
            <w:r>
              <w:t>32.2</w:t>
            </w:r>
          </w:p>
        </w:tc>
        <w:tc>
          <w:tcPr>
            <w:tcW w:w="822" w:type="dxa"/>
            <w:tcBorders>
              <w:top w:val="nil"/>
              <w:bottom w:val="single" w:sz="4" w:space="0" w:color="auto"/>
            </w:tcBorders>
          </w:tcPr>
          <w:p w:rsidR="00000000" w:rsidRDefault="00000000">
            <w:pPr>
              <w:ind w:right="57"/>
              <w:jc w:val="right"/>
            </w:pPr>
            <w:r>
              <w:t>20.5</w:t>
            </w:r>
          </w:p>
        </w:tc>
        <w:tc>
          <w:tcPr>
            <w:tcW w:w="709" w:type="dxa"/>
            <w:tcBorders>
              <w:top w:val="nil"/>
              <w:bottom w:val="single" w:sz="4" w:space="0" w:color="auto"/>
            </w:tcBorders>
          </w:tcPr>
          <w:p w:rsidR="00000000" w:rsidRDefault="00000000">
            <w:pPr>
              <w:ind w:right="57"/>
              <w:jc w:val="right"/>
            </w:pPr>
            <w:r>
              <w:t>63.7</w:t>
            </w:r>
          </w:p>
        </w:tc>
        <w:tc>
          <w:tcPr>
            <w:tcW w:w="850" w:type="dxa"/>
            <w:tcBorders>
              <w:top w:val="nil"/>
              <w:bottom w:val="single" w:sz="4" w:space="0" w:color="auto"/>
            </w:tcBorders>
          </w:tcPr>
          <w:p w:rsidR="00000000" w:rsidRDefault="00000000">
            <w:pPr>
              <w:ind w:right="170"/>
              <w:jc w:val="right"/>
            </w:pPr>
            <w:r>
              <w:t>11.7</w:t>
            </w:r>
          </w:p>
        </w:tc>
        <w:tc>
          <w:tcPr>
            <w:tcW w:w="709" w:type="dxa"/>
            <w:tcBorders>
              <w:top w:val="nil"/>
              <w:bottom w:val="single" w:sz="4" w:space="0" w:color="auto"/>
            </w:tcBorders>
          </w:tcPr>
          <w:p w:rsidR="00000000" w:rsidRDefault="00000000">
            <w:pPr>
              <w:ind w:right="57"/>
              <w:jc w:val="right"/>
            </w:pPr>
            <w:r>
              <w:t>36.3</w:t>
            </w:r>
          </w:p>
        </w:tc>
      </w:tr>
      <w:tr w:rsidR="00000000">
        <w:tblPrEx>
          <w:tblCellMar>
            <w:top w:w="0" w:type="dxa"/>
            <w:bottom w:w="0" w:type="dxa"/>
          </w:tblCellMar>
        </w:tblPrEx>
        <w:tc>
          <w:tcPr>
            <w:tcW w:w="1131" w:type="dxa"/>
            <w:tcBorders>
              <w:top w:val="single" w:sz="4" w:space="0" w:color="auto"/>
            </w:tcBorders>
          </w:tcPr>
          <w:p w:rsidR="00000000" w:rsidRDefault="00000000">
            <w:r>
              <w:t xml:space="preserve">   Total</w:t>
            </w:r>
          </w:p>
        </w:tc>
        <w:tc>
          <w:tcPr>
            <w:tcW w:w="723" w:type="dxa"/>
            <w:tcBorders>
              <w:top w:val="single" w:sz="4" w:space="0" w:color="auto"/>
            </w:tcBorders>
          </w:tcPr>
          <w:p w:rsidR="00000000" w:rsidRDefault="00000000">
            <w:pPr>
              <w:ind w:right="57"/>
              <w:jc w:val="right"/>
            </w:pPr>
            <w:r>
              <w:t>41.8</w:t>
            </w:r>
          </w:p>
        </w:tc>
        <w:tc>
          <w:tcPr>
            <w:tcW w:w="972" w:type="dxa"/>
            <w:tcBorders>
              <w:top w:val="single" w:sz="4" w:space="0" w:color="auto"/>
            </w:tcBorders>
          </w:tcPr>
          <w:p w:rsidR="00000000" w:rsidRDefault="00000000">
            <w:pPr>
              <w:ind w:right="170"/>
              <w:jc w:val="right"/>
            </w:pPr>
            <w:r>
              <w:t>38.0</w:t>
            </w:r>
          </w:p>
        </w:tc>
        <w:tc>
          <w:tcPr>
            <w:tcW w:w="707" w:type="dxa"/>
            <w:tcBorders>
              <w:top w:val="single" w:sz="4" w:space="0" w:color="auto"/>
            </w:tcBorders>
          </w:tcPr>
          <w:p w:rsidR="00000000" w:rsidRDefault="00000000">
            <w:pPr>
              <w:ind w:right="57"/>
              <w:jc w:val="right"/>
            </w:pPr>
            <w:r>
              <w:t>90.9</w:t>
            </w:r>
          </w:p>
        </w:tc>
        <w:tc>
          <w:tcPr>
            <w:tcW w:w="986" w:type="dxa"/>
            <w:tcBorders>
              <w:top w:val="single" w:sz="4" w:space="0" w:color="auto"/>
            </w:tcBorders>
          </w:tcPr>
          <w:p w:rsidR="00000000" w:rsidRDefault="00000000">
            <w:pPr>
              <w:ind w:right="170"/>
              <w:jc w:val="right"/>
            </w:pPr>
            <w:r>
              <w:t>3.8</w:t>
            </w:r>
          </w:p>
        </w:tc>
        <w:tc>
          <w:tcPr>
            <w:tcW w:w="707" w:type="dxa"/>
            <w:tcBorders>
              <w:top w:val="single" w:sz="4" w:space="0" w:color="auto"/>
            </w:tcBorders>
          </w:tcPr>
          <w:p w:rsidR="00000000" w:rsidRDefault="00000000">
            <w:pPr>
              <w:ind w:right="57"/>
              <w:jc w:val="right"/>
            </w:pPr>
            <w:r>
              <w:t>9.1</w:t>
            </w:r>
          </w:p>
        </w:tc>
        <w:tc>
          <w:tcPr>
            <w:tcW w:w="813" w:type="dxa"/>
            <w:tcBorders>
              <w:top w:val="single" w:sz="4" w:space="0" w:color="auto"/>
            </w:tcBorders>
          </w:tcPr>
          <w:p w:rsidR="00000000" w:rsidRDefault="00000000">
            <w:pPr>
              <w:ind w:right="57"/>
              <w:jc w:val="right"/>
            </w:pPr>
            <w:r>
              <w:t>157.4</w:t>
            </w:r>
          </w:p>
        </w:tc>
        <w:tc>
          <w:tcPr>
            <w:tcW w:w="822" w:type="dxa"/>
            <w:tcBorders>
              <w:top w:val="single" w:sz="4" w:space="0" w:color="auto"/>
            </w:tcBorders>
          </w:tcPr>
          <w:p w:rsidR="00000000" w:rsidRDefault="00000000">
            <w:pPr>
              <w:ind w:right="57"/>
              <w:jc w:val="right"/>
            </w:pPr>
            <w:r>
              <w:t>141.6</w:t>
            </w:r>
          </w:p>
        </w:tc>
        <w:tc>
          <w:tcPr>
            <w:tcW w:w="709" w:type="dxa"/>
            <w:tcBorders>
              <w:top w:val="single" w:sz="4" w:space="0" w:color="auto"/>
            </w:tcBorders>
          </w:tcPr>
          <w:p w:rsidR="00000000" w:rsidRDefault="00000000">
            <w:pPr>
              <w:ind w:right="57"/>
              <w:jc w:val="right"/>
            </w:pPr>
            <w:r>
              <w:t>90.0</w:t>
            </w:r>
          </w:p>
        </w:tc>
        <w:tc>
          <w:tcPr>
            <w:tcW w:w="850" w:type="dxa"/>
            <w:tcBorders>
              <w:top w:val="single" w:sz="4" w:space="0" w:color="auto"/>
            </w:tcBorders>
          </w:tcPr>
          <w:p w:rsidR="00000000" w:rsidRDefault="00000000">
            <w:pPr>
              <w:ind w:right="170"/>
              <w:jc w:val="right"/>
            </w:pPr>
            <w:r>
              <w:t>15.8</w:t>
            </w:r>
          </w:p>
        </w:tc>
        <w:tc>
          <w:tcPr>
            <w:tcW w:w="709" w:type="dxa"/>
            <w:tcBorders>
              <w:top w:val="single" w:sz="4" w:space="0" w:color="auto"/>
            </w:tcBorders>
          </w:tcPr>
          <w:p w:rsidR="00000000" w:rsidRDefault="00000000">
            <w:pPr>
              <w:ind w:right="57"/>
              <w:jc w:val="right"/>
            </w:pPr>
            <w:r>
              <w:t>10.0</w:t>
            </w:r>
          </w:p>
        </w:tc>
      </w:tr>
    </w:tbl>
    <w:p w:rsidR="00000000" w:rsidRDefault="00000000">
      <w:pPr>
        <w:rPr>
          <w:kern w:val="16"/>
        </w:rPr>
      </w:pPr>
    </w:p>
    <w:p w:rsidR="00000000" w:rsidRDefault="00000000">
      <w:pPr>
        <w:rPr>
          <w:kern w:val="16"/>
        </w:rPr>
      </w:pPr>
      <w:r>
        <w:rPr>
          <w:kern w:val="16"/>
        </w:rPr>
        <w:tab/>
      </w:r>
      <w:r>
        <w:rPr>
          <w:kern w:val="16"/>
          <w:u w:val="single"/>
        </w:rPr>
        <w:t>Source</w:t>
      </w:r>
      <w:r>
        <w:rPr>
          <w:kern w:val="16"/>
        </w:rPr>
        <w:t>:  IBGE</w:t>
      </w:r>
      <w:r>
        <w:rPr>
          <w:kern w:val="16"/>
        </w:rPr>
        <w:noBreakHyphen/>
        <w:t xml:space="preserve">PNAD </w:t>
      </w:r>
      <w:r>
        <w:rPr>
          <w:kern w:val="16"/>
        </w:rPr>
        <w:noBreakHyphen/>
        <w:t xml:space="preserve"> 1998.</w:t>
      </w:r>
    </w:p>
    <w:p w:rsidR="00000000" w:rsidRDefault="00000000">
      <w:pPr>
        <w:rPr>
          <w:kern w:val="16"/>
        </w:rPr>
      </w:pPr>
    </w:p>
    <w:p w:rsidR="00000000" w:rsidRDefault="00000000">
      <w:pPr>
        <w:pStyle w:val="Heading1"/>
        <w:rPr>
          <w:kern w:val="16"/>
        </w:rPr>
      </w:pPr>
      <w:r>
        <w:rPr>
          <w:kern w:val="20"/>
        </w:rPr>
        <w:t>Table 81</w:t>
      </w:r>
    </w:p>
    <w:p w:rsidR="00000000" w:rsidRDefault="00000000">
      <w:pPr>
        <w:rPr>
          <w:kern w:val="16"/>
        </w:rPr>
      </w:pPr>
    </w:p>
    <w:p w:rsidR="00000000" w:rsidRDefault="00000000">
      <w:pPr>
        <w:pStyle w:val="Heading1"/>
        <w:rPr>
          <w:kern w:val="20"/>
        </w:rPr>
      </w:pPr>
      <w:r>
        <w:rPr>
          <w:kern w:val="20"/>
        </w:rPr>
        <w:t>Access to public garbage collection</w:t>
      </w:r>
    </w:p>
    <w:p w:rsidR="00000000" w:rsidRDefault="00000000">
      <w:pPr>
        <w:rPr>
          <w:kern w:val="20"/>
        </w:rPr>
      </w:pPr>
    </w:p>
    <w:tbl>
      <w:tblPr>
        <w:tblW w:w="0" w:type="auto"/>
        <w:tblInd w:w="172" w:type="dxa"/>
        <w:tblLayout w:type="fixed"/>
        <w:tblCellMar>
          <w:left w:w="30" w:type="dxa"/>
          <w:right w:w="30" w:type="dxa"/>
        </w:tblCellMar>
        <w:tblLook w:val="0000" w:firstRow="0" w:lastRow="0" w:firstColumn="0" w:lastColumn="0" w:noHBand="0" w:noVBand="0"/>
      </w:tblPr>
      <w:tblGrid>
        <w:gridCol w:w="1134"/>
        <w:gridCol w:w="709"/>
        <w:gridCol w:w="850"/>
        <w:gridCol w:w="567"/>
        <w:gridCol w:w="851"/>
        <w:gridCol w:w="709"/>
        <w:gridCol w:w="850"/>
        <w:gridCol w:w="709"/>
        <w:gridCol w:w="709"/>
        <w:gridCol w:w="992"/>
        <w:gridCol w:w="992"/>
      </w:tblGrid>
      <w:tr w:rsidR="00000000">
        <w:tblPrEx>
          <w:tblCellMar>
            <w:top w:w="0" w:type="dxa"/>
            <w:bottom w:w="0" w:type="dxa"/>
          </w:tblCellMar>
        </w:tblPrEx>
        <w:trPr>
          <w:cantSplit/>
          <w:trHeight w:val="221"/>
        </w:trPr>
        <w:tc>
          <w:tcPr>
            <w:tcW w:w="1134" w:type="dxa"/>
            <w:vMerge w:val="restart"/>
            <w:tcBorders>
              <w:top w:val="single" w:sz="4" w:space="0" w:color="auto"/>
              <w:left w:val="single" w:sz="4" w:space="0" w:color="auto"/>
              <w:right w:val="single" w:sz="4" w:space="0" w:color="auto"/>
            </w:tcBorders>
            <w:shd w:val="clear" w:color="C0C0C0" w:fill="auto"/>
            <w:vAlign w:val="center"/>
          </w:tcPr>
          <w:p w:rsidR="00000000" w:rsidRDefault="00000000">
            <w:pPr>
              <w:rPr>
                <w:snapToGrid w:val="0"/>
                <w:lang w:eastAsia="pt-BR"/>
              </w:rPr>
            </w:pPr>
            <w:r>
              <w:rPr>
                <w:snapToGrid w:val="0"/>
                <w:lang w:eastAsia="pt-BR"/>
              </w:rPr>
              <w:t>Location</w:t>
            </w:r>
          </w:p>
        </w:tc>
        <w:tc>
          <w:tcPr>
            <w:tcW w:w="3686" w:type="dxa"/>
            <w:gridSpan w:val="5"/>
            <w:tcBorders>
              <w:top w:val="single" w:sz="4" w:space="0" w:color="auto"/>
              <w:left w:val="single" w:sz="4" w:space="0" w:color="auto"/>
              <w:right w:val="single" w:sz="4" w:space="0" w:color="auto"/>
            </w:tcBorders>
            <w:shd w:val="clear" w:color="C0C0C0" w:fill="auto"/>
          </w:tcPr>
          <w:p w:rsidR="00000000" w:rsidRDefault="00000000">
            <w:pPr>
              <w:jc w:val="center"/>
              <w:rPr>
                <w:snapToGrid w:val="0"/>
                <w:lang w:eastAsia="pt-BR"/>
              </w:rPr>
            </w:pPr>
            <w:r>
              <w:rPr>
                <w:snapToGrid w:val="0"/>
                <w:lang w:eastAsia="pt-BR"/>
              </w:rPr>
              <w:t>Households</w:t>
            </w:r>
          </w:p>
        </w:tc>
        <w:tc>
          <w:tcPr>
            <w:tcW w:w="4252" w:type="dxa"/>
            <w:gridSpan w:val="5"/>
            <w:tcBorders>
              <w:top w:val="single" w:sz="4" w:space="0" w:color="auto"/>
              <w:left w:val="single" w:sz="4" w:space="0" w:color="auto"/>
              <w:right w:val="single" w:sz="4" w:space="0" w:color="auto"/>
            </w:tcBorders>
            <w:shd w:val="clear" w:color="C0C0C0" w:fill="auto"/>
          </w:tcPr>
          <w:p w:rsidR="00000000" w:rsidRDefault="00000000">
            <w:pPr>
              <w:jc w:val="center"/>
              <w:rPr>
                <w:snapToGrid w:val="0"/>
                <w:lang w:eastAsia="pt-BR"/>
              </w:rPr>
            </w:pPr>
            <w:r>
              <w:rPr>
                <w:snapToGrid w:val="0"/>
                <w:lang w:eastAsia="pt-BR"/>
              </w:rPr>
              <w:t>Residents</w:t>
            </w:r>
          </w:p>
        </w:tc>
      </w:tr>
      <w:tr w:rsidR="00000000">
        <w:tblPrEx>
          <w:tblCellMar>
            <w:top w:w="0" w:type="dxa"/>
            <w:bottom w:w="0" w:type="dxa"/>
          </w:tblCellMar>
        </w:tblPrEx>
        <w:trPr>
          <w:cantSplit/>
          <w:trHeight w:val="221"/>
        </w:trPr>
        <w:tc>
          <w:tcPr>
            <w:tcW w:w="1134" w:type="dxa"/>
            <w:vMerge/>
            <w:tcBorders>
              <w:left w:val="single" w:sz="4" w:space="0" w:color="auto"/>
              <w:right w:val="single" w:sz="4" w:space="0" w:color="auto"/>
            </w:tcBorders>
            <w:shd w:val="clear" w:color="C0C0C0" w:fill="auto"/>
          </w:tcPr>
          <w:p w:rsidR="00000000" w:rsidRDefault="00000000">
            <w:pPr>
              <w:rPr>
                <w:snapToGrid w:val="0"/>
                <w:lang w:eastAsia="pt-BR"/>
              </w:rPr>
            </w:pPr>
          </w:p>
        </w:tc>
        <w:tc>
          <w:tcPr>
            <w:tcW w:w="3686" w:type="dxa"/>
            <w:gridSpan w:val="5"/>
            <w:tcBorders>
              <w:left w:val="single" w:sz="4" w:space="0" w:color="auto"/>
              <w:bottom w:val="single" w:sz="4" w:space="0" w:color="auto"/>
              <w:right w:val="single" w:sz="4" w:space="0" w:color="auto"/>
            </w:tcBorders>
            <w:shd w:val="clear" w:color="C0C0C0" w:fill="auto"/>
          </w:tcPr>
          <w:p w:rsidR="00000000" w:rsidRDefault="00000000">
            <w:pPr>
              <w:jc w:val="center"/>
              <w:rPr>
                <w:snapToGrid w:val="0"/>
                <w:lang w:eastAsia="pt-BR"/>
              </w:rPr>
            </w:pPr>
            <w:r>
              <w:rPr>
                <w:snapToGrid w:val="0"/>
                <w:lang w:eastAsia="pt-BR"/>
              </w:rPr>
              <w:t>(million households)</w:t>
            </w:r>
          </w:p>
        </w:tc>
        <w:tc>
          <w:tcPr>
            <w:tcW w:w="4252" w:type="dxa"/>
            <w:gridSpan w:val="5"/>
            <w:tcBorders>
              <w:left w:val="single" w:sz="4" w:space="0" w:color="auto"/>
              <w:bottom w:val="single" w:sz="4" w:space="0" w:color="auto"/>
              <w:right w:val="single" w:sz="4" w:space="0" w:color="auto"/>
            </w:tcBorders>
            <w:shd w:val="clear" w:color="C0C0C0" w:fill="auto"/>
          </w:tcPr>
          <w:p w:rsidR="00000000" w:rsidRDefault="00000000">
            <w:pPr>
              <w:jc w:val="center"/>
              <w:rPr>
                <w:snapToGrid w:val="0"/>
                <w:lang w:eastAsia="pt-BR"/>
              </w:rPr>
            </w:pPr>
            <w:r>
              <w:rPr>
                <w:snapToGrid w:val="0"/>
                <w:lang w:eastAsia="pt-BR"/>
              </w:rPr>
              <w:t>(million inhabitants)</w:t>
            </w:r>
          </w:p>
        </w:tc>
      </w:tr>
      <w:tr w:rsidR="00000000">
        <w:tblPrEx>
          <w:tblCellMar>
            <w:top w:w="0" w:type="dxa"/>
            <w:bottom w:w="0" w:type="dxa"/>
          </w:tblCellMar>
        </w:tblPrEx>
        <w:trPr>
          <w:cantSplit/>
          <w:trHeight w:val="276"/>
        </w:trPr>
        <w:tc>
          <w:tcPr>
            <w:tcW w:w="1134" w:type="dxa"/>
            <w:vMerge/>
            <w:tcBorders>
              <w:left w:val="single" w:sz="4" w:space="0" w:color="auto"/>
              <w:right w:val="single" w:sz="4" w:space="0" w:color="auto"/>
            </w:tcBorders>
            <w:shd w:val="clear" w:color="C0C0C0" w:fill="auto"/>
          </w:tcPr>
          <w:p w:rsidR="00000000" w:rsidRDefault="00000000">
            <w:pPr>
              <w:rPr>
                <w:snapToGrid w:val="0"/>
                <w:lang w:eastAsia="pt-BR"/>
              </w:rPr>
            </w:pPr>
          </w:p>
        </w:tc>
        <w:tc>
          <w:tcPr>
            <w:tcW w:w="709" w:type="dxa"/>
            <w:vMerge w:val="restart"/>
            <w:tcBorders>
              <w:top w:val="single" w:sz="4" w:space="0" w:color="auto"/>
              <w:left w:val="single" w:sz="4" w:space="0" w:color="auto"/>
              <w:bottom w:val="nil"/>
              <w:right w:val="single" w:sz="4" w:space="0" w:color="auto"/>
            </w:tcBorders>
            <w:shd w:val="clear" w:color="C0C0C0" w:fill="auto"/>
          </w:tcPr>
          <w:p w:rsidR="00000000" w:rsidRDefault="00000000">
            <w:pPr>
              <w:jc w:val="center"/>
              <w:rPr>
                <w:snapToGrid w:val="0"/>
                <w:lang w:eastAsia="pt-BR"/>
              </w:rPr>
            </w:pPr>
            <w:r>
              <w:rPr>
                <w:snapToGrid w:val="0"/>
                <w:lang w:eastAsia="pt-BR"/>
              </w:rPr>
              <w:t>Total</w:t>
            </w:r>
          </w:p>
        </w:tc>
        <w:tc>
          <w:tcPr>
            <w:tcW w:w="1417" w:type="dxa"/>
            <w:gridSpan w:val="2"/>
            <w:vMerge w:val="restart"/>
            <w:tcBorders>
              <w:top w:val="single" w:sz="4" w:space="0" w:color="auto"/>
              <w:left w:val="single" w:sz="4" w:space="0" w:color="auto"/>
              <w:bottom w:val="nil"/>
              <w:right w:val="single" w:sz="4" w:space="0" w:color="auto"/>
            </w:tcBorders>
            <w:shd w:val="clear" w:color="C0C0C0" w:fill="auto"/>
          </w:tcPr>
          <w:p w:rsidR="00000000" w:rsidRDefault="00000000">
            <w:pPr>
              <w:jc w:val="center"/>
              <w:rPr>
                <w:snapToGrid w:val="0"/>
                <w:lang w:eastAsia="pt-BR"/>
              </w:rPr>
            </w:pPr>
            <w:r>
              <w:rPr>
                <w:snapToGrid w:val="0"/>
                <w:lang w:eastAsia="pt-BR"/>
              </w:rPr>
              <w:t>Serviced</w:t>
            </w:r>
          </w:p>
        </w:tc>
        <w:tc>
          <w:tcPr>
            <w:tcW w:w="1560" w:type="dxa"/>
            <w:gridSpan w:val="2"/>
            <w:vMerge w:val="restart"/>
            <w:tcBorders>
              <w:top w:val="single" w:sz="4" w:space="0" w:color="auto"/>
              <w:left w:val="single" w:sz="4" w:space="0" w:color="auto"/>
              <w:bottom w:val="nil"/>
              <w:right w:val="single" w:sz="4" w:space="0" w:color="auto"/>
            </w:tcBorders>
            <w:shd w:val="clear" w:color="C0C0C0" w:fill="auto"/>
          </w:tcPr>
          <w:p w:rsidR="00000000" w:rsidRDefault="00000000">
            <w:pPr>
              <w:jc w:val="center"/>
              <w:rPr>
                <w:snapToGrid w:val="0"/>
                <w:lang w:eastAsia="pt-BR"/>
              </w:rPr>
            </w:pPr>
            <w:r>
              <w:rPr>
                <w:snapToGrid w:val="0"/>
                <w:lang w:eastAsia="pt-BR"/>
              </w:rPr>
              <w:t>Not serviced</w:t>
            </w:r>
          </w:p>
        </w:tc>
        <w:tc>
          <w:tcPr>
            <w:tcW w:w="850" w:type="dxa"/>
            <w:vMerge w:val="restart"/>
            <w:tcBorders>
              <w:top w:val="single" w:sz="4" w:space="0" w:color="auto"/>
              <w:left w:val="single" w:sz="4" w:space="0" w:color="auto"/>
              <w:bottom w:val="nil"/>
              <w:right w:val="single" w:sz="4" w:space="0" w:color="auto"/>
            </w:tcBorders>
            <w:shd w:val="clear" w:color="C0C0C0" w:fill="auto"/>
          </w:tcPr>
          <w:p w:rsidR="00000000" w:rsidRDefault="00000000">
            <w:pPr>
              <w:jc w:val="center"/>
              <w:rPr>
                <w:snapToGrid w:val="0"/>
                <w:lang w:eastAsia="pt-BR"/>
              </w:rPr>
            </w:pPr>
            <w:r>
              <w:rPr>
                <w:snapToGrid w:val="0"/>
                <w:lang w:eastAsia="pt-BR"/>
              </w:rPr>
              <w:t>Total</w:t>
            </w:r>
          </w:p>
        </w:tc>
        <w:tc>
          <w:tcPr>
            <w:tcW w:w="1418" w:type="dxa"/>
            <w:gridSpan w:val="2"/>
            <w:vMerge w:val="restart"/>
            <w:tcBorders>
              <w:top w:val="single" w:sz="4" w:space="0" w:color="auto"/>
              <w:left w:val="single" w:sz="4" w:space="0" w:color="auto"/>
              <w:bottom w:val="nil"/>
              <w:right w:val="single" w:sz="4" w:space="0" w:color="auto"/>
            </w:tcBorders>
            <w:shd w:val="clear" w:color="C0C0C0" w:fill="auto"/>
          </w:tcPr>
          <w:p w:rsidR="00000000" w:rsidRDefault="00000000">
            <w:pPr>
              <w:jc w:val="center"/>
              <w:rPr>
                <w:snapToGrid w:val="0"/>
                <w:lang w:eastAsia="pt-BR"/>
              </w:rPr>
            </w:pPr>
            <w:r>
              <w:rPr>
                <w:snapToGrid w:val="0"/>
                <w:lang w:eastAsia="pt-BR"/>
              </w:rPr>
              <w:t>Services</w:t>
            </w:r>
          </w:p>
        </w:tc>
        <w:tc>
          <w:tcPr>
            <w:tcW w:w="1984" w:type="dxa"/>
            <w:gridSpan w:val="2"/>
            <w:vMerge w:val="restart"/>
            <w:tcBorders>
              <w:top w:val="single" w:sz="4" w:space="0" w:color="auto"/>
              <w:left w:val="single" w:sz="4" w:space="0" w:color="auto"/>
              <w:bottom w:val="nil"/>
              <w:right w:val="single" w:sz="4" w:space="0" w:color="auto"/>
            </w:tcBorders>
            <w:shd w:val="clear" w:color="C0C0C0" w:fill="auto"/>
          </w:tcPr>
          <w:p w:rsidR="00000000" w:rsidRDefault="00000000">
            <w:pPr>
              <w:jc w:val="center"/>
              <w:rPr>
                <w:snapToGrid w:val="0"/>
                <w:lang w:eastAsia="pt-BR"/>
              </w:rPr>
            </w:pPr>
            <w:r>
              <w:rPr>
                <w:snapToGrid w:val="0"/>
                <w:lang w:eastAsia="pt-BR"/>
              </w:rPr>
              <w:t>Not serviced</w:t>
            </w:r>
          </w:p>
        </w:tc>
      </w:tr>
      <w:tr w:rsidR="00000000">
        <w:tblPrEx>
          <w:tblCellMar>
            <w:top w:w="0" w:type="dxa"/>
            <w:bottom w:w="0" w:type="dxa"/>
          </w:tblCellMar>
        </w:tblPrEx>
        <w:trPr>
          <w:cantSplit/>
          <w:trHeight w:val="276"/>
        </w:trPr>
        <w:tc>
          <w:tcPr>
            <w:tcW w:w="1134" w:type="dxa"/>
            <w:vMerge/>
            <w:tcBorders>
              <w:left w:val="single" w:sz="4" w:space="0" w:color="auto"/>
              <w:right w:val="single" w:sz="4" w:space="0" w:color="auto"/>
            </w:tcBorders>
            <w:shd w:val="clear" w:color="C0C0C0" w:fill="auto"/>
          </w:tcPr>
          <w:p w:rsidR="00000000" w:rsidRDefault="00000000">
            <w:pPr>
              <w:rPr>
                <w:snapToGrid w:val="0"/>
                <w:lang w:eastAsia="pt-BR"/>
              </w:rPr>
            </w:pPr>
          </w:p>
        </w:tc>
        <w:tc>
          <w:tcPr>
            <w:tcW w:w="709" w:type="dxa"/>
            <w:vMerge/>
            <w:tcBorders>
              <w:top w:val="nil"/>
              <w:left w:val="single" w:sz="4" w:space="0" w:color="auto"/>
              <w:bottom w:val="nil"/>
              <w:right w:val="single" w:sz="4" w:space="0" w:color="auto"/>
            </w:tcBorders>
            <w:shd w:val="clear" w:color="C0C0C0" w:fill="auto"/>
          </w:tcPr>
          <w:p w:rsidR="00000000" w:rsidRDefault="00000000">
            <w:pPr>
              <w:jc w:val="center"/>
              <w:rPr>
                <w:snapToGrid w:val="0"/>
                <w:lang w:eastAsia="pt-BR"/>
              </w:rPr>
            </w:pPr>
          </w:p>
        </w:tc>
        <w:tc>
          <w:tcPr>
            <w:tcW w:w="1417" w:type="dxa"/>
            <w:gridSpan w:val="2"/>
            <w:vMerge/>
            <w:tcBorders>
              <w:top w:val="nil"/>
              <w:left w:val="single" w:sz="4" w:space="0" w:color="auto"/>
              <w:bottom w:val="single" w:sz="4" w:space="0" w:color="auto"/>
              <w:right w:val="single" w:sz="4" w:space="0" w:color="auto"/>
            </w:tcBorders>
            <w:shd w:val="clear" w:color="C0C0C0" w:fill="auto"/>
          </w:tcPr>
          <w:p w:rsidR="00000000" w:rsidRDefault="00000000">
            <w:pPr>
              <w:jc w:val="center"/>
              <w:rPr>
                <w:snapToGrid w:val="0"/>
                <w:lang w:eastAsia="pt-BR"/>
              </w:rPr>
            </w:pPr>
          </w:p>
        </w:tc>
        <w:tc>
          <w:tcPr>
            <w:tcW w:w="1560" w:type="dxa"/>
            <w:gridSpan w:val="2"/>
            <w:vMerge/>
            <w:tcBorders>
              <w:top w:val="nil"/>
              <w:left w:val="single" w:sz="4" w:space="0" w:color="auto"/>
              <w:bottom w:val="single" w:sz="4" w:space="0" w:color="auto"/>
              <w:right w:val="single" w:sz="4" w:space="0" w:color="auto"/>
            </w:tcBorders>
            <w:shd w:val="clear" w:color="C0C0C0" w:fill="auto"/>
          </w:tcPr>
          <w:p w:rsidR="00000000" w:rsidRDefault="00000000">
            <w:pPr>
              <w:jc w:val="center"/>
              <w:rPr>
                <w:snapToGrid w:val="0"/>
                <w:lang w:eastAsia="pt-BR"/>
              </w:rPr>
            </w:pPr>
          </w:p>
        </w:tc>
        <w:tc>
          <w:tcPr>
            <w:tcW w:w="850" w:type="dxa"/>
            <w:vMerge/>
            <w:tcBorders>
              <w:top w:val="nil"/>
              <w:left w:val="single" w:sz="4" w:space="0" w:color="auto"/>
              <w:bottom w:val="nil"/>
              <w:right w:val="single" w:sz="4" w:space="0" w:color="auto"/>
            </w:tcBorders>
            <w:shd w:val="clear" w:color="C0C0C0" w:fill="auto"/>
          </w:tcPr>
          <w:p w:rsidR="00000000" w:rsidRDefault="00000000">
            <w:pPr>
              <w:jc w:val="center"/>
              <w:rPr>
                <w:snapToGrid w:val="0"/>
                <w:lang w:eastAsia="pt-BR"/>
              </w:rPr>
            </w:pPr>
          </w:p>
        </w:tc>
        <w:tc>
          <w:tcPr>
            <w:tcW w:w="1418" w:type="dxa"/>
            <w:gridSpan w:val="2"/>
            <w:vMerge/>
            <w:tcBorders>
              <w:top w:val="nil"/>
              <w:left w:val="single" w:sz="4" w:space="0" w:color="auto"/>
              <w:bottom w:val="single" w:sz="4" w:space="0" w:color="auto"/>
              <w:right w:val="single" w:sz="4" w:space="0" w:color="auto"/>
            </w:tcBorders>
            <w:shd w:val="clear" w:color="C0C0C0" w:fill="auto"/>
          </w:tcPr>
          <w:p w:rsidR="00000000" w:rsidRDefault="00000000">
            <w:pPr>
              <w:jc w:val="center"/>
              <w:rPr>
                <w:snapToGrid w:val="0"/>
                <w:lang w:eastAsia="pt-BR"/>
              </w:rPr>
            </w:pPr>
          </w:p>
        </w:tc>
        <w:tc>
          <w:tcPr>
            <w:tcW w:w="1984" w:type="dxa"/>
            <w:gridSpan w:val="2"/>
            <w:vMerge/>
            <w:tcBorders>
              <w:top w:val="nil"/>
              <w:left w:val="single" w:sz="4" w:space="0" w:color="auto"/>
              <w:bottom w:val="single" w:sz="4" w:space="0" w:color="auto"/>
              <w:right w:val="single" w:sz="4" w:space="0" w:color="auto"/>
            </w:tcBorders>
            <w:shd w:val="clear" w:color="C0C0C0" w:fill="auto"/>
          </w:tcPr>
          <w:p w:rsidR="00000000" w:rsidRDefault="00000000">
            <w:pPr>
              <w:jc w:val="center"/>
              <w:rPr>
                <w:snapToGrid w:val="0"/>
                <w:lang w:eastAsia="pt-BR"/>
              </w:rPr>
            </w:pPr>
          </w:p>
        </w:tc>
      </w:tr>
      <w:tr w:rsidR="00000000">
        <w:tblPrEx>
          <w:tblCellMar>
            <w:top w:w="0" w:type="dxa"/>
            <w:bottom w:w="0" w:type="dxa"/>
          </w:tblCellMar>
        </w:tblPrEx>
        <w:trPr>
          <w:cantSplit/>
          <w:trHeight w:val="221"/>
        </w:trPr>
        <w:tc>
          <w:tcPr>
            <w:tcW w:w="1134" w:type="dxa"/>
            <w:vMerge/>
            <w:tcBorders>
              <w:left w:val="single" w:sz="4" w:space="0" w:color="auto"/>
              <w:bottom w:val="single" w:sz="4" w:space="0" w:color="auto"/>
              <w:right w:val="single" w:sz="4" w:space="0" w:color="auto"/>
            </w:tcBorders>
            <w:shd w:val="clear" w:color="C0C0C0" w:fill="auto"/>
          </w:tcPr>
          <w:p w:rsidR="00000000" w:rsidRDefault="00000000">
            <w:pPr>
              <w:rPr>
                <w:snapToGrid w:val="0"/>
                <w:lang w:eastAsia="pt-BR"/>
              </w:rPr>
            </w:pPr>
          </w:p>
        </w:tc>
        <w:tc>
          <w:tcPr>
            <w:tcW w:w="709" w:type="dxa"/>
            <w:vMerge/>
            <w:tcBorders>
              <w:top w:val="nil"/>
              <w:left w:val="single" w:sz="4" w:space="0" w:color="auto"/>
              <w:bottom w:val="single" w:sz="4" w:space="0" w:color="auto"/>
              <w:right w:val="single" w:sz="4" w:space="0" w:color="auto"/>
            </w:tcBorders>
            <w:shd w:val="clear" w:color="C0C0C0" w:fill="auto"/>
          </w:tcPr>
          <w:p w:rsidR="00000000" w:rsidRDefault="00000000">
            <w:pPr>
              <w:rPr>
                <w:snapToGrid w:val="0"/>
                <w:lang w:eastAsia="pt-BR"/>
              </w:rPr>
            </w:pPr>
          </w:p>
        </w:tc>
        <w:tc>
          <w:tcPr>
            <w:tcW w:w="850" w:type="dxa"/>
            <w:tcBorders>
              <w:top w:val="single" w:sz="4" w:space="0" w:color="auto"/>
              <w:left w:val="single" w:sz="4" w:space="0" w:color="auto"/>
              <w:bottom w:val="single" w:sz="4" w:space="0" w:color="auto"/>
              <w:right w:val="single" w:sz="4" w:space="0" w:color="auto"/>
            </w:tcBorders>
            <w:shd w:val="clear" w:color="C0C0C0" w:fill="auto"/>
          </w:tcPr>
          <w:p w:rsidR="00000000" w:rsidRDefault="00000000">
            <w:pPr>
              <w:jc w:val="center"/>
              <w:rPr>
                <w:snapToGrid w:val="0"/>
                <w:lang w:eastAsia="pt-BR"/>
              </w:rPr>
            </w:pPr>
            <w:r>
              <w:rPr>
                <w:snapToGrid w:val="0"/>
                <w:lang w:eastAsia="pt-BR"/>
              </w:rPr>
              <w:t>Total</w:t>
            </w:r>
          </w:p>
        </w:tc>
        <w:tc>
          <w:tcPr>
            <w:tcW w:w="567" w:type="dxa"/>
            <w:tcBorders>
              <w:top w:val="single" w:sz="4" w:space="0" w:color="auto"/>
              <w:left w:val="single" w:sz="4" w:space="0" w:color="auto"/>
              <w:bottom w:val="single" w:sz="4" w:space="0" w:color="auto"/>
              <w:right w:val="single" w:sz="4" w:space="0" w:color="auto"/>
            </w:tcBorders>
            <w:shd w:val="clear" w:color="C0C0C0" w:fill="auto"/>
          </w:tcPr>
          <w:p w:rsidR="00000000" w:rsidRDefault="00000000">
            <w:pPr>
              <w:jc w:val="center"/>
              <w:rPr>
                <w:snapToGrid w:val="0"/>
                <w:lang w:eastAsia="pt-BR"/>
              </w:rPr>
            </w:pPr>
            <w:r>
              <w:rPr>
                <w:snapToGrid w:val="0"/>
                <w:lang w:eastAsia="pt-BR"/>
              </w:rPr>
              <w:t>%</w:t>
            </w:r>
          </w:p>
        </w:tc>
        <w:tc>
          <w:tcPr>
            <w:tcW w:w="851" w:type="dxa"/>
            <w:tcBorders>
              <w:top w:val="single" w:sz="4" w:space="0" w:color="auto"/>
              <w:left w:val="single" w:sz="4" w:space="0" w:color="auto"/>
              <w:bottom w:val="single" w:sz="4" w:space="0" w:color="auto"/>
              <w:right w:val="single" w:sz="4" w:space="0" w:color="auto"/>
            </w:tcBorders>
            <w:shd w:val="clear" w:color="C0C0C0" w:fill="auto"/>
          </w:tcPr>
          <w:p w:rsidR="00000000" w:rsidRDefault="00000000">
            <w:pPr>
              <w:jc w:val="center"/>
              <w:rPr>
                <w:snapToGrid w:val="0"/>
                <w:lang w:eastAsia="pt-BR"/>
              </w:rPr>
            </w:pPr>
            <w:r>
              <w:rPr>
                <w:snapToGrid w:val="0"/>
                <w:lang w:eastAsia="pt-BR"/>
              </w:rPr>
              <w:t>Total</w:t>
            </w:r>
          </w:p>
        </w:tc>
        <w:tc>
          <w:tcPr>
            <w:tcW w:w="709" w:type="dxa"/>
            <w:tcBorders>
              <w:top w:val="single" w:sz="4" w:space="0" w:color="auto"/>
              <w:left w:val="single" w:sz="4" w:space="0" w:color="auto"/>
              <w:bottom w:val="single" w:sz="4" w:space="0" w:color="auto"/>
              <w:right w:val="single" w:sz="4" w:space="0" w:color="auto"/>
            </w:tcBorders>
            <w:shd w:val="clear" w:color="C0C0C0" w:fill="auto"/>
          </w:tcPr>
          <w:p w:rsidR="00000000" w:rsidRDefault="00000000">
            <w:pPr>
              <w:jc w:val="center"/>
              <w:rPr>
                <w:snapToGrid w:val="0"/>
                <w:lang w:eastAsia="pt-BR"/>
              </w:rPr>
            </w:pPr>
            <w:r>
              <w:rPr>
                <w:snapToGrid w:val="0"/>
                <w:lang w:eastAsia="pt-BR"/>
              </w:rPr>
              <w:t>%</w:t>
            </w:r>
          </w:p>
        </w:tc>
        <w:tc>
          <w:tcPr>
            <w:tcW w:w="850" w:type="dxa"/>
            <w:vMerge/>
            <w:tcBorders>
              <w:top w:val="nil"/>
              <w:left w:val="single" w:sz="4" w:space="0" w:color="auto"/>
              <w:bottom w:val="single" w:sz="4" w:space="0" w:color="auto"/>
              <w:right w:val="single" w:sz="4" w:space="0" w:color="auto"/>
            </w:tcBorders>
            <w:shd w:val="clear" w:color="C0C0C0" w:fill="auto"/>
          </w:tcPr>
          <w:p w:rsidR="00000000" w:rsidRDefault="00000000">
            <w:pPr>
              <w:jc w:val="center"/>
              <w:rPr>
                <w:snapToGrid w:val="0"/>
                <w:lang w:eastAsia="pt-BR"/>
              </w:rPr>
            </w:pPr>
          </w:p>
        </w:tc>
        <w:tc>
          <w:tcPr>
            <w:tcW w:w="709" w:type="dxa"/>
            <w:tcBorders>
              <w:top w:val="single" w:sz="4" w:space="0" w:color="auto"/>
              <w:left w:val="single" w:sz="4" w:space="0" w:color="auto"/>
              <w:bottom w:val="single" w:sz="4" w:space="0" w:color="auto"/>
              <w:right w:val="single" w:sz="4" w:space="0" w:color="auto"/>
            </w:tcBorders>
            <w:shd w:val="clear" w:color="C0C0C0" w:fill="auto"/>
          </w:tcPr>
          <w:p w:rsidR="00000000" w:rsidRDefault="00000000">
            <w:pPr>
              <w:jc w:val="center"/>
              <w:rPr>
                <w:snapToGrid w:val="0"/>
                <w:lang w:eastAsia="pt-BR"/>
              </w:rPr>
            </w:pPr>
            <w:r>
              <w:rPr>
                <w:snapToGrid w:val="0"/>
                <w:lang w:eastAsia="pt-BR"/>
              </w:rPr>
              <w:t>Total</w:t>
            </w:r>
          </w:p>
        </w:tc>
        <w:tc>
          <w:tcPr>
            <w:tcW w:w="709" w:type="dxa"/>
            <w:tcBorders>
              <w:top w:val="single" w:sz="4" w:space="0" w:color="auto"/>
              <w:left w:val="single" w:sz="4" w:space="0" w:color="auto"/>
              <w:bottom w:val="single" w:sz="4" w:space="0" w:color="auto"/>
              <w:right w:val="single" w:sz="4" w:space="0" w:color="auto"/>
            </w:tcBorders>
            <w:shd w:val="clear" w:color="C0C0C0" w:fill="auto"/>
          </w:tcPr>
          <w:p w:rsidR="00000000" w:rsidRDefault="00000000">
            <w:pPr>
              <w:jc w:val="center"/>
              <w:rPr>
                <w:snapToGrid w:val="0"/>
                <w:lang w:eastAsia="pt-BR"/>
              </w:rPr>
            </w:pPr>
            <w:r>
              <w:rPr>
                <w:snapToGrid w:val="0"/>
                <w:lang w:eastAsia="pt-BR"/>
              </w:rPr>
              <w:t>%</w:t>
            </w:r>
          </w:p>
        </w:tc>
        <w:tc>
          <w:tcPr>
            <w:tcW w:w="992" w:type="dxa"/>
            <w:tcBorders>
              <w:top w:val="single" w:sz="4" w:space="0" w:color="auto"/>
              <w:left w:val="single" w:sz="4" w:space="0" w:color="auto"/>
              <w:bottom w:val="single" w:sz="4" w:space="0" w:color="auto"/>
              <w:right w:val="single" w:sz="4" w:space="0" w:color="auto"/>
            </w:tcBorders>
            <w:shd w:val="clear" w:color="C0C0C0" w:fill="auto"/>
          </w:tcPr>
          <w:p w:rsidR="00000000" w:rsidRDefault="00000000">
            <w:pPr>
              <w:jc w:val="center"/>
              <w:rPr>
                <w:snapToGrid w:val="0"/>
                <w:lang w:eastAsia="pt-BR"/>
              </w:rPr>
            </w:pPr>
            <w:r>
              <w:rPr>
                <w:snapToGrid w:val="0"/>
                <w:lang w:eastAsia="pt-BR"/>
              </w:rPr>
              <w:t>Total</w:t>
            </w:r>
          </w:p>
        </w:tc>
        <w:tc>
          <w:tcPr>
            <w:tcW w:w="992" w:type="dxa"/>
            <w:tcBorders>
              <w:top w:val="single" w:sz="4" w:space="0" w:color="auto"/>
              <w:left w:val="single" w:sz="4" w:space="0" w:color="auto"/>
              <w:bottom w:val="single" w:sz="4" w:space="0" w:color="auto"/>
              <w:right w:val="single" w:sz="4" w:space="0" w:color="auto"/>
            </w:tcBorders>
            <w:shd w:val="clear" w:color="C0C0C0" w:fill="auto"/>
          </w:tcPr>
          <w:p w:rsidR="00000000" w:rsidRDefault="00000000">
            <w:pPr>
              <w:jc w:val="center"/>
              <w:rPr>
                <w:snapToGrid w:val="0"/>
                <w:lang w:eastAsia="pt-BR"/>
              </w:rPr>
            </w:pPr>
            <w:r>
              <w:rPr>
                <w:snapToGrid w:val="0"/>
                <w:lang w:eastAsia="pt-BR"/>
              </w:rPr>
              <w:t>%</w:t>
            </w:r>
          </w:p>
        </w:tc>
      </w:tr>
      <w:tr w:rsidR="00000000">
        <w:tblPrEx>
          <w:tblCellMar>
            <w:top w:w="0" w:type="dxa"/>
            <w:bottom w:w="0" w:type="dxa"/>
          </w:tblCellMar>
        </w:tblPrEx>
        <w:trPr>
          <w:trHeight w:val="221"/>
        </w:trPr>
        <w:tc>
          <w:tcPr>
            <w:tcW w:w="1134" w:type="dxa"/>
            <w:tcBorders>
              <w:top w:val="single" w:sz="4" w:space="0" w:color="auto"/>
              <w:left w:val="single" w:sz="4" w:space="0" w:color="auto"/>
              <w:right w:val="single" w:sz="4" w:space="0" w:color="auto"/>
            </w:tcBorders>
          </w:tcPr>
          <w:p w:rsidR="00000000" w:rsidRDefault="00000000">
            <w:pPr>
              <w:rPr>
                <w:snapToGrid w:val="0"/>
                <w:color w:val="000000"/>
                <w:lang w:eastAsia="pt-BR"/>
              </w:rPr>
            </w:pPr>
            <w:r>
              <w:rPr>
                <w:snapToGrid w:val="0"/>
                <w:color w:val="000000"/>
                <w:lang w:eastAsia="pt-BR"/>
              </w:rPr>
              <w:t>Urban</w:t>
            </w:r>
          </w:p>
        </w:tc>
        <w:tc>
          <w:tcPr>
            <w:tcW w:w="709" w:type="dxa"/>
            <w:tcBorders>
              <w:top w:val="single" w:sz="4" w:space="0" w:color="auto"/>
              <w:left w:val="single" w:sz="4" w:space="0" w:color="auto"/>
              <w:right w:val="single" w:sz="4" w:space="0" w:color="auto"/>
            </w:tcBorders>
          </w:tcPr>
          <w:p w:rsidR="00000000" w:rsidRDefault="00000000">
            <w:pPr>
              <w:ind w:right="113"/>
              <w:jc w:val="right"/>
              <w:rPr>
                <w:snapToGrid w:val="0"/>
                <w:color w:val="000000"/>
                <w:lang w:eastAsia="pt-BR"/>
              </w:rPr>
            </w:pPr>
            <w:r>
              <w:rPr>
                <w:snapToGrid w:val="0"/>
                <w:color w:val="000000"/>
                <w:lang w:eastAsia="pt-BR"/>
              </w:rPr>
              <w:t>34.0</w:t>
            </w:r>
          </w:p>
        </w:tc>
        <w:tc>
          <w:tcPr>
            <w:tcW w:w="850" w:type="dxa"/>
            <w:tcBorders>
              <w:top w:val="single" w:sz="4" w:space="0" w:color="auto"/>
              <w:left w:val="single" w:sz="4" w:space="0" w:color="auto"/>
              <w:right w:val="single" w:sz="4" w:space="0" w:color="auto"/>
            </w:tcBorders>
          </w:tcPr>
          <w:p w:rsidR="00000000" w:rsidRDefault="00000000">
            <w:pPr>
              <w:ind w:right="227"/>
              <w:jc w:val="right"/>
              <w:rPr>
                <w:snapToGrid w:val="0"/>
                <w:color w:val="000000"/>
                <w:lang w:eastAsia="pt-BR"/>
              </w:rPr>
            </w:pPr>
            <w:r>
              <w:rPr>
                <w:snapToGrid w:val="0"/>
                <w:color w:val="000000"/>
                <w:lang w:eastAsia="pt-BR"/>
              </w:rPr>
              <w:t>31.4</w:t>
            </w:r>
          </w:p>
        </w:tc>
        <w:tc>
          <w:tcPr>
            <w:tcW w:w="567" w:type="dxa"/>
            <w:tcBorders>
              <w:top w:val="single" w:sz="4" w:space="0" w:color="auto"/>
              <w:left w:val="single" w:sz="4" w:space="0" w:color="auto"/>
              <w:right w:val="single" w:sz="4" w:space="0" w:color="auto"/>
            </w:tcBorders>
          </w:tcPr>
          <w:p w:rsidR="00000000" w:rsidRDefault="00000000">
            <w:pPr>
              <w:jc w:val="right"/>
              <w:rPr>
                <w:snapToGrid w:val="0"/>
                <w:color w:val="000000"/>
                <w:lang w:eastAsia="pt-BR"/>
              </w:rPr>
            </w:pPr>
            <w:r>
              <w:rPr>
                <w:snapToGrid w:val="0"/>
                <w:color w:val="000000"/>
                <w:lang w:eastAsia="pt-BR"/>
              </w:rPr>
              <w:t>92.4</w:t>
            </w:r>
          </w:p>
        </w:tc>
        <w:tc>
          <w:tcPr>
            <w:tcW w:w="851" w:type="dxa"/>
            <w:tcBorders>
              <w:top w:val="single" w:sz="4" w:space="0" w:color="auto"/>
              <w:left w:val="single" w:sz="4" w:space="0" w:color="auto"/>
              <w:right w:val="single" w:sz="4" w:space="0" w:color="auto"/>
            </w:tcBorders>
          </w:tcPr>
          <w:p w:rsidR="00000000" w:rsidRDefault="00000000">
            <w:pPr>
              <w:ind w:right="227"/>
              <w:jc w:val="right"/>
              <w:rPr>
                <w:snapToGrid w:val="0"/>
                <w:color w:val="000000"/>
                <w:lang w:eastAsia="pt-BR"/>
              </w:rPr>
            </w:pPr>
            <w:r>
              <w:rPr>
                <w:snapToGrid w:val="0"/>
                <w:color w:val="000000"/>
                <w:lang w:eastAsia="pt-BR"/>
              </w:rPr>
              <w:t>2.6</w:t>
            </w:r>
          </w:p>
        </w:tc>
        <w:tc>
          <w:tcPr>
            <w:tcW w:w="709" w:type="dxa"/>
            <w:tcBorders>
              <w:top w:val="single" w:sz="4" w:space="0" w:color="auto"/>
              <w:left w:val="single" w:sz="4" w:space="0" w:color="auto"/>
              <w:right w:val="single" w:sz="4" w:space="0" w:color="auto"/>
            </w:tcBorders>
          </w:tcPr>
          <w:p w:rsidR="00000000" w:rsidRDefault="00000000">
            <w:pPr>
              <w:jc w:val="center"/>
              <w:rPr>
                <w:snapToGrid w:val="0"/>
                <w:color w:val="000000"/>
                <w:lang w:eastAsia="pt-BR"/>
              </w:rPr>
            </w:pPr>
            <w:r>
              <w:rPr>
                <w:snapToGrid w:val="0"/>
                <w:color w:val="000000"/>
                <w:lang w:eastAsia="pt-BR"/>
              </w:rPr>
              <w:t xml:space="preserve">  7.6</w:t>
            </w:r>
          </w:p>
        </w:tc>
        <w:tc>
          <w:tcPr>
            <w:tcW w:w="850" w:type="dxa"/>
            <w:tcBorders>
              <w:top w:val="single" w:sz="4" w:space="0" w:color="auto"/>
              <w:left w:val="single" w:sz="4" w:space="0" w:color="auto"/>
              <w:right w:val="single" w:sz="4" w:space="0" w:color="auto"/>
            </w:tcBorders>
          </w:tcPr>
          <w:p w:rsidR="00000000" w:rsidRDefault="00000000">
            <w:pPr>
              <w:ind w:right="57"/>
              <w:jc w:val="right"/>
              <w:rPr>
                <w:snapToGrid w:val="0"/>
                <w:color w:val="000000"/>
                <w:lang w:eastAsia="pt-BR"/>
              </w:rPr>
            </w:pPr>
            <w:r>
              <w:rPr>
                <w:snapToGrid w:val="0"/>
                <w:color w:val="000000"/>
                <w:lang w:eastAsia="pt-BR"/>
              </w:rPr>
              <w:t>125.2</w:t>
            </w:r>
          </w:p>
        </w:tc>
        <w:tc>
          <w:tcPr>
            <w:tcW w:w="709" w:type="dxa"/>
            <w:tcBorders>
              <w:top w:val="single" w:sz="4" w:space="0" w:color="auto"/>
              <w:left w:val="single" w:sz="4" w:space="0" w:color="auto"/>
              <w:right w:val="single" w:sz="4" w:space="0" w:color="auto"/>
            </w:tcBorders>
          </w:tcPr>
          <w:p w:rsidR="00000000" w:rsidRDefault="00000000">
            <w:pPr>
              <w:ind w:right="57"/>
              <w:jc w:val="right"/>
              <w:rPr>
                <w:snapToGrid w:val="0"/>
                <w:color w:val="000000"/>
                <w:lang w:eastAsia="pt-BR"/>
              </w:rPr>
            </w:pPr>
            <w:r>
              <w:rPr>
                <w:snapToGrid w:val="0"/>
                <w:color w:val="000000"/>
                <w:lang w:eastAsia="pt-BR"/>
              </w:rPr>
              <w:t>114.4</w:t>
            </w:r>
          </w:p>
        </w:tc>
        <w:tc>
          <w:tcPr>
            <w:tcW w:w="709" w:type="dxa"/>
            <w:tcBorders>
              <w:top w:val="single" w:sz="4" w:space="0" w:color="auto"/>
              <w:left w:val="single" w:sz="4" w:space="0" w:color="auto"/>
              <w:right w:val="single" w:sz="4" w:space="0" w:color="auto"/>
            </w:tcBorders>
          </w:tcPr>
          <w:p w:rsidR="00000000" w:rsidRDefault="00000000">
            <w:pPr>
              <w:jc w:val="center"/>
              <w:rPr>
                <w:snapToGrid w:val="0"/>
                <w:color w:val="000000"/>
                <w:lang w:eastAsia="pt-BR"/>
              </w:rPr>
            </w:pPr>
            <w:r>
              <w:rPr>
                <w:snapToGrid w:val="0"/>
                <w:color w:val="000000"/>
                <w:lang w:eastAsia="pt-BR"/>
              </w:rPr>
              <w:t>91.4</w:t>
            </w:r>
          </w:p>
        </w:tc>
        <w:tc>
          <w:tcPr>
            <w:tcW w:w="992" w:type="dxa"/>
            <w:tcBorders>
              <w:top w:val="single" w:sz="4" w:space="0" w:color="auto"/>
              <w:left w:val="single" w:sz="4" w:space="0" w:color="auto"/>
              <w:right w:val="single" w:sz="4" w:space="0" w:color="auto"/>
            </w:tcBorders>
          </w:tcPr>
          <w:p w:rsidR="00000000" w:rsidRDefault="00000000">
            <w:pPr>
              <w:ind w:right="227"/>
              <w:jc w:val="right"/>
              <w:rPr>
                <w:snapToGrid w:val="0"/>
                <w:color w:val="000000"/>
                <w:lang w:eastAsia="pt-BR"/>
              </w:rPr>
            </w:pPr>
            <w:r>
              <w:rPr>
                <w:snapToGrid w:val="0"/>
                <w:color w:val="000000"/>
                <w:lang w:eastAsia="pt-BR"/>
              </w:rPr>
              <w:t>10.8</w:t>
            </w:r>
          </w:p>
        </w:tc>
        <w:tc>
          <w:tcPr>
            <w:tcW w:w="992" w:type="dxa"/>
            <w:tcBorders>
              <w:top w:val="single" w:sz="4" w:space="0" w:color="auto"/>
              <w:left w:val="single" w:sz="4" w:space="0" w:color="auto"/>
              <w:right w:val="single" w:sz="4" w:space="0" w:color="auto"/>
            </w:tcBorders>
          </w:tcPr>
          <w:p w:rsidR="00000000" w:rsidRDefault="00000000">
            <w:pPr>
              <w:ind w:right="57"/>
              <w:jc w:val="center"/>
              <w:rPr>
                <w:snapToGrid w:val="0"/>
                <w:color w:val="000000"/>
                <w:lang w:eastAsia="pt-BR"/>
              </w:rPr>
            </w:pPr>
            <w:r>
              <w:rPr>
                <w:snapToGrid w:val="0"/>
                <w:color w:val="000000"/>
                <w:lang w:eastAsia="pt-BR"/>
              </w:rPr>
              <w:t xml:space="preserve">  8.6</w:t>
            </w:r>
          </w:p>
        </w:tc>
      </w:tr>
      <w:tr w:rsidR="00000000">
        <w:tblPrEx>
          <w:tblCellMar>
            <w:top w:w="0" w:type="dxa"/>
            <w:bottom w:w="0" w:type="dxa"/>
          </w:tblCellMar>
        </w:tblPrEx>
        <w:trPr>
          <w:trHeight w:val="221"/>
        </w:trPr>
        <w:tc>
          <w:tcPr>
            <w:tcW w:w="1134" w:type="dxa"/>
            <w:tcBorders>
              <w:left w:val="single" w:sz="4" w:space="0" w:color="auto"/>
              <w:bottom w:val="single" w:sz="4" w:space="0" w:color="auto"/>
              <w:right w:val="single" w:sz="4" w:space="0" w:color="auto"/>
            </w:tcBorders>
          </w:tcPr>
          <w:p w:rsidR="00000000" w:rsidRDefault="00000000">
            <w:pPr>
              <w:rPr>
                <w:snapToGrid w:val="0"/>
                <w:color w:val="000000"/>
                <w:lang w:eastAsia="pt-BR"/>
              </w:rPr>
            </w:pPr>
            <w:r>
              <w:rPr>
                <w:snapToGrid w:val="0"/>
                <w:color w:val="000000"/>
                <w:lang w:eastAsia="pt-BR"/>
              </w:rPr>
              <w:t>Rural</w:t>
            </w:r>
          </w:p>
        </w:tc>
        <w:tc>
          <w:tcPr>
            <w:tcW w:w="709" w:type="dxa"/>
            <w:tcBorders>
              <w:left w:val="single" w:sz="4" w:space="0" w:color="auto"/>
              <w:bottom w:val="single" w:sz="4" w:space="0" w:color="auto"/>
              <w:right w:val="single" w:sz="4" w:space="0" w:color="auto"/>
            </w:tcBorders>
          </w:tcPr>
          <w:p w:rsidR="00000000" w:rsidRDefault="00000000">
            <w:pPr>
              <w:ind w:right="113"/>
              <w:jc w:val="right"/>
              <w:rPr>
                <w:snapToGrid w:val="0"/>
                <w:color w:val="000000"/>
                <w:lang w:eastAsia="pt-BR"/>
              </w:rPr>
            </w:pPr>
            <w:r>
              <w:rPr>
                <w:snapToGrid w:val="0"/>
                <w:color w:val="000000"/>
                <w:lang w:eastAsia="pt-BR"/>
              </w:rPr>
              <w:t>7.8</w:t>
            </w:r>
          </w:p>
        </w:tc>
        <w:tc>
          <w:tcPr>
            <w:tcW w:w="850" w:type="dxa"/>
            <w:tcBorders>
              <w:left w:val="single" w:sz="4" w:space="0" w:color="auto"/>
              <w:bottom w:val="single" w:sz="4" w:space="0" w:color="auto"/>
              <w:right w:val="single" w:sz="4" w:space="0" w:color="auto"/>
            </w:tcBorders>
          </w:tcPr>
          <w:p w:rsidR="00000000" w:rsidRDefault="00000000">
            <w:pPr>
              <w:ind w:right="227"/>
              <w:jc w:val="right"/>
              <w:rPr>
                <w:snapToGrid w:val="0"/>
                <w:color w:val="000000"/>
                <w:lang w:eastAsia="pt-BR"/>
              </w:rPr>
            </w:pPr>
            <w:r>
              <w:rPr>
                <w:snapToGrid w:val="0"/>
                <w:color w:val="000000"/>
                <w:lang w:eastAsia="pt-BR"/>
              </w:rPr>
              <w:t>1.4</w:t>
            </w:r>
          </w:p>
        </w:tc>
        <w:tc>
          <w:tcPr>
            <w:tcW w:w="567" w:type="dxa"/>
            <w:tcBorders>
              <w:left w:val="single" w:sz="4" w:space="0" w:color="auto"/>
              <w:bottom w:val="single" w:sz="4" w:space="0" w:color="auto"/>
              <w:right w:val="single" w:sz="4" w:space="0" w:color="auto"/>
            </w:tcBorders>
          </w:tcPr>
          <w:p w:rsidR="00000000" w:rsidRDefault="00000000">
            <w:pPr>
              <w:jc w:val="right"/>
              <w:rPr>
                <w:snapToGrid w:val="0"/>
                <w:color w:val="000000"/>
                <w:lang w:eastAsia="pt-BR"/>
              </w:rPr>
            </w:pPr>
            <w:r>
              <w:rPr>
                <w:snapToGrid w:val="0"/>
                <w:color w:val="000000"/>
                <w:lang w:eastAsia="pt-BR"/>
              </w:rPr>
              <w:t>17.9</w:t>
            </w:r>
          </w:p>
        </w:tc>
        <w:tc>
          <w:tcPr>
            <w:tcW w:w="851" w:type="dxa"/>
            <w:tcBorders>
              <w:left w:val="single" w:sz="4" w:space="0" w:color="auto"/>
              <w:bottom w:val="single" w:sz="4" w:space="0" w:color="auto"/>
              <w:right w:val="single" w:sz="4" w:space="0" w:color="auto"/>
            </w:tcBorders>
          </w:tcPr>
          <w:p w:rsidR="00000000" w:rsidRDefault="00000000">
            <w:pPr>
              <w:ind w:right="227"/>
              <w:jc w:val="right"/>
              <w:rPr>
                <w:snapToGrid w:val="0"/>
                <w:color w:val="000000"/>
                <w:lang w:eastAsia="pt-BR"/>
              </w:rPr>
            </w:pPr>
            <w:r>
              <w:rPr>
                <w:snapToGrid w:val="0"/>
                <w:color w:val="000000"/>
                <w:lang w:eastAsia="pt-BR"/>
              </w:rPr>
              <w:t>6.4</w:t>
            </w:r>
          </w:p>
        </w:tc>
        <w:tc>
          <w:tcPr>
            <w:tcW w:w="709" w:type="dxa"/>
            <w:tcBorders>
              <w:left w:val="single" w:sz="4" w:space="0" w:color="auto"/>
              <w:bottom w:val="single" w:sz="4" w:space="0" w:color="auto"/>
              <w:right w:val="single" w:sz="4" w:space="0" w:color="auto"/>
            </w:tcBorders>
          </w:tcPr>
          <w:p w:rsidR="00000000" w:rsidRDefault="00000000">
            <w:pPr>
              <w:jc w:val="center"/>
              <w:rPr>
                <w:snapToGrid w:val="0"/>
                <w:color w:val="000000"/>
                <w:lang w:eastAsia="pt-BR"/>
              </w:rPr>
            </w:pPr>
            <w:r>
              <w:rPr>
                <w:snapToGrid w:val="0"/>
                <w:color w:val="000000"/>
                <w:lang w:eastAsia="pt-BR"/>
              </w:rPr>
              <w:t>82.1</w:t>
            </w:r>
          </w:p>
        </w:tc>
        <w:tc>
          <w:tcPr>
            <w:tcW w:w="850" w:type="dxa"/>
            <w:tcBorders>
              <w:left w:val="single" w:sz="4" w:space="0" w:color="auto"/>
              <w:bottom w:val="single" w:sz="4" w:space="0" w:color="auto"/>
              <w:right w:val="single" w:sz="4" w:space="0" w:color="auto"/>
            </w:tcBorders>
          </w:tcPr>
          <w:p w:rsidR="00000000" w:rsidRDefault="00000000">
            <w:pPr>
              <w:ind w:right="57"/>
              <w:jc w:val="right"/>
              <w:rPr>
                <w:snapToGrid w:val="0"/>
                <w:color w:val="000000"/>
                <w:lang w:eastAsia="pt-BR"/>
              </w:rPr>
            </w:pPr>
            <w:r>
              <w:rPr>
                <w:snapToGrid w:val="0"/>
                <w:color w:val="000000"/>
                <w:lang w:eastAsia="pt-BR"/>
              </w:rPr>
              <w:t>32.2</w:t>
            </w:r>
          </w:p>
        </w:tc>
        <w:tc>
          <w:tcPr>
            <w:tcW w:w="709" w:type="dxa"/>
            <w:tcBorders>
              <w:left w:val="single" w:sz="4" w:space="0" w:color="auto"/>
              <w:bottom w:val="single" w:sz="4" w:space="0" w:color="auto"/>
              <w:right w:val="single" w:sz="4" w:space="0" w:color="auto"/>
            </w:tcBorders>
          </w:tcPr>
          <w:p w:rsidR="00000000" w:rsidRDefault="00000000">
            <w:pPr>
              <w:ind w:right="57"/>
              <w:jc w:val="right"/>
              <w:rPr>
                <w:snapToGrid w:val="0"/>
                <w:color w:val="000000"/>
                <w:lang w:eastAsia="pt-BR"/>
              </w:rPr>
            </w:pPr>
            <w:r>
              <w:rPr>
                <w:snapToGrid w:val="0"/>
                <w:color w:val="000000"/>
                <w:lang w:eastAsia="pt-BR"/>
              </w:rPr>
              <w:t>5.4</w:t>
            </w:r>
          </w:p>
        </w:tc>
        <w:tc>
          <w:tcPr>
            <w:tcW w:w="709" w:type="dxa"/>
            <w:tcBorders>
              <w:left w:val="single" w:sz="4" w:space="0" w:color="auto"/>
              <w:bottom w:val="single" w:sz="4" w:space="0" w:color="auto"/>
              <w:right w:val="single" w:sz="4" w:space="0" w:color="auto"/>
            </w:tcBorders>
          </w:tcPr>
          <w:p w:rsidR="00000000" w:rsidRDefault="00000000">
            <w:pPr>
              <w:jc w:val="center"/>
              <w:rPr>
                <w:snapToGrid w:val="0"/>
                <w:color w:val="000000"/>
                <w:lang w:eastAsia="pt-BR"/>
              </w:rPr>
            </w:pPr>
            <w:r>
              <w:rPr>
                <w:snapToGrid w:val="0"/>
                <w:color w:val="000000"/>
                <w:lang w:eastAsia="pt-BR"/>
              </w:rPr>
              <w:t>16.8</w:t>
            </w:r>
          </w:p>
        </w:tc>
        <w:tc>
          <w:tcPr>
            <w:tcW w:w="992" w:type="dxa"/>
            <w:tcBorders>
              <w:left w:val="single" w:sz="4" w:space="0" w:color="auto"/>
              <w:bottom w:val="single" w:sz="4" w:space="0" w:color="auto"/>
              <w:right w:val="single" w:sz="4" w:space="0" w:color="auto"/>
            </w:tcBorders>
          </w:tcPr>
          <w:p w:rsidR="00000000" w:rsidRDefault="00000000">
            <w:pPr>
              <w:ind w:right="227"/>
              <w:jc w:val="right"/>
              <w:rPr>
                <w:snapToGrid w:val="0"/>
                <w:color w:val="000000"/>
                <w:lang w:eastAsia="pt-BR"/>
              </w:rPr>
            </w:pPr>
            <w:r>
              <w:rPr>
                <w:snapToGrid w:val="0"/>
                <w:color w:val="000000"/>
                <w:lang w:eastAsia="pt-BR"/>
              </w:rPr>
              <w:t>26.8</w:t>
            </w:r>
          </w:p>
        </w:tc>
        <w:tc>
          <w:tcPr>
            <w:tcW w:w="992" w:type="dxa"/>
            <w:tcBorders>
              <w:left w:val="single" w:sz="4" w:space="0" w:color="auto"/>
              <w:bottom w:val="single" w:sz="4" w:space="0" w:color="auto"/>
              <w:right w:val="single" w:sz="4" w:space="0" w:color="auto"/>
            </w:tcBorders>
          </w:tcPr>
          <w:p w:rsidR="00000000" w:rsidRDefault="00000000">
            <w:pPr>
              <w:ind w:right="57"/>
              <w:jc w:val="center"/>
              <w:rPr>
                <w:snapToGrid w:val="0"/>
                <w:color w:val="000000"/>
                <w:lang w:eastAsia="pt-BR"/>
              </w:rPr>
            </w:pPr>
            <w:r>
              <w:rPr>
                <w:snapToGrid w:val="0"/>
                <w:color w:val="000000"/>
                <w:lang w:eastAsia="pt-BR"/>
              </w:rPr>
              <w:t>83.2</w:t>
            </w:r>
          </w:p>
        </w:tc>
      </w:tr>
      <w:tr w:rsidR="00000000">
        <w:tblPrEx>
          <w:tblCellMar>
            <w:top w:w="0" w:type="dxa"/>
            <w:bottom w:w="0" w:type="dxa"/>
          </w:tblCellMar>
        </w:tblPrEx>
        <w:trPr>
          <w:trHeight w:val="233"/>
        </w:trPr>
        <w:tc>
          <w:tcPr>
            <w:tcW w:w="1134" w:type="dxa"/>
            <w:tcBorders>
              <w:top w:val="single" w:sz="4" w:space="0" w:color="auto"/>
              <w:left w:val="single" w:sz="4" w:space="0" w:color="auto"/>
              <w:bottom w:val="single" w:sz="4" w:space="0" w:color="auto"/>
              <w:right w:val="single" w:sz="4" w:space="0" w:color="auto"/>
            </w:tcBorders>
          </w:tcPr>
          <w:p w:rsidR="00000000" w:rsidRDefault="00000000">
            <w:pPr>
              <w:rPr>
                <w:snapToGrid w:val="0"/>
                <w:color w:val="000000"/>
                <w:lang w:eastAsia="pt-BR"/>
              </w:rPr>
            </w:pPr>
            <w:r>
              <w:rPr>
                <w:snapToGrid w:val="0"/>
                <w:color w:val="000000"/>
                <w:lang w:eastAsia="pt-BR"/>
              </w:rPr>
              <w:t xml:space="preserve">   Total</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napToGrid w:val="0"/>
                <w:color w:val="000000"/>
                <w:lang w:eastAsia="pt-BR"/>
              </w:rPr>
            </w:pPr>
            <w:r>
              <w:rPr>
                <w:snapToGrid w:val="0"/>
                <w:color w:val="000000"/>
                <w:lang w:eastAsia="pt-BR"/>
              </w:rPr>
              <w:t>41.8</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napToGrid w:val="0"/>
                <w:color w:val="000000"/>
                <w:lang w:eastAsia="pt-BR"/>
              </w:rPr>
            </w:pPr>
            <w:r>
              <w:rPr>
                <w:snapToGrid w:val="0"/>
                <w:color w:val="000000"/>
                <w:lang w:eastAsia="pt-BR"/>
              </w:rPr>
              <w:t>32.8</w:t>
            </w:r>
          </w:p>
        </w:tc>
        <w:tc>
          <w:tcPr>
            <w:tcW w:w="567"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lang w:eastAsia="pt-BR"/>
              </w:rPr>
            </w:pPr>
            <w:r>
              <w:rPr>
                <w:snapToGrid w:val="0"/>
                <w:color w:val="000000"/>
                <w:lang w:eastAsia="pt-BR"/>
              </w:rPr>
              <w:t>78.5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napToGrid w:val="0"/>
                <w:color w:val="000000"/>
                <w:lang w:eastAsia="pt-BR"/>
              </w:rPr>
            </w:pPr>
            <w:r>
              <w:rPr>
                <w:snapToGrid w:val="0"/>
                <w:color w:val="000000"/>
                <w:lang w:eastAsia="pt-BR"/>
              </w:rPr>
              <w:t>9.0</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color w:val="000000"/>
                <w:lang w:eastAsia="pt-BR"/>
              </w:rPr>
            </w:pPr>
            <w:r>
              <w:rPr>
                <w:snapToGrid w:val="0"/>
                <w:color w:val="000000"/>
                <w:lang w:eastAsia="pt-BR"/>
              </w:rPr>
              <w:t>21.5</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color w:val="000000"/>
                <w:lang w:eastAsia="pt-BR"/>
              </w:rPr>
            </w:pPr>
            <w:r>
              <w:rPr>
                <w:snapToGrid w:val="0"/>
                <w:color w:val="000000"/>
                <w:lang w:eastAsia="pt-BR"/>
              </w:rPr>
              <w:t>157.4</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color w:val="000000"/>
                <w:lang w:eastAsia="pt-BR"/>
              </w:rPr>
            </w:pPr>
            <w:r>
              <w:rPr>
                <w:snapToGrid w:val="0"/>
                <w:color w:val="000000"/>
                <w:lang w:eastAsia="pt-BR"/>
              </w:rPr>
              <w:t>119.8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color w:val="000000"/>
                <w:lang w:eastAsia="pt-BR"/>
              </w:rPr>
            </w:pPr>
            <w:r>
              <w:rPr>
                <w:snapToGrid w:val="0"/>
                <w:color w:val="000000"/>
                <w:lang w:eastAsia="pt-BR"/>
              </w:rPr>
              <w:t>76.1</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napToGrid w:val="0"/>
                <w:color w:val="000000"/>
                <w:lang w:eastAsia="pt-BR"/>
              </w:rPr>
            </w:pPr>
            <w:r>
              <w:rPr>
                <w:snapToGrid w:val="0"/>
                <w:color w:val="000000"/>
                <w:lang w:eastAsia="pt-BR"/>
              </w:rPr>
              <w:t>37.6</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ind w:right="57"/>
              <w:jc w:val="center"/>
              <w:rPr>
                <w:snapToGrid w:val="0"/>
                <w:color w:val="000000"/>
                <w:lang w:eastAsia="pt-BR"/>
              </w:rPr>
            </w:pPr>
            <w:r>
              <w:rPr>
                <w:snapToGrid w:val="0"/>
                <w:color w:val="000000"/>
                <w:lang w:eastAsia="pt-BR"/>
              </w:rPr>
              <w:t>23.9</w:t>
            </w:r>
          </w:p>
        </w:tc>
      </w:tr>
    </w:tbl>
    <w:p w:rsidR="00000000" w:rsidRDefault="00000000">
      <w:pPr>
        <w:rPr>
          <w:kern w:val="16"/>
        </w:rPr>
      </w:pPr>
    </w:p>
    <w:p w:rsidR="00000000" w:rsidRDefault="00000000">
      <w:pPr>
        <w:rPr>
          <w:kern w:val="16"/>
        </w:rPr>
      </w:pPr>
      <w:r>
        <w:rPr>
          <w:kern w:val="16"/>
        </w:rPr>
        <w:tab/>
      </w:r>
      <w:r>
        <w:rPr>
          <w:kern w:val="16"/>
          <w:u w:val="single"/>
        </w:rPr>
        <w:t>Source</w:t>
      </w:r>
      <w:r>
        <w:rPr>
          <w:kern w:val="16"/>
        </w:rPr>
        <w:t>:  IBGE</w:t>
      </w:r>
      <w:r>
        <w:rPr>
          <w:kern w:val="16"/>
        </w:rPr>
        <w:noBreakHyphen/>
        <w:t xml:space="preserve">PNAD </w:t>
      </w:r>
      <w:r>
        <w:rPr>
          <w:kern w:val="16"/>
        </w:rPr>
        <w:noBreakHyphen/>
        <w:t xml:space="preserve"> 1998.</w:t>
      </w:r>
    </w:p>
    <w:p w:rsidR="00000000" w:rsidRDefault="00000000">
      <w:pPr>
        <w:rPr>
          <w:kern w:val="16"/>
        </w:rPr>
      </w:pPr>
    </w:p>
    <w:p w:rsidR="00000000" w:rsidRDefault="00000000">
      <w:pPr>
        <w:pStyle w:val="Heading1"/>
        <w:rPr>
          <w:kern w:val="20"/>
        </w:rPr>
      </w:pPr>
      <w:r>
        <w:rPr>
          <w:kern w:val="20"/>
        </w:rPr>
        <w:t>Table 82</w:t>
      </w:r>
    </w:p>
    <w:p w:rsidR="00000000" w:rsidRDefault="00000000">
      <w:pPr>
        <w:pStyle w:val="Heading1"/>
        <w:rPr>
          <w:kern w:val="20"/>
        </w:rPr>
      </w:pPr>
    </w:p>
    <w:p w:rsidR="00000000" w:rsidRDefault="00000000">
      <w:pPr>
        <w:pStyle w:val="Heading1"/>
        <w:rPr>
          <w:kern w:val="20"/>
        </w:rPr>
      </w:pPr>
      <w:r>
        <w:rPr>
          <w:kern w:val="20"/>
        </w:rPr>
        <w:t xml:space="preserve">Percentage of children immunized </w:t>
      </w:r>
      <w:r>
        <w:rPr>
          <w:kern w:val="20"/>
        </w:rPr>
        <w:noBreakHyphen/>
        <w:t xml:space="preserve"> coverage by region, 1999</w:t>
      </w:r>
    </w:p>
    <w:p w:rsidR="00000000" w:rsidRDefault="00000000">
      <w:pPr>
        <w:rPr>
          <w:kern w:val="20"/>
        </w:rPr>
      </w:pPr>
    </w:p>
    <w:tbl>
      <w:tblPr>
        <w:tblW w:w="0" w:type="auto"/>
        <w:jc w:val="center"/>
        <w:tblInd w:w="-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799"/>
        <w:gridCol w:w="1489"/>
        <w:gridCol w:w="1843"/>
        <w:gridCol w:w="992"/>
        <w:gridCol w:w="1134"/>
        <w:gridCol w:w="1701"/>
      </w:tblGrid>
      <w:tr w:rsidR="00000000">
        <w:tblPrEx>
          <w:tblCellMar>
            <w:top w:w="0" w:type="dxa"/>
            <w:bottom w:w="0" w:type="dxa"/>
          </w:tblCellMar>
        </w:tblPrEx>
        <w:trPr>
          <w:cantSplit/>
          <w:trHeight w:val="264"/>
          <w:jc w:val="center"/>
        </w:trPr>
        <w:tc>
          <w:tcPr>
            <w:tcW w:w="1799" w:type="dxa"/>
          </w:tcPr>
          <w:p w:rsidR="00000000" w:rsidRDefault="00000000">
            <w:pPr>
              <w:jc w:val="center"/>
            </w:pPr>
            <w:r>
              <w:t>Region</w:t>
            </w:r>
          </w:p>
        </w:tc>
        <w:tc>
          <w:tcPr>
            <w:tcW w:w="1489" w:type="dxa"/>
          </w:tcPr>
          <w:p w:rsidR="00000000" w:rsidRDefault="00000000">
            <w:pPr>
              <w:jc w:val="center"/>
            </w:pPr>
            <w:r>
              <w:t>Polio 3rd dose</w:t>
            </w:r>
          </w:p>
        </w:tc>
        <w:tc>
          <w:tcPr>
            <w:tcW w:w="1843" w:type="dxa"/>
          </w:tcPr>
          <w:p w:rsidR="00000000" w:rsidRDefault="00000000">
            <w:pPr>
              <w:jc w:val="center"/>
            </w:pPr>
            <w:r>
              <w:t>DPT 3rd dose</w:t>
            </w:r>
          </w:p>
        </w:tc>
        <w:tc>
          <w:tcPr>
            <w:tcW w:w="992" w:type="dxa"/>
          </w:tcPr>
          <w:p w:rsidR="00000000" w:rsidRDefault="00000000">
            <w:pPr>
              <w:jc w:val="center"/>
            </w:pPr>
            <w:r>
              <w:t>BCG</w:t>
            </w:r>
          </w:p>
        </w:tc>
        <w:tc>
          <w:tcPr>
            <w:tcW w:w="1134" w:type="dxa"/>
          </w:tcPr>
          <w:p w:rsidR="00000000" w:rsidRDefault="00000000">
            <w:pPr>
              <w:jc w:val="center"/>
            </w:pPr>
            <w:r>
              <w:t>Measles</w:t>
            </w:r>
          </w:p>
        </w:tc>
        <w:tc>
          <w:tcPr>
            <w:tcW w:w="1701" w:type="dxa"/>
          </w:tcPr>
          <w:p w:rsidR="00000000" w:rsidRDefault="00000000">
            <w:pPr>
              <w:jc w:val="center"/>
            </w:pPr>
            <w:r>
              <w:t>Hepatitis B</w:t>
            </w:r>
          </w:p>
        </w:tc>
      </w:tr>
      <w:tr w:rsidR="00000000">
        <w:tblPrEx>
          <w:tblCellMar>
            <w:top w:w="0" w:type="dxa"/>
            <w:bottom w:w="0" w:type="dxa"/>
          </w:tblCellMar>
        </w:tblPrEx>
        <w:trPr>
          <w:cantSplit/>
          <w:trHeight w:val="264"/>
          <w:jc w:val="center"/>
        </w:trPr>
        <w:tc>
          <w:tcPr>
            <w:tcW w:w="1799" w:type="dxa"/>
            <w:tcBorders>
              <w:bottom w:val="nil"/>
            </w:tcBorders>
          </w:tcPr>
          <w:p w:rsidR="00000000" w:rsidRDefault="00000000">
            <w:r>
              <w:t>North</w:t>
            </w:r>
          </w:p>
        </w:tc>
        <w:tc>
          <w:tcPr>
            <w:tcW w:w="1489" w:type="dxa"/>
            <w:tcBorders>
              <w:bottom w:val="nil"/>
            </w:tcBorders>
          </w:tcPr>
          <w:p w:rsidR="00000000" w:rsidRDefault="00000000">
            <w:pPr>
              <w:ind w:right="397"/>
              <w:jc w:val="right"/>
            </w:pPr>
            <w:r>
              <w:t>88.44</w:t>
            </w:r>
          </w:p>
        </w:tc>
        <w:tc>
          <w:tcPr>
            <w:tcW w:w="1843" w:type="dxa"/>
            <w:tcBorders>
              <w:bottom w:val="nil"/>
            </w:tcBorders>
          </w:tcPr>
          <w:p w:rsidR="00000000" w:rsidRDefault="00000000">
            <w:pPr>
              <w:ind w:right="537"/>
              <w:jc w:val="right"/>
            </w:pPr>
            <w:r>
              <w:t>75.64</w:t>
            </w:r>
          </w:p>
        </w:tc>
        <w:tc>
          <w:tcPr>
            <w:tcW w:w="992" w:type="dxa"/>
            <w:tcBorders>
              <w:bottom w:val="nil"/>
            </w:tcBorders>
          </w:tcPr>
          <w:p w:rsidR="00000000" w:rsidRDefault="00000000">
            <w:pPr>
              <w:ind w:right="112"/>
              <w:jc w:val="right"/>
            </w:pPr>
            <w:r>
              <w:t>100.00</w:t>
            </w:r>
          </w:p>
        </w:tc>
        <w:tc>
          <w:tcPr>
            <w:tcW w:w="1134" w:type="dxa"/>
            <w:tcBorders>
              <w:bottom w:val="nil"/>
            </w:tcBorders>
          </w:tcPr>
          <w:p w:rsidR="00000000" w:rsidRDefault="00000000">
            <w:pPr>
              <w:ind w:right="227"/>
              <w:jc w:val="right"/>
            </w:pPr>
            <w:r>
              <w:t>87.49</w:t>
            </w:r>
          </w:p>
        </w:tc>
        <w:tc>
          <w:tcPr>
            <w:tcW w:w="1701" w:type="dxa"/>
            <w:tcBorders>
              <w:bottom w:val="nil"/>
            </w:tcBorders>
          </w:tcPr>
          <w:p w:rsidR="00000000" w:rsidRDefault="00000000">
            <w:pPr>
              <w:ind w:right="537"/>
              <w:jc w:val="right"/>
            </w:pPr>
            <w:r>
              <w:t>73.45</w:t>
            </w:r>
          </w:p>
        </w:tc>
      </w:tr>
      <w:tr w:rsidR="00000000">
        <w:tblPrEx>
          <w:tblCellMar>
            <w:top w:w="0" w:type="dxa"/>
            <w:bottom w:w="0" w:type="dxa"/>
          </w:tblCellMar>
        </w:tblPrEx>
        <w:trPr>
          <w:cantSplit/>
          <w:trHeight w:val="250"/>
          <w:jc w:val="center"/>
        </w:trPr>
        <w:tc>
          <w:tcPr>
            <w:tcW w:w="1799" w:type="dxa"/>
            <w:tcBorders>
              <w:top w:val="nil"/>
              <w:bottom w:val="nil"/>
            </w:tcBorders>
          </w:tcPr>
          <w:p w:rsidR="00000000" w:rsidRDefault="00000000">
            <w:r>
              <w:t>North</w:t>
            </w:r>
            <w:r>
              <w:noBreakHyphen/>
              <w:t>east</w:t>
            </w:r>
          </w:p>
        </w:tc>
        <w:tc>
          <w:tcPr>
            <w:tcW w:w="1489" w:type="dxa"/>
            <w:tcBorders>
              <w:top w:val="nil"/>
              <w:bottom w:val="nil"/>
            </w:tcBorders>
          </w:tcPr>
          <w:p w:rsidR="00000000" w:rsidRDefault="00000000">
            <w:pPr>
              <w:ind w:right="397"/>
              <w:jc w:val="right"/>
            </w:pPr>
            <w:r>
              <w:t>93.86</w:t>
            </w:r>
          </w:p>
        </w:tc>
        <w:tc>
          <w:tcPr>
            <w:tcW w:w="1843" w:type="dxa"/>
            <w:tcBorders>
              <w:top w:val="nil"/>
              <w:bottom w:val="nil"/>
            </w:tcBorders>
          </w:tcPr>
          <w:p w:rsidR="00000000" w:rsidRDefault="00000000">
            <w:pPr>
              <w:ind w:right="537"/>
              <w:jc w:val="right"/>
            </w:pPr>
            <w:r>
              <w:t>88.68</w:t>
            </w:r>
          </w:p>
        </w:tc>
        <w:tc>
          <w:tcPr>
            <w:tcW w:w="992" w:type="dxa"/>
            <w:tcBorders>
              <w:top w:val="nil"/>
              <w:bottom w:val="nil"/>
            </w:tcBorders>
          </w:tcPr>
          <w:p w:rsidR="00000000" w:rsidRDefault="00000000">
            <w:pPr>
              <w:ind w:right="112"/>
              <w:jc w:val="right"/>
            </w:pPr>
            <w:r>
              <w:t>100.00</w:t>
            </w:r>
          </w:p>
        </w:tc>
        <w:tc>
          <w:tcPr>
            <w:tcW w:w="1134" w:type="dxa"/>
            <w:tcBorders>
              <w:top w:val="nil"/>
              <w:bottom w:val="nil"/>
            </w:tcBorders>
          </w:tcPr>
          <w:p w:rsidR="00000000" w:rsidRDefault="00000000">
            <w:pPr>
              <w:ind w:right="227"/>
              <w:jc w:val="right"/>
            </w:pPr>
            <w:r>
              <w:t>97.84</w:t>
            </w:r>
          </w:p>
        </w:tc>
        <w:tc>
          <w:tcPr>
            <w:tcW w:w="1701" w:type="dxa"/>
            <w:tcBorders>
              <w:top w:val="nil"/>
              <w:bottom w:val="nil"/>
            </w:tcBorders>
          </w:tcPr>
          <w:p w:rsidR="00000000" w:rsidRDefault="00000000">
            <w:pPr>
              <w:ind w:right="537"/>
              <w:jc w:val="right"/>
            </w:pPr>
            <w:r>
              <w:t>61.90</w:t>
            </w:r>
          </w:p>
        </w:tc>
      </w:tr>
      <w:tr w:rsidR="00000000">
        <w:tblPrEx>
          <w:tblCellMar>
            <w:top w:w="0" w:type="dxa"/>
            <w:bottom w:w="0" w:type="dxa"/>
          </w:tblCellMar>
        </w:tblPrEx>
        <w:trPr>
          <w:cantSplit/>
          <w:trHeight w:val="250"/>
          <w:jc w:val="center"/>
        </w:trPr>
        <w:tc>
          <w:tcPr>
            <w:tcW w:w="1799" w:type="dxa"/>
            <w:tcBorders>
              <w:top w:val="nil"/>
              <w:bottom w:val="nil"/>
            </w:tcBorders>
          </w:tcPr>
          <w:p w:rsidR="00000000" w:rsidRDefault="00000000">
            <w:r>
              <w:t>South</w:t>
            </w:r>
            <w:r>
              <w:noBreakHyphen/>
              <w:t>east</w:t>
            </w:r>
          </w:p>
        </w:tc>
        <w:tc>
          <w:tcPr>
            <w:tcW w:w="1489" w:type="dxa"/>
            <w:tcBorders>
              <w:top w:val="nil"/>
              <w:bottom w:val="nil"/>
            </w:tcBorders>
          </w:tcPr>
          <w:p w:rsidR="00000000" w:rsidRDefault="00000000">
            <w:pPr>
              <w:ind w:right="397"/>
              <w:jc w:val="right"/>
            </w:pPr>
            <w:r>
              <w:t>100.00</w:t>
            </w:r>
          </w:p>
        </w:tc>
        <w:tc>
          <w:tcPr>
            <w:tcW w:w="1843" w:type="dxa"/>
            <w:tcBorders>
              <w:top w:val="nil"/>
              <w:bottom w:val="nil"/>
            </w:tcBorders>
          </w:tcPr>
          <w:p w:rsidR="00000000" w:rsidRDefault="00000000">
            <w:pPr>
              <w:ind w:right="537"/>
              <w:jc w:val="right"/>
            </w:pPr>
            <w:r>
              <w:t>100.00</w:t>
            </w:r>
          </w:p>
        </w:tc>
        <w:tc>
          <w:tcPr>
            <w:tcW w:w="992" w:type="dxa"/>
            <w:tcBorders>
              <w:top w:val="nil"/>
              <w:bottom w:val="nil"/>
            </w:tcBorders>
          </w:tcPr>
          <w:p w:rsidR="00000000" w:rsidRDefault="00000000">
            <w:pPr>
              <w:ind w:right="112"/>
              <w:jc w:val="right"/>
            </w:pPr>
            <w:r>
              <w:t>100.00</w:t>
            </w:r>
          </w:p>
        </w:tc>
        <w:tc>
          <w:tcPr>
            <w:tcW w:w="1134" w:type="dxa"/>
            <w:tcBorders>
              <w:top w:val="nil"/>
              <w:bottom w:val="nil"/>
            </w:tcBorders>
          </w:tcPr>
          <w:p w:rsidR="00000000" w:rsidRDefault="00000000">
            <w:pPr>
              <w:ind w:right="227"/>
              <w:jc w:val="right"/>
            </w:pPr>
            <w:r>
              <w:t>100.00</w:t>
            </w:r>
          </w:p>
        </w:tc>
        <w:tc>
          <w:tcPr>
            <w:tcW w:w="1701" w:type="dxa"/>
            <w:tcBorders>
              <w:top w:val="nil"/>
              <w:bottom w:val="nil"/>
            </w:tcBorders>
          </w:tcPr>
          <w:p w:rsidR="00000000" w:rsidRDefault="00000000">
            <w:pPr>
              <w:ind w:right="537"/>
              <w:jc w:val="right"/>
            </w:pPr>
            <w:r>
              <w:t>95.55</w:t>
            </w:r>
          </w:p>
        </w:tc>
      </w:tr>
      <w:tr w:rsidR="00000000">
        <w:tblPrEx>
          <w:tblCellMar>
            <w:top w:w="0" w:type="dxa"/>
            <w:bottom w:w="0" w:type="dxa"/>
          </w:tblCellMar>
        </w:tblPrEx>
        <w:trPr>
          <w:cantSplit/>
          <w:trHeight w:val="250"/>
          <w:jc w:val="center"/>
        </w:trPr>
        <w:tc>
          <w:tcPr>
            <w:tcW w:w="1799" w:type="dxa"/>
            <w:tcBorders>
              <w:top w:val="nil"/>
              <w:bottom w:val="nil"/>
            </w:tcBorders>
          </w:tcPr>
          <w:p w:rsidR="00000000" w:rsidRDefault="00000000">
            <w:r>
              <w:t>South</w:t>
            </w:r>
          </w:p>
        </w:tc>
        <w:tc>
          <w:tcPr>
            <w:tcW w:w="1489" w:type="dxa"/>
            <w:tcBorders>
              <w:top w:val="nil"/>
              <w:bottom w:val="nil"/>
            </w:tcBorders>
          </w:tcPr>
          <w:p w:rsidR="00000000" w:rsidRDefault="00000000">
            <w:pPr>
              <w:ind w:right="397"/>
              <w:jc w:val="right"/>
            </w:pPr>
            <w:r>
              <w:t>93.60</w:t>
            </w:r>
          </w:p>
        </w:tc>
        <w:tc>
          <w:tcPr>
            <w:tcW w:w="1843" w:type="dxa"/>
            <w:tcBorders>
              <w:top w:val="nil"/>
              <w:bottom w:val="nil"/>
            </w:tcBorders>
          </w:tcPr>
          <w:p w:rsidR="00000000" w:rsidRDefault="00000000">
            <w:pPr>
              <w:ind w:right="537"/>
              <w:jc w:val="right"/>
            </w:pPr>
            <w:r>
              <w:t>93.70</w:t>
            </w:r>
          </w:p>
        </w:tc>
        <w:tc>
          <w:tcPr>
            <w:tcW w:w="992" w:type="dxa"/>
            <w:tcBorders>
              <w:top w:val="nil"/>
              <w:bottom w:val="nil"/>
            </w:tcBorders>
          </w:tcPr>
          <w:p w:rsidR="00000000" w:rsidRDefault="00000000">
            <w:pPr>
              <w:ind w:right="112"/>
              <w:jc w:val="right"/>
            </w:pPr>
            <w:r>
              <w:t>100.00</w:t>
            </w:r>
          </w:p>
        </w:tc>
        <w:tc>
          <w:tcPr>
            <w:tcW w:w="1134" w:type="dxa"/>
            <w:tcBorders>
              <w:top w:val="nil"/>
              <w:bottom w:val="nil"/>
            </w:tcBorders>
          </w:tcPr>
          <w:p w:rsidR="00000000" w:rsidRDefault="00000000">
            <w:pPr>
              <w:ind w:right="227"/>
              <w:jc w:val="right"/>
            </w:pPr>
            <w:r>
              <w:t>95.71</w:t>
            </w:r>
          </w:p>
        </w:tc>
        <w:tc>
          <w:tcPr>
            <w:tcW w:w="1701" w:type="dxa"/>
            <w:tcBorders>
              <w:top w:val="nil"/>
              <w:bottom w:val="nil"/>
            </w:tcBorders>
          </w:tcPr>
          <w:p w:rsidR="00000000" w:rsidRDefault="00000000">
            <w:pPr>
              <w:ind w:right="537"/>
              <w:jc w:val="right"/>
            </w:pPr>
            <w:r>
              <w:t>100.00</w:t>
            </w:r>
          </w:p>
        </w:tc>
      </w:tr>
      <w:tr w:rsidR="00000000">
        <w:tblPrEx>
          <w:tblCellMar>
            <w:top w:w="0" w:type="dxa"/>
            <w:bottom w:w="0" w:type="dxa"/>
          </w:tblCellMar>
        </w:tblPrEx>
        <w:trPr>
          <w:cantSplit/>
          <w:trHeight w:val="250"/>
          <w:jc w:val="center"/>
        </w:trPr>
        <w:tc>
          <w:tcPr>
            <w:tcW w:w="1799" w:type="dxa"/>
            <w:tcBorders>
              <w:top w:val="nil"/>
              <w:bottom w:val="single" w:sz="4" w:space="0" w:color="auto"/>
            </w:tcBorders>
          </w:tcPr>
          <w:p w:rsidR="00000000" w:rsidRDefault="00000000">
            <w:r>
              <w:t>Centre-west</w:t>
            </w:r>
          </w:p>
        </w:tc>
        <w:tc>
          <w:tcPr>
            <w:tcW w:w="1489" w:type="dxa"/>
            <w:tcBorders>
              <w:top w:val="nil"/>
              <w:bottom w:val="single" w:sz="4" w:space="0" w:color="auto"/>
            </w:tcBorders>
          </w:tcPr>
          <w:p w:rsidR="00000000" w:rsidRDefault="00000000">
            <w:pPr>
              <w:ind w:right="397"/>
              <w:jc w:val="right"/>
            </w:pPr>
            <w:r>
              <w:t>100.00</w:t>
            </w:r>
          </w:p>
        </w:tc>
        <w:tc>
          <w:tcPr>
            <w:tcW w:w="1843" w:type="dxa"/>
            <w:tcBorders>
              <w:top w:val="nil"/>
              <w:bottom w:val="single" w:sz="4" w:space="0" w:color="auto"/>
            </w:tcBorders>
          </w:tcPr>
          <w:p w:rsidR="00000000" w:rsidRDefault="00000000">
            <w:pPr>
              <w:ind w:right="537"/>
              <w:jc w:val="right"/>
            </w:pPr>
            <w:r>
              <w:t>96.76</w:t>
            </w:r>
          </w:p>
        </w:tc>
        <w:tc>
          <w:tcPr>
            <w:tcW w:w="992" w:type="dxa"/>
            <w:tcBorders>
              <w:top w:val="nil"/>
              <w:bottom w:val="single" w:sz="4" w:space="0" w:color="auto"/>
            </w:tcBorders>
          </w:tcPr>
          <w:p w:rsidR="00000000" w:rsidRDefault="00000000">
            <w:pPr>
              <w:ind w:right="112"/>
              <w:jc w:val="right"/>
            </w:pPr>
            <w:r>
              <w:t>100.00</w:t>
            </w:r>
          </w:p>
        </w:tc>
        <w:tc>
          <w:tcPr>
            <w:tcW w:w="1134" w:type="dxa"/>
            <w:tcBorders>
              <w:top w:val="nil"/>
              <w:bottom w:val="single" w:sz="4" w:space="0" w:color="auto"/>
            </w:tcBorders>
          </w:tcPr>
          <w:p w:rsidR="00000000" w:rsidRDefault="00000000">
            <w:pPr>
              <w:ind w:right="227"/>
              <w:jc w:val="right"/>
            </w:pPr>
            <w:r>
              <w:t>81.82</w:t>
            </w:r>
          </w:p>
        </w:tc>
        <w:tc>
          <w:tcPr>
            <w:tcW w:w="1701" w:type="dxa"/>
            <w:tcBorders>
              <w:top w:val="nil"/>
              <w:bottom w:val="single" w:sz="4" w:space="0" w:color="auto"/>
            </w:tcBorders>
          </w:tcPr>
          <w:p w:rsidR="00000000" w:rsidRDefault="00000000">
            <w:pPr>
              <w:ind w:right="537"/>
              <w:jc w:val="right"/>
            </w:pPr>
            <w:r>
              <w:t>87.38</w:t>
            </w:r>
          </w:p>
        </w:tc>
      </w:tr>
      <w:tr w:rsidR="00000000">
        <w:tblPrEx>
          <w:tblCellMar>
            <w:top w:w="0" w:type="dxa"/>
            <w:bottom w:w="0" w:type="dxa"/>
          </w:tblCellMar>
        </w:tblPrEx>
        <w:trPr>
          <w:cantSplit/>
          <w:trHeight w:val="250"/>
          <w:jc w:val="center"/>
        </w:trPr>
        <w:tc>
          <w:tcPr>
            <w:tcW w:w="1799" w:type="dxa"/>
            <w:tcBorders>
              <w:top w:val="single" w:sz="4" w:space="0" w:color="auto"/>
            </w:tcBorders>
          </w:tcPr>
          <w:p w:rsidR="00000000" w:rsidRDefault="00000000">
            <w:r>
              <w:t xml:space="preserve">   Total</w:t>
            </w:r>
          </w:p>
        </w:tc>
        <w:tc>
          <w:tcPr>
            <w:tcW w:w="1489" w:type="dxa"/>
            <w:tcBorders>
              <w:top w:val="single" w:sz="4" w:space="0" w:color="auto"/>
            </w:tcBorders>
          </w:tcPr>
          <w:p w:rsidR="00000000" w:rsidRDefault="00000000">
            <w:pPr>
              <w:ind w:right="397"/>
              <w:jc w:val="right"/>
            </w:pPr>
            <w:r>
              <w:t>98.22</w:t>
            </w:r>
          </w:p>
        </w:tc>
        <w:tc>
          <w:tcPr>
            <w:tcW w:w="1843" w:type="dxa"/>
            <w:tcBorders>
              <w:top w:val="single" w:sz="4" w:space="0" w:color="auto"/>
            </w:tcBorders>
          </w:tcPr>
          <w:p w:rsidR="00000000" w:rsidRDefault="00000000">
            <w:pPr>
              <w:ind w:right="537"/>
              <w:jc w:val="right"/>
            </w:pPr>
            <w:r>
              <w:t>93.61</w:t>
            </w:r>
          </w:p>
        </w:tc>
        <w:tc>
          <w:tcPr>
            <w:tcW w:w="992" w:type="dxa"/>
            <w:tcBorders>
              <w:top w:val="single" w:sz="4" w:space="0" w:color="auto"/>
            </w:tcBorders>
          </w:tcPr>
          <w:p w:rsidR="00000000" w:rsidRDefault="00000000">
            <w:pPr>
              <w:ind w:right="112"/>
              <w:jc w:val="right"/>
            </w:pPr>
            <w:r>
              <w:t>100.00</w:t>
            </w:r>
          </w:p>
        </w:tc>
        <w:tc>
          <w:tcPr>
            <w:tcW w:w="1134" w:type="dxa"/>
            <w:tcBorders>
              <w:top w:val="single" w:sz="4" w:space="0" w:color="auto"/>
            </w:tcBorders>
          </w:tcPr>
          <w:p w:rsidR="00000000" w:rsidRDefault="00000000">
            <w:pPr>
              <w:ind w:right="227"/>
              <w:jc w:val="right"/>
            </w:pPr>
            <w:r>
              <w:t>98.35</w:t>
            </w:r>
          </w:p>
        </w:tc>
        <w:tc>
          <w:tcPr>
            <w:tcW w:w="1701" w:type="dxa"/>
            <w:tcBorders>
              <w:top w:val="single" w:sz="4" w:space="0" w:color="auto"/>
            </w:tcBorders>
          </w:tcPr>
          <w:p w:rsidR="00000000" w:rsidRDefault="00000000">
            <w:pPr>
              <w:ind w:right="537"/>
              <w:jc w:val="right"/>
            </w:pPr>
            <w:r>
              <w:t>83.38</w:t>
            </w:r>
          </w:p>
        </w:tc>
      </w:tr>
    </w:tbl>
    <w:p w:rsidR="00000000" w:rsidRDefault="00000000">
      <w:pPr>
        <w:rPr>
          <w:kern w:val="16"/>
        </w:rPr>
      </w:pPr>
    </w:p>
    <w:p w:rsidR="00000000" w:rsidRDefault="00000000">
      <w:pPr>
        <w:rPr>
          <w:kern w:val="16"/>
        </w:rPr>
      </w:pPr>
      <w:r>
        <w:rPr>
          <w:kern w:val="16"/>
        </w:rPr>
        <w:tab/>
      </w:r>
      <w:r>
        <w:rPr>
          <w:kern w:val="16"/>
          <w:u w:val="single"/>
        </w:rPr>
        <w:t>Source</w:t>
      </w:r>
      <w:r>
        <w:rPr>
          <w:kern w:val="16"/>
        </w:rPr>
        <w:t>:  COPNI/CENEPI/FUNASA/Ministry of Health.</w:t>
      </w:r>
    </w:p>
    <w:p w:rsidR="00000000" w:rsidRDefault="00000000">
      <w:pPr>
        <w:rPr>
          <w:kern w:val="16"/>
        </w:rPr>
      </w:pPr>
    </w:p>
    <w:p w:rsidR="00000000" w:rsidRDefault="00000000">
      <w:pPr>
        <w:pStyle w:val="ParaNo"/>
        <w:tabs>
          <w:tab w:val="clear" w:pos="360"/>
          <w:tab w:val="clear" w:pos="737"/>
        </w:tabs>
        <w:ind w:left="0" w:firstLine="0"/>
        <w:rPr>
          <w:kern w:val="20"/>
          <w:lang w:val="en-GB"/>
        </w:rPr>
      </w:pPr>
      <w:r>
        <w:rPr>
          <w:kern w:val="20"/>
          <w:lang w:val="en-GB"/>
        </w:rPr>
        <w:t>According to WHO, a fully vaccinated child should have received BCG, measles, triple protection and polio vaccines.  The data issued by the Ministry of Health indicate nationwide coverage of over 90 per cent for each of these vaccines in 1999.</w:t>
      </w:r>
    </w:p>
    <w:p w:rsidR="00000000" w:rsidRDefault="00000000">
      <w:pPr>
        <w:rPr>
          <w:kern w:val="20"/>
        </w:rPr>
      </w:pPr>
    </w:p>
    <w:p w:rsidR="00000000" w:rsidRDefault="00000000">
      <w:pPr>
        <w:pStyle w:val="Heading1"/>
        <w:rPr>
          <w:kern w:val="20"/>
        </w:rPr>
      </w:pPr>
      <w:r>
        <w:rPr>
          <w:kern w:val="20"/>
        </w:rPr>
        <w:t>Table 83</w:t>
      </w:r>
    </w:p>
    <w:p w:rsidR="00000000" w:rsidRDefault="00000000">
      <w:pPr>
        <w:rPr>
          <w:kern w:val="20"/>
        </w:rPr>
      </w:pPr>
    </w:p>
    <w:p w:rsidR="00000000" w:rsidRDefault="00000000">
      <w:pPr>
        <w:pStyle w:val="Heading1"/>
        <w:rPr>
          <w:kern w:val="20"/>
        </w:rPr>
      </w:pPr>
      <w:r>
        <w:rPr>
          <w:kern w:val="20"/>
        </w:rPr>
        <w:t>Life expectancy at birth, 1998</w:t>
      </w:r>
    </w:p>
    <w:p w:rsidR="00000000" w:rsidRDefault="00000000">
      <w:pPr>
        <w:rPr>
          <w:kern w:val="20"/>
        </w:rPr>
      </w:pPr>
    </w:p>
    <w:tbl>
      <w:tblPr>
        <w:tblW w:w="0" w:type="auto"/>
        <w:tblInd w:w="880" w:type="dxa"/>
        <w:tblLayout w:type="fixed"/>
        <w:tblCellMar>
          <w:left w:w="30" w:type="dxa"/>
          <w:right w:w="30" w:type="dxa"/>
        </w:tblCellMar>
        <w:tblLook w:val="0000" w:firstRow="0" w:lastRow="0" w:firstColumn="0" w:lastColumn="0" w:noHBand="0" w:noVBand="0"/>
      </w:tblPr>
      <w:tblGrid>
        <w:gridCol w:w="2977"/>
        <w:gridCol w:w="1559"/>
        <w:gridCol w:w="1560"/>
        <w:gridCol w:w="1701"/>
      </w:tblGrid>
      <w:tr w:rsidR="00000000">
        <w:tblPrEx>
          <w:tblCellMar>
            <w:top w:w="0" w:type="dxa"/>
            <w:bottom w:w="0" w:type="dxa"/>
          </w:tblCellMar>
        </w:tblPrEx>
        <w:trPr>
          <w:cantSplit/>
          <w:trHeight w:val="187"/>
        </w:trPr>
        <w:tc>
          <w:tcPr>
            <w:tcW w:w="2977" w:type="dxa"/>
            <w:vMerge w:val="restart"/>
            <w:tcBorders>
              <w:top w:val="single" w:sz="6" w:space="0" w:color="auto"/>
              <w:left w:val="single" w:sz="6" w:space="0" w:color="auto"/>
              <w:bottom w:val="nil"/>
              <w:right w:val="single" w:sz="6" w:space="0" w:color="auto"/>
            </w:tcBorders>
          </w:tcPr>
          <w:p w:rsidR="00000000" w:rsidRDefault="00000000">
            <w:pPr>
              <w:jc w:val="center"/>
            </w:pPr>
          </w:p>
        </w:tc>
        <w:tc>
          <w:tcPr>
            <w:tcW w:w="4820" w:type="dxa"/>
            <w:gridSpan w:val="3"/>
            <w:tcBorders>
              <w:top w:val="single" w:sz="6" w:space="0" w:color="auto"/>
              <w:left w:val="single" w:sz="6" w:space="0" w:color="auto"/>
              <w:bottom w:val="single" w:sz="6" w:space="0" w:color="auto"/>
              <w:right w:val="single" w:sz="6" w:space="0" w:color="auto"/>
            </w:tcBorders>
          </w:tcPr>
          <w:p w:rsidR="00000000" w:rsidRDefault="00000000">
            <w:pPr>
              <w:jc w:val="center"/>
            </w:pPr>
            <w:r>
              <w:t>Life expectancy at birth</w:t>
            </w:r>
          </w:p>
        </w:tc>
      </w:tr>
      <w:tr w:rsidR="00000000">
        <w:tblPrEx>
          <w:tblCellMar>
            <w:top w:w="0" w:type="dxa"/>
            <w:bottom w:w="0" w:type="dxa"/>
          </w:tblCellMar>
        </w:tblPrEx>
        <w:trPr>
          <w:cantSplit/>
          <w:trHeight w:val="187"/>
        </w:trPr>
        <w:tc>
          <w:tcPr>
            <w:tcW w:w="2977" w:type="dxa"/>
            <w:vMerge/>
            <w:tcBorders>
              <w:top w:val="nil"/>
              <w:left w:val="single" w:sz="6" w:space="0" w:color="auto"/>
              <w:bottom w:val="single" w:sz="6" w:space="0" w:color="auto"/>
              <w:right w:val="single" w:sz="6" w:space="0" w:color="auto"/>
            </w:tcBorders>
          </w:tcPr>
          <w:p w:rsidR="00000000" w:rsidRDefault="00000000">
            <w:pPr>
              <w:jc w:val="center"/>
            </w:pP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jc w:val="center"/>
            </w:pPr>
            <w:r>
              <w:t>Men/ Women</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jc w:val="center"/>
            </w:pPr>
            <w:r>
              <w:t>Men</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center"/>
            </w:pPr>
            <w:r>
              <w:t>Women</w:t>
            </w:r>
          </w:p>
        </w:tc>
      </w:tr>
      <w:tr w:rsidR="00000000">
        <w:tblPrEx>
          <w:tblCellMar>
            <w:top w:w="0" w:type="dxa"/>
            <w:bottom w:w="0" w:type="dxa"/>
          </w:tblCellMar>
        </w:tblPrEx>
        <w:trPr>
          <w:cantSplit/>
          <w:trHeight w:val="202"/>
        </w:trPr>
        <w:tc>
          <w:tcPr>
            <w:tcW w:w="2977" w:type="dxa"/>
            <w:tcBorders>
              <w:top w:val="single" w:sz="6" w:space="0" w:color="auto"/>
              <w:left w:val="single" w:sz="6" w:space="0" w:color="000000"/>
              <w:right w:val="single" w:sz="6" w:space="0" w:color="000000"/>
            </w:tcBorders>
          </w:tcPr>
          <w:p w:rsidR="00000000" w:rsidRDefault="00000000">
            <w:r>
              <w:t>Brazil</w:t>
            </w:r>
          </w:p>
        </w:tc>
        <w:tc>
          <w:tcPr>
            <w:tcW w:w="1559" w:type="dxa"/>
            <w:tcBorders>
              <w:top w:val="single" w:sz="6" w:space="0" w:color="auto"/>
              <w:left w:val="single" w:sz="6" w:space="0" w:color="000000"/>
              <w:right w:val="single" w:sz="6" w:space="0" w:color="000000"/>
            </w:tcBorders>
          </w:tcPr>
          <w:p w:rsidR="00000000" w:rsidRDefault="00000000">
            <w:pPr>
              <w:jc w:val="center"/>
            </w:pPr>
            <w:r>
              <w:t>68.1</w:t>
            </w:r>
          </w:p>
        </w:tc>
        <w:tc>
          <w:tcPr>
            <w:tcW w:w="1560" w:type="dxa"/>
            <w:tcBorders>
              <w:top w:val="single" w:sz="6" w:space="0" w:color="auto"/>
              <w:left w:val="single" w:sz="6" w:space="0" w:color="000000"/>
              <w:right w:val="single" w:sz="6" w:space="0" w:color="000000"/>
            </w:tcBorders>
          </w:tcPr>
          <w:p w:rsidR="00000000" w:rsidRDefault="00000000">
            <w:pPr>
              <w:jc w:val="center"/>
            </w:pPr>
            <w:r>
              <w:t>64.3</w:t>
            </w:r>
          </w:p>
        </w:tc>
        <w:tc>
          <w:tcPr>
            <w:tcW w:w="1701" w:type="dxa"/>
            <w:tcBorders>
              <w:top w:val="single" w:sz="6" w:space="0" w:color="auto"/>
              <w:left w:val="single" w:sz="6" w:space="0" w:color="000000"/>
              <w:right w:val="single" w:sz="6" w:space="0" w:color="000000"/>
            </w:tcBorders>
          </w:tcPr>
          <w:p w:rsidR="00000000" w:rsidRDefault="00000000">
            <w:pPr>
              <w:jc w:val="center"/>
            </w:pPr>
            <w:r>
              <w:t>72.1</w:t>
            </w:r>
          </w:p>
        </w:tc>
      </w:tr>
      <w:tr w:rsidR="00000000">
        <w:tblPrEx>
          <w:tblCellMar>
            <w:top w:w="0" w:type="dxa"/>
            <w:bottom w:w="0" w:type="dxa"/>
          </w:tblCellMar>
        </w:tblPrEx>
        <w:trPr>
          <w:cantSplit/>
          <w:trHeight w:val="202"/>
        </w:trPr>
        <w:tc>
          <w:tcPr>
            <w:tcW w:w="2977" w:type="dxa"/>
            <w:tcBorders>
              <w:left w:val="single" w:sz="6" w:space="0" w:color="000000"/>
              <w:right w:val="single" w:sz="6" w:space="0" w:color="000000"/>
            </w:tcBorders>
          </w:tcPr>
          <w:p w:rsidR="00000000" w:rsidRDefault="00000000">
            <w:r>
              <w:t>North</w:t>
            </w:r>
          </w:p>
        </w:tc>
        <w:tc>
          <w:tcPr>
            <w:tcW w:w="1559" w:type="dxa"/>
            <w:tcBorders>
              <w:left w:val="single" w:sz="6" w:space="0" w:color="000000"/>
              <w:right w:val="single" w:sz="6" w:space="0" w:color="000000"/>
            </w:tcBorders>
          </w:tcPr>
          <w:p w:rsidR="00000000" w:rsidRDefault="00000000">
            <w:pPr>
              <w:jc w:val="center"/>
            </w:pPr>
            <w:r>
              <w:t>67.9</w:t>
            </w:r>
          </w:p>
        </w:tc>
        <w:tc>
          <w:tcPr>
            <w:tcW w:w="1560" w:type="dxa"/>
            <w:tcBorders>
              <w:left w:val="single" w:sz="6" w:space="0" w:color="000000"/>
              <w:right w:val="single" w:sz="6" w:space="0" w:color="000000"/>
            </w:tcBorders>
          </w:tcPr>
          <w:p w:rsidR="00000000" w:rsidRDefault="00000000">
            <w:pPr>
              <w:jc w:val="center"/>
            </w:pPr>
            <w:r>
              <w:t>65.1</w:t>
            </w:r>
          </w:p>
        </w:tc>
        <w:tc>
          <w:tcPr>
            <w:tcW w:w="1701" w:type="dxa"/>
            <w:tcBorders>
              <w:left w:val="single" w:sz="6" w:space="0" w:color="000000"/>
              <w:right w:val="single" w:sz="6" w:space="0" w:color="000000"/>
            </w:tcBorders>
          </w:tcPr>
          <w:p w:rsidR="00000000" w:rsidRDefault="00000000">
            <w:pPr>
              <w:jc w:val="center"/>
            </w:pPr>
            <w:r>
              <w:t>71.1</w:t>
            </w:r>
          </w:p>
        </w:tc>
      </w:tr>
      <w:tr w:rsidR="00000000">
        <w:tblPrEx>
          <w:tblCellMar>
            <w:top w:w="0" w:type="dxa"/>
            <w:bottom w:w="0" w:type="dxa"/>
          </w:tblCellMar>
        </w:tblPrEx>
        <w:trPr>
          <w:cantSplit/>
          <w:trHeight w:val="187"/>
        </w:trPr>
        <w:tc>
          <w:tcPr>
            <w:tcW w:w="2977" w:type="dxa"/>
            <w:tcBorders>
              <w:left w:val="single" w:sz="6" w:space="0" w:color="000000"/>
              <w:right w:val="single" w:sz="6" w:space="0" w:color="000000"/>
            </w:tcBorders>
          </w:tcPr>
          <w:p w:rsidR="00000000" w:rsidRDefault="00000000">
            <w:r>
              <w:t>North</w:t>
            </w:r>
            <w:r>
              <w:noBreakHyphen/>
              <w:t xml:space="preserve">east </w:t>
            </w:r>
          </w:p>
        </w:tc>
        <w:tc>
          <w:tcPr>
            <w:tcW w:w="1559" w:type="dxa"/>
            <w:tcBorders>
              <w:left w:val="single" w:sz="6" w:space="0" w:color="000000"/>
              <w:right w:val="single" w:sz="6" w:space="0" w:color="000000"/>
            </w:tcBorders>
          </w:tcPr>
          <w:p w:rsidR="00000000" w:rsidRDefault="00000000">
            <w:pPr>
              <w:jc w:val="center"/>
            </w:pPr>
            <w:r>
              <w:t>65.1</w:t>
            </w:r>
          </w:p>
        </w:tc>
        <w:tc>
          <w:tcPr>
            <w:tcW w:w="1560" w:type="dxa"/>
            <w:tcBorders>
              <w:left w:val="single" w:sz="6" w:space="0" w:color="000000"/>
              <w:right w:val="single" w:sz="6" w:space="0" w:color="000000"/>
            </w:tcBorders>
          </w:tcPr>
          <w:p w:rsidR="00000000" w:rsidRDefault="00000000">
            <w:pPr>
              <w:jc w:val="center"/>
            </w:pPr>
            <w:r>
              <w:t>62.1</w:t>
            </w:r>
          </w:p>
        </w:tc>
        <w:tc>
          <w:tcPr>
            <w:tcW w:w="1701" w:type="dxa"/>
            <w:tcBorders>
              <w:left w:val="single" w:sz="6" w:space="0" w:color="000000"/>
              <w:right w:val="single" w:sz="6" w:space="0" w:color="000000"/>
            </w:tcBorders>
          </w:tcPr>
          <w:p w:rsidR="00000000" w:rsidRDefault="00000000">
            <w:pPr>
              <w:jc w:val="center"/>
            </w:pPr>
            <w:r>
              <w:t>68.2</w:t>
            </w:r>
          </w:p>
        </w:tc>
      </w:tr>
      <w:tr w:rsidR="00000000">
        <w:tblPrEx>
          <w:tblCellMar>
            <w:top w:w="0" w:type="dxa"/>
            <w:bottom w:w="0" w:type="dxa"/>
          </w:tblCellMar>
        </w:tblPrEx>
        <w:trPr>
          <w:cantSplit/>
          <w:trHeight w:val="187"/>
        </w:trPr>
        <w:tc>
          <w:tcPr>
            <w:tcW w:w="2977" w:type="dxa"/>
            <w:tcBorders>
              <w:left w:val="single" w:sz="6" w:space="0" w:color="000000"/>
              <w:right w:val="single" w:sz="6" w:space="0" w:color="000000"/>
            </w:tcBorders>
          </w:tcPr>
          <w:p w:rsidR="00000000" w:rsidRDefault="00000000">
            <w:r>
              <w:t>South</w:t>
            </w:r>
            <w:r>
              <w:noBreakHyphen/>
              <w:t>east</w:t>
            </w:r>
          </w:p>
        </w:tc>
        <w:tc>
          <w:tcPr>
            <w:tcW w:w="1559" w:type="dxa"/>
            <w:tcBorders>
              <w:left w:val="single" w:sz="6" w:space="0" w:color="000000"/>
              <w:right w:val="single" w:sz="6" w:space="0" w:color="000000"/>
            </w:tcBorders>
          </w:tcPr>
          <w:p w:rsidR="00000000" w:rsidRDefault="00000000">
            <w:pPr>
              <w:jc w:val="center"/>
            </w:pPr>
            <w:r>
              <w:t>69.2</w:t>
            </w:r>
          </w:p>
        </w:tc>
        <w:tc>
          <w:tcPr>
            <w:tcW w:w="1560" w:type="dxa"/>
            <w:tcBorders>
              <w:left w:val="single" w:sz="6" w:space="0" w:color="000000"/>
              <w:right w:val="single" w:sz="6" w:space="0" w:color="000000"/>
            </w:tcBorders>
          </w:tcPr>
          <w:p w:rsidR="00000000" w:rsidRDefault="00000000">
            <w:pPr>
              <w:jc w:val="center"/>
            </w:pPr>
            <w:r>
              <w:t>64.8</w:t>
            </w:r>
          </w:p>
        </w:tc>
        <w:tc>
          <w:tcPr>
            <w:tcW w:w="1701" w:type="dxa"/>
            <w:tcBorders>
              <w:left w:val="single" w:sz="6" w:space="0" w:color="000000"/>
              <w:right w:val="single" w:sz="6" w:space="0" w:color="000000"/>
            </w:tcBorders>
          </w:tcPr>
          <w:p w:rsidR="00000000" w:rsidRDefault="00000000">
            <w:pPr>
              <w:jc w:val="center"/>
            </w:pPr>
            <w:r>
              <w:t>73.8</w:t>
            </w:r>
          </w:p>
        </w:tc>
      </w:tr>
      <w:tr w:rsidR="00000000">
        <w:tblPrEx>
          <w:tblCellMar>
            <w:top w:w="0" w:type="dxa"/>
            <w:bottom w:w="0" w:type="dxa"/>
          </w:tblCellMar>
        </w:tblPrEx>
        <w:trPr>
          <w:cantSplit/>
          <w:trHeight w:val="187"/>
        </w:trPr>
        <w:tc>
          <w:tcPr>
            <w:tcW w:w="2977" w:type="dxa"/>
            <w:tcBorders>
              <w:left w:val="single" w:sz="6" w:space="0" w:color="000000"/>
              <w:right w:val="single" w:sz="6" w:space="0" w:color="000000"/>
            </w:tcBorders>
          </w:tcPr>
          <w:p w:rsidR="00000000" w:rsidRDefault="00000000">
            <w:r>
              <w:t>South</w:t>
            </w:r>
          </w:p>
        </w:tc>
        <w:tc>
          <w:tcPr>
            <w:tcW w:w="1559" w:type="dxa"/>
            <w:tcBorders>
              <w:left w:val="single" w:sz="6" w:space="0" w:color="000000"/>
              <w:right w:val="single" w:sz="6" w:space="0" w:color="000000"/>
            </w:tcBorders>
          </w:tcPr>
          <w:p w:rsidR="00000000" w:rsidRDefault="00000000">
            <w:pPr>
              <w:jc w:val="center"/>
            </w:pPr>
            <w:r>
              <w:t>70.6</w:t>
            </w:r>
          </w:p>
        </w:tc>
        <w:tc>
          <w:tcPr>
            <w:tcW w:w="1560" w:type="dxa"/>
            <w:tcBorders>
              <w:left w:val="single" w:sz="6" w:space="0" w:color="000000"/>
              <w:right w:val="single" w:sz="6" w:space="0" w:color="000000"/>
            </w:tcBorders>
          </w:tcPr>
          <w:p w:rsidR="00000000" w:rsidRDefault="00000000">
            <w:pPr>
              <w:jc w:val="center"/>
            </w:pPr>
            <w:r>
              <w:t>66.9</w:t>
            </w:r>
          </w:p>
        </w:tc>
        <w:tc>
          <w:tcPr>
            <w:tcW w:w="1701" w:type="dxa"/>
            <w:tcBorders>
              <w:left w:val="single" w:sz="6" w:space="0" w:color="000000"/>
              <w:right w:val="single" w:sz="6" w:space="0" w:color="000000"/>
            </w:tcBorders>
          </w:tcPr>
          <w:p w:rsidR="00000000" w:rsidRDefault="00000000">
            <w:pPr>
              <w:jc w:val="center"/>
            </w:pPr>
            <w:r>
              <w:t>74.5</w:t>
            </w:r>
          </w:p>
        </w:tc>
      </w:tr>
      <w:tr w:rsidR="00000000">
        <w:tblPrEx>
          <w:tblCellMar>
            <w:top w:w="0" w:type="dxa"/>
            <w:bottom w:w="0" w:type="dxa"/>
          </w:tblCellMar>
        </w:tblPrEx>
        <w:trPr>
          <w:cantSplit/>
          <w:trHeight w:val="202"/>
        </w:trPr>
        <w:tc>
          <w:tcPr>
            <w:tcW w:w="2977" w:type="dxa"/>
            <w:tcBorders>
              <w:left w:val="single" w:sz="6" w:space="0" w:color="000000"/>
              <w:bottom w:val="single" w:sz="6" w:space="0" w:color="000000"/>
              <w:right w:val="single" w:sz="6" w:space="0" w:color="000000"/>
            </w:tcBorders>
          </w:tcPr>
          <w:p w:rsidR="00000000" w:rsidRDefault="00000000">
            <w:r>
              <w:t>Centre-west</w:t>
            </w:r>
          </w:p>
        </w:tc>
        <w:tc>
          <w:tcPr>
            <w:tcW w:w="1559" w:type="dxa"/>
            <w:tcBorders>
              <w:left w:val="single" w:sz="6" w:space="0" w:color="000000"/>
              <w:bottom w:val="single" w:sz="6" w:space="0" w:color="000000"/>
              <w:right w:val="single" w:sz="6" w:space="0" w:color="000000"/>
            </w:tcBorders>
          </w:tcPr>
          <w:p w:rsidR="00000000" w:rsidRDefault="00000000">
            <w:pPr>
              <w:jc w:val="center"/>
            </w:pPr>
            <w:r>
              <w:t>68.9</w:t>
            </w:r>
          </w:p>
        </w:tc>
        <w:tc>
          <w:tcPr>
            <w:tcW w:w="1560" w:type="dxa"/>
            <w:tcBorders>
              <w:left w:val="single" w:sz="6" w:space="0" w:color="000000"/>
              <w:bottom w:val="single" w:sz="6" w:space="0" w:color="000000"/>
              <w:right w:val="single" w:sz="6" w:space="0" w:color="000000"/>
            </w:tcBorders>
          </w:tcPr>
          <w:p w:rsidR="00000000" w:rsidRDefault="00000000">
            <w:pPr>
              <w:jc w:val="center"/>
            </w:pPr>
            <w:r>
              <w:t>65.8</w:t>
            </w:r>
          </w:p>
        </w:tc>
        <w:tc>
          <w:tcPr>
            <w:tcW w:w="1701" w:type="dxa"/>
            <w:tcBorders>
              <w:left w:val="single" w:sz="6" w:space="0" w:color="000000"/>
              <w:bottom w:val="single" w:sz="6" w:space="0" w:color="000000"/>
              <w:right w:val="single" w:sz="6" w:space="0" w:color="000000"/>
            </w:tcBorders>
          </w:tcPr>
          <w:p w:rsidR="00000000" w:rsidRDefault="00000000">
            <w:pPr>
              <w:jc w:val="center"/>
            </w:pPr>
            <w:r>
              <w:t>72.4</w:t>
            </w:r>
          </w:p>
        </w:tc>
      </w:tr>
    </w:tbl>
    <w:p w:rsidR="00000000" w:rsidRDefault="00000000">
      <w:pPr>
        <w:rPr>
          <w:b/>
          <w:spacing w:val="20"/>
          <w:kern w:val="16"/>
        </w:rPr>
      </w:pPr>
    </w:p>
    <w:p w:rsidR="00000000" w:rsidRDefault="00000000">
      <w:pPr>
        <w:rPr>
          <w:kern w:val="16"/>
        </w:rPr>
      </w:pPr>
      <w:r>
        <w:rPr>
          <w:kern w:val="16"/>
        </w:rPr>
        <w:tab/>
      </w:r>
      <w:r>
        <w:rPr>
          <w:kern w:val="16"/>
        </w:rPr>
        <w:tab/>
      </w:r>
      <w:r>
        <w:rPr>
          <w:kern w:val="16"/>
          <w:u w:val="single"/>
        </w:rPr>
        <w:t>Source</w:t>
      </w:r>
      <w:r>
        <w:rPr>
          <w:kern w:val="16"/>
        </w:rPr>
        <w:t>:  Summary of Social Indicators.  IBGE, 1999.</w:t>
      </w:r>
    </w:p>
    <w:p w:rsidR="00000000" w:rsidRDefault="00000000">
      <w:pPr>
        <w:rPr>
          <w:b/>
          <w:spacing w:val="20"/>
          <w:kern w:val="16"/>
        </w:rPr>
      </w:pPr>
    </w:p>
    <w:p w:rsidR="00000000" w:rsidRDefault="00000000">
      <w:pPr>
        <w:pStyle w:val="Heading1"/>
      </w:pPr>
      <w:r>
        <w:t xml:space="preserve">Table 84  </w:t>
      </w:r>
    </w:p>
    <w:p w:rsidR="00000000" w:rsidRDefault="00000000"/>
    <w:p w:rsidR="00000000" w:rsidRDefault="00000000">
      <w:pPr>
        <w:pStyle w:val="Heading1"/>
      </w:pPr>
      <w:r>
        <w:t xml:space="preserve">Life expectancy at birth </w:t>
      </w:r>
      <w:r>
        <w:noBreakHyphen/>
        <w:t xml:space="preserve"> expected life span </w:t>
      </w:r>
    </w:p>
    <w:p w:rsidR="00000000" w:rsidRDefault="00000000">
      <w:pPr>
        <w:pStyle w:val="Heading1"/>
      </w:pPr>
      <w:r>
        <w:t>by gender, region and state, 1997</w:t>
      </w:r>
    </w:p>
    <w:p w:rsidR="00000000" w:rsidRDefault="00000000"/>
    <w:tbl>
      <w:tblPr>
        <w:tblW w:w="0" w:type="auto"/>
        <w:tblInd w:w="904"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54" w:type="dxa"/>
          <w:right w:w="54" w:type="dxa"/>
        </w:tblCellMar>
        <w:tblLook w:val="0000" w:firstRow="0" w:lastRow="0" w:firstColumn="0" w:lastColumn="0" w:noHBand="0" w:noVBand="0"/>
      </w:tblPr>
      <w:tblGrid>
        <w:gridCol w:w="2978"/>
        <w:gridCol w:w="1559"/>
        <w:gridCol w:w="1559"/>
        <w:gridCol w:w="1701"/>
      </w:tblGrid>
      <w:tr w:rsidR="00000000">
        <w:tblPrEx>
          <w:tblCellMar>
            <w:top w:w="0" w:type="dxa"/>
            <w:bottom w:w="0" w:type="dxa"/>
          </w:tblCellMar>
        </w:tblPrEx>
        <w:trPr>
          <w:cantSplit/>
          <w:tblHeader/>
        </w:trPr>
        <w:tc>
          <w:tcPr>
            <w:tcW w:w="2978" w:type="dxa"/>
            <w:tcBorders>
              <w:top w:val="single" w:sz="4" w:space="0" w:color="auto"/>
              <w:bottom w:val="single" w:sz="4" w:space="0" w:color="auto"/>
            </w:tcBorders>
            <w:shd w:val="clear" w:color="C0C0C0" w:fill="auto"/>
          </w:tcPr>
          <w:p w:rsidR="00000000" w:rsidRDefault="00000000">
            <w:pPr>
              <w:jc w:val="center"/>
              <w:rPr>
                <w:snapToGrid w:val="0"/>
                <w:lang w:eastAsia="pt-BR"/>
              </w:rPr>
            </w:pPr>
            <w:r>
              <w:rPr>
                <w:snapToGrid w:val="0"/>
                <w:lang w:eastAsia="pt-BR"/>
              </w:rPr>
              <w:t>Region and State</w:t>
            </w:r>
          </w:p>
        </w:tc>
        <w:tc>
          <w:tcPr>
            <w:tcW w:w="1559" w:type="dxa"/>
            <w:tcBorders>
              <w:top w:val="single" w:sz="4" w:space="0" w:color="auto"/>
              <w:bottom w:val="single" w:sz="4" w:space="0" w:color="auto"/>
            </w:tcBorders>
            <w:shd w:val="clear" w:color="C0C0C0" w:fill="auto"/>
          </w:tcPr>
          <w:p w:rsidR="00000000" w:rsidRDefault="00000000">
            <w:pPr>
              <w:jc w:val="center"/>
              <w:rPr>
                <w:snapToGrid w:val="0"/>
                <w:lang w:eastAsia="pt-BR"/>
              </w:rPr>
            </w:pPr>
            <w:r>
              <w:rPr>
                <w:snapToGrid w:val="0"/>
                <w:lang w:eastAsia="pt-BR"/>
              </w:rPr>
              <w:t>Men</w:t>
            </w:r>
          </w:p>
        </w:tc>
        <w:tc>
          <w:tcPr>
            <w:tcW w:w="1559" w:type="dxa"/>
            <w:tcBorders>
              <w:top w:val="single" w:sz="4" w:space="0" w:color="auto"/>
              <w:bottom w:val="single" w:sz="4" w:space="0" w:color="auto"/>
            </w:tcBorders>
            <w:shd w:val="clear" w:color="C0C0C0" w:fill="auto"/>
          </w:tcPr>
          <w:p w:rsidR="00000000" w:rsidRDefault="00000000">
            <w:pPr>
              <w:jc w:val="center"/>
              <w:rPr>
                <w:snapToGrid w:val="0"/>
                <w:lang w:eastAsia="pt-BR"/>
              </w:rPr>
            </w:pPr>
            <w:r>
              <w:rPr>
                <w:snapToGrid w:val="0"/>
                <w:lang w:eastAsia="pt-BR"/>
              </w:rPr>
              <w:t>Women</w:t>
            </w:r>
          </w:p>
        </w:tc>
        <w:tc>
          <w:tcPr>
            <w:tcW w:w="1701" w:type="dxa"/>
            <w:tcBorders>
              <w:top w:val="single" w:sz="4" w:space="0" w:color="auto"/>
              <w:bottom w:val="single" w:sz="4" w:space="0" w:color="auto"/>
            </w:tcBorders>
            <w:shd w:val="clear" w:color="C0C0C0" w:fill="auto"/>
          </w:tcPr>
          <w:p w:rsidR="00000000" w:rsidRDefault="00000000">
            <w:pPr>
              <w:jc w:val="center"/>
              <w:rPr>
                <w:snapToGrid w:val="0"/>
                <w:lang w:eastAsia="pt-BR"/>
              </w:rPr>
            </w:pPr>
            <w:r>
              <w:rPr>
                <w:snapToGrid w:val="0"/>
                <w:lang w:eastAsia="pt-BR"/>
              </w:rPr>
              <w:t>Total</w:t>
            </w:r>
          </w:p>
        </w:tc>
      </w:tr>
      <w:tr w:rsidR="00000000">
        <w:tblPrEx>
          <w:tblCellMar>
            <w:top w:w="0" w:type="dxa"/>
            <w:bottom w:w="0" w:type="dxa"/>
          </w:tblCellMar>
        </w:tblPrEx>
        <w:tc>
          <w:tcPr>
            <w:tcW w:w="2978" w:type="dxa"/>
            <w:tcBorders>
              <w:top w:val="single" w:sz="4" w:space="0" w:color="auto"/>
            </w:tcBorders>
          </w:tcPr>
          <w:p w:rsidR="00000000" w:rsidRDefault="00000000">
            <w:pPr>
              <w:rPr>
                <w:snapToGrid w:val="0"/>
                <w:lang w:eastAsia="pt-BR"/>
              </w:rPr>
            </w:pPr>
            <w:r>
              <w:rPr>
                <w:snapToGrid w:val="0"/>
                <w:lang w:eastAsia="pt-BR"/>
              </w:rPr>
              <w:t>North</w:t>
            </w:r>
          </w:p>
        </w:tc>
        <w:tc>
          <w:tcPr>
            <w:tcW w:w="1559" w:type="dxa"/>
            <w:tcBorders>
              <w:top w:val="single" w:sz="4" w:space="0" w:color="auto"/>
            </w:tcBorders>
          </w:tcPr>
          <w:p w:rsidR="00000000" w:rsidRDefault="00000000">
            <w:pPr>
              <w:ind w:right="371"/>
              <w:jc w:val="right"/>
              <w:rPr>
                <w:snapToGrid w:val="0"/>
                <w:lang w:eastAsia="pt-BR"/>
              </w:rPr>
            </w:pPr>
            <w:r>
              <w:rPr>
                <w:snapToGrid w:val="0"/>
                <w:lang w:eastAsia="pt-BR"/>
              </w:rPr>
              <w:t>64.77</w:t>
            </w:r>
          </w:p>
        </w:tc>
        <w:tc>
          <w:tcPr>
            <w:tcW w:w="1559" w:type="dxa"/>
            <w:tcBorders>
              <w:top w:val="single" w:sz="4" w:space="0" w:color="auto"/>
            </w:tcBorders>
          </w:tcPr>
          <w:p w:rsidR="00000000" w:rsidRDefault="00000000">
            <w:pPr>
              <w:ind w:right="348"/>
              <w:jc w:val="right"/>
              <w:rPr>
                <w:snapToGrid w:val="0"/>
                <w:lang w:eastAsia="pt-BR"/>
              </w:rPr>
            </w:pPr>
            <w:r>
              <w:rPr>
                <w:snapToGrid w:val="0"/>
                <w:lang w:eastAsia="pt-BR"/>
              </w:rPr>
              <w:t>70.77</w:t>
            </w:r>
          </w:p>
        </w:tc>
        <w:tc>
          <w:tcPr>
            <w:tcW w:w="1701" w:type="dxa"/>
            <w:tcBorders>
              <w:top w:val="single" w:sz="4" w:space="0" w:color="auto"/>
            </w:tcBorders>
          </w:tcPr>
          <w:p w:rsidR="00000000" w:rsidRDefault="00000000">
            <w:pPr>
              <w:ind w:right="489"/>
              <w:jc w:val="right"/>
              <w:rPr>
                <w:snapToGrid w:val="0"/>
                <w:lang w:eastAsia="pt-BR"/>
              </w:rPr>
            </w:pPr>
            <w:r>
              <w:rPr>
                <w:snapToGrid w:val="0"/>
                <w:lang w:eastAsia="pt-BR"/>
              </w:rPr>
              <w:t>67.55</w:t>
            </w:r>
          </w:p>
        </w:tc>
      </w:tr>
      <w:tr w:rsidR="00000000">
        <w:tblPrEx>
          <w:tblCellMar>
            <w:top w:w="0" w:type="dxa"/>
            <w:bottom w:w="0" w:type="dxa"/>
          </w:tblCellMar>
        </w:tblPrEx>
        <w:tc>
          <w:tcPr>
            <w:tcW w:w="2978" w:type="dxa"/>
          </w:tcPr>
          <w:p w:rsidR="00000000" w:rsidRDefault="00000000">
            <w:pPr>
              <w:rPr>
                <w:snapToGrid w:val="0"/>
                <w:lang w:eastAsia="pt-BR"/>
              </w:rPr>
            </w:pPr>
            <w:r>
              <w:rPr>
                <w:snapToGrid w:val="0"/>
                <w:lang w:eastAsia="pt-BR"/>
              </w:rPr>
              <w:t xml:space="preserve">   Rondônia</w:t>
            </w:r>
          </w:p>
        </w:tc>
        <w:tc>
          <w:tcPr>
            <w:tcW w:w="1559" w:type="dxa"/>
          </w:tcPr>
          <w:p w:rsidR="00000000" w:rsidRDefault="00000000">
            <w:pPr>
              <w:ind w:right="371"/>
              <w:jc w:val="right"/>
              <w:rPr>
                <w:snapToGrid w:val="0"/>
                <w:lang w:eastAsia="pt-BR"/>
              </w:rPr>
            </w:pPr>
            <w:r>
              <w:rPr>
                <w:snapToGrid w:val="0"/>
                <w:lang w:eastAsia="pt-BR"/>
              </w:rPr>
              <w:t>64.41</w:t>
            </w:r>
          </w:p>
        </w:tc>
        <w:tc>
          <w:tcPr>
            <w:tcW w:w="1559" w:type="dxa"/>
          </w:tcPr>
          <w:p w:rsidR="00000000" w:rsidRDefault="00000000">
            <w:pPr>
              <w:ind w:right="348"/>
              <w:jc w:val="right"/>
              <w:rPr>
                <w:snapToGrid w:val="0"/>
                <w:lang w:eastAsia="pt-BR"/>
              </w:rPr>
            </w:pPr>
            <w:r>
              <w:rPr>
                <w:snapToGrid w:val="0"/>
                <w:lang w:eastAsia="pt-BR"/>
              </w:rPr>
              <w:t>70.41</w:t>
            </w:r>
          </w:p>
        </w:tc>
        <w:tc>
          <w:tcPr>
            <w:tcW w:w="1701" w:type="dxa"/>
          </w:tcPr>
          <w:p w:rsidR="00000000" w:rsidRDefault="00000000">
            <w:pPr>
              <w:ind w:right="489"/>
              <w:jc w:val="right"/>
              <w:rPr>
                <w:snapToGrid w:val="0"/>
                <w:lang w:eastAsia="pt-BR"/>
              </w:rPr>
            </w:pPr>
            <w:r>
              <w:rPr>
                <w:snapToGrid w:val="0"/>
                <w:lang w:eastAsia="pt-BR"/>
              </w:rPr>
              <w:t>67.35</w:t>
            </w:r>
          </w:p>
        </w:tc>
      </w:tr>
      <w:tr w:rsidR="00000000">
        <w:tblPrEx>
          <w:tblCellMar>
            <w:top w:w="0" w:type="dxa"/>
            <w:bottom w:w="0" w:type="dxa"/>
          </w:tblCellMar>
        </w:tblPrEx>
        <w:tc>
          <w:tcPr>
            <w:tcW w:w="2978" w:type="dxa"/>
          </w:tcPr>
          <w:p w:rsidR="00000000" w:rsidRDefault="00000000">
            <w:pPr>
              <w:rPr>
                <w:snapToGrid w:val="0"/>
                <w:lang w:eastAsia="pt-BR"/>
              </w:rPr>
            </w:pPr>
            <w:r>
              <w:rPr>
                <w:snapToGrid w:val="0"/>
                <w:lang w:eastAsia="pt-BR"/>
              </w:rPr>
              <w:t xml:space="preserve">   Acre</w:t>
            </w:r>
          </w:p>
        </w:tc>
        <w:tc>
          <w:tcPr>
            <w:tcW w:w="1559" w:type="dxa"/>
          </w:tcPr>
          <w:p w:rsidR="00000000" w:rsidRDefault="00000000">
            <w:pPr>
              <w:ind w:right="371"/>
              <w:jc w:val="right"/>
              <w:rPr>
                <w:snapToGrid w:val="0"/>
                <w:lang w:eastAsia="pt-BR"/>
              </w:rPr>
            </w:pPr>
            <w:r>
              <w:rPr>
                <w:snapToGrid w:val="0"/>
                <w:lang w:eastAsia="pt-BR"/>
              </w:rPr>
              <w:t>64.49</w:t>
            </w:r>
          </w:p>
        </w:tc>
        <w:tc>
          <w:tcPr>
            <w:tcW w:w="1559" w:type="dxa"/>
          </w:tcPr>
          <w:p w:rsidR="00000000" w:rsidRDefault="00000000">
            <w:pPr>
              <w:ind w:right="348"/>
              <w:jc w:val="right"/>
              <w:rPr>
                <w:snapToGrid w:val="0"/>
                <w:lang w:eastAsia="pt-BR"/>
              </w:rPr>
            </w:pPr>
            <w:r>
              <w:rPr>
                <w:snapToGrid w:val="0"/>
                <w:lang w:eastAsia="pt-BR"/>
              </w:rPr>
              <w:t>70.33</w:t>
            </w:r>
          </w:p>
        </w:tc>
        <w:tc>
          <w:tcPr>
            <w:tcW w:w="1701" w:type="dxa"/>
          </w:tcPr>
          <w:p w:rsidR="00000000" w:rsidRDefault="00000000">
            <w:pPr>
              <w:ind w:right="489"/>
              <w:jc w:val="right"/>
              <w:rPr>
                <w:snapToGrid w:val="0"/>
                <w:lang w:eastAsia="pt-BR"/>
              </w:rPr>
            </w:pPr>
            <w:r>
              <w:rPr>
                <w:snapToGrid w:val="0"/>
                <w:lang w:eastAsia="pt-BR"/>
              </w:rPr>
              <w:t>67.35</w:t>
            </w:r>
          </w:p>
        </w:tc>
      </w:tr>
      <w:tr w:rsidR="00000000">
        <w:tblPrEx>
          <w:tblCellMar>
            <w:top w:w="0" w:type="dxa"/>
            <w:bottom w:w="0" w:type="dxa"/>
          </w:tblCellMar>
        </w:tblPrEx>
        <w:tc>
          <w:tcPr>
            <w:tcW w:w="2978" w:type="dxa"/>
          </w:tcPr>
          <w:p w:rsidR="00000000" w:rsidRDefault="00000000">
            <w:pPr>
              <w:rPr>
                <w:snapToGrid w:val="0"/>
                <w:lang w:eastAsia="pt-BR"/>
              </w:rPr>
            </w:pPr>
            <w:r>
              <w:rPr>
                <w:snapToGrid w:val="0"/>
                <w:lang w:eastAsia="pt-BR"/>
              </w:rPr>
              <w:t xml:space="preserve">   Amazonas</w:t>
            </w:r>
          </w:p>
        </w:tc>
        <w:tc>
          <w:tcPr>
            <w:tcW w:w="1559" w:type="dxa"/>
          </w:tcPr>
          <w:p w:rsidR="00000000" w:rsidRDefault="00000000">
            <w:pPr>
              <w:ind w:right="371"/>
              <w:jc w:val="right"/>
              <w:rPr>
                <w:snapToGrid w:val="0"/>
                <w:lang w:eastAsia="pt-BR"/>
              </w:rPr>
            </w:pPr>
            <w:r>
              <w:rPr>
                <w:snapToGrid w:val="0"/>
                <w:lang w:eastAsia="pt-BR"/>
              </w:rPr>
              <w:t>65.11</w:t>
            </w:r>
          </w:p>
        </w:tc>
        <w:tc>
          <w:tcPr>
            <w:tcW w:w="1559" w:type="dxa"/>
          </w:tcPr>
          <w:p w:rsidR="00000000" w:rsidRDefault="00000000">
            <w:pPr>
              <w:ind w:right="348"/>
              <w:jc w:val="right"/>
              <w:rPr>
                <w:snapToGrid w:val="0"/>
                <w:lang w:eastAsia="pt-BR"/>
              </w:rPr>
            </w:pPr>
            <w:r>
              <w:rPr>
                <w:snapToGrid w:val="0"/>
                <w:lang w:eastAsia="pt-BR"/>
              </w:rPr>
              <w:t>70.89</w:t>
            </w:r>
          </w:p>
        </w:tc>
        <w:tc>
          <w:tcPr>
            <w:tcW w:w="1701" w:type="dxa"/>
          </w:tcPr>
          <w:p w:rsidR="00000000" w:rsidRDefault="00000000">
            <w:pPr>
              <w:ind w:right="489"/>
              <w:jc w:val="right"/>
              <w:rPr>
                <w:snapToGrid w:val="0"/>
                <w:lang w:eastAsia="pt-BR"/>
              </w:rPr>
            </w:pPr>
            <w:r>
              <w:rPr>
                <w:snapToGrid w:val="0"/>
                <w:lang w:eastAsia="pt-BR"/>
              </w:rPr>
              <w:t>67.94</w:t>
            </w:r>
          </w:p>
        </w:tc>
      </w:tr>
      <w:tr w:rsidR="00000000">
        <w:tblPrEx>
          <w:tblCellMar>
            <w:top w:w="0" w:type="dxa"/>
            <w:bottom w:w="0" w:type="dxa"/>
          </w:tblCellMar>
        </w:tblPrEx>
        <w:tc>
          <w:tcPr>
            <w:tcW w:w="2978" w:type="dxa"/>
          </w:tcPr>
          <w:p w:rsidR="00000000" w:rsidRDefault="00000000">
            <w:pPr>
              <w:rPr>
                <w:snapToGrid w:val="0"/>
                <w:lang w:eastAsia="pt-BR"/>
              </w:rPr>
            </w:pPr>
            <w:r>
              <w:rPr>
                <w:snapToGrid w:val="0"/>
                <w:lang w:eastAsia="pt-BR"/>
              </w:rPr>
              <w:t xml:space="preserve">   Roraima</w:t>
            </w:r>
          </w:p>
        </w:tc>
        <w:tc>
          <w:tcPr>
            <w:tcW w:w="1559" w:type="dxa"/>
          </w:tcPr>
          <w:p w:rsidR="00000000" w:rsidRDefault="00000000">
            <w:pPr>
              <w:ind w:right="371"/>
              <w:jc w:val="right"/>
              <w:rPr>
                <w:snapToGrid w:val="0"/>
                <w:lang w:eastAsia="pt-BR"/>
              </w:rPr>
            </w:pPr>
            <w:r>
              <w:rPr>
                <w:snapToGrid w:val="0"/>
                <w:lang w:eastAsia="pt-BR"/>
              </w:rPr>
              <w:t>63.58</w:t>
            </w:r>
          </w:p>
        </w:tc>
        <w:tc>
          <w:tcPr>
            <w:tcW w:w="1559" w:type="dxa"/>
          </w:tcPr>
          <w:p w:rsidR="00000000" w:rsidRDefault="00000000">
            <w:pPr>
              <w:ind w:right="348"/>
              <w:jc w:val="right"/>
              <w:rPr>
                <w:snapToGrid w:val="0"/>
                <w:lang w:eastAsia="pt-BR"/>
              </w:rPr>
            </w:pPr>
            <w:r>
              <w:rPr>
                <w:snapToGrid w:val="0"/>
                <w:lang w:eastAsia="pt-BR"/>
              </w:rPr>
              <w:t>69.72</w:t>
            </w:r>
          </w:p>
        </w:tc>
        <w:tc>
          <w:tcPr>
            <w:tcW w:w="1701" w:type="dxa"/>
          </w:tcPr>
          <w:p w:rsidR="00000000" w:rsidRDefault="00000000">
            <w:pPr>
              <w:ind w:right="489"/>
              <w:jc w:val="right"/>
              <w:rPr>
                <w:snapToGrid w:val="0"/>
                <w:lang w:eastAsia="pt-BR"/>
              </w:rPr>
            </w:pPr>
            <w:r>
              <w:rPr>
                <w:snapToGrid w:val="0"/>
                <w:lang w:eastAsia="pt-BR"/>
              </w:rPr>
              <w:t>66.59</w:t>
            </w:r>
          </w:p>
        </w:tc>
      </w:tr>
      <w:tr w:rsidR="00000000">
        <w:tblPrEx>
          <w:tblCellMar>
            <w:top w:w="0" w:type="dxa"/>
            <w:bottom w:w="0" w:type="dxa"/>
          </w:tblCellMar>
        </w:tblPrEx>
        <w:tc>
          <w:tcPr>
            <w:tcW w:w="2978" w:type="dxa"/>
          </w:tcPr>
          <w:p w:rsidR="00000000" w:rsidRDefault="00000000">
            <w:pPr>
              <w:rPr>
                <w:snapToGrid w:val="0"/>
                <w:lang w:eastAsia="pt-BR"/>
              </w:rPr>
            </w:pPr>
            <w:r>
              <w:rPr>
                <w:snapToGrid w:val="0"/>
                <w:lang w:eastAsia="pt-BR"/>
              </w:rPr>
              <w:t xml:space="preserve">   Pará</w:t>
            </w:r>
          </w:p>
        </w:tc>
        <w:tc>
          <w:tcPr>
            <w:tcW w:w="1559" w:type="dxa"/>
          </w:tcPr>
          <w:p w:rsidR="00000000" w:rsidRDefault="00000000">
            <w:pPr>
              <w:ind w:right="371"/>
              <w:jc w:val="right"/>
              <w:rPr>
                <w:snapToGrid w:val="0"/>
                <w:lang w:eastAsia="pt-BR"/>
              </w:rPr>
            </w:pPr>
            <w:r>
              <w:rPr>
                <w:snapToGrid w:val="0"/>
                <w:lang w:eastAsia="pt-BR"/>
              </w:rPr>
              <w:t>64.83</w:t>
            </w:r>
          </w:p>
        </w:tc>
        <w:tc>
          <w:tcPr>
            <w:tcW w:w="1559" w:type="dxa"/>
          </w:tcPr>
          <w:p w:rsidR="00000000" w:rsidRDefault="00000000">
            <w:pPr>
              <w:ind w:right="348"/>
              <w:jc w:val="right"/>
              <w:rPr>
                <w:snapToGrid w:val="0"/>
                <w:lang w:eastAsia="pt-BR"/>
              </w:rPr>
            </w:pPr>
            <w:r>
              <w:rPr>
                <w:snapToGrid w:val="0"/>
                <w:lang w:eastAsia="pt-BR"/>
              </w:rPr>
              <w:t>70.99</w:t>
            </w:r>
          </w:p>
        </w:tc>
        <w:tc>
          <w:tcPr>
            <w:tcW w:w="1701" w:type="dxa"/>
          </w:tcPr>
          <w:p w:rsidR="00000000" w:rsidRDefault="00000000">
            <w:pPr>
              <w:ind w:right="489"/>
              <w:jc w:val="right"/>
              <w:rPr>
                <w:snapToGrid w:val="0"/>
                <w:lang w:eastAsia="pt-BR"/>
              </w:rPr>
            </w:pPr>
            <w:r>
              <w:rPr>
                <w:snapToGrid w:val="0"/>
                <w:lang w:eastAsia="pt-BR"/>
              </w:rPr>
              <w:t>67.85</w:t>
            </w:r>
          </w:p>
        </w:tc>
      </w:tr>
      <w:tr w:rsidR="00000000">
        <w:tblPrEx>
          <w:tblCellMar>
            <w:top w:w="0" w:type="dxa"/>
            <w:bottom w:w="0" w:type="dxa"/>
          </w:tblCellMar>
        </w:tblPrEx>
        <w:tc>
          <w:tcPr>
            <w:tcW w:w="2978" w:type="dxa"/>
          </w:tcPr>
          <w:p w:rsidR="00000000" w:rsidRDefault="00000000">
            <w:pPr>
              <w:rPr>
                <w:snapToGrid w:val="0"/>
                <w:lang w:eastAsia="pt-BR"/>
              </w:rPr>
            </w:pPr>
            <w:r>
              <w:rPr>
                <w:snapToGrid w:val="0"/>
                <w:lang w:eastAsia="pt-BR"/>
              </w:rPr>
              <w:t xml:space="preserve">   Amapá</w:t>
            </w:r>
          </w:p>
        </w:tc>
        <w:tc>
          <w:tcPr>
            <w:tcW w:w="1559" w:type="dxa"/>
          </w:tcPr>
          <w:p w:rsidR="00000000" w:rsidRDefault="00000000">
            <w:pPr>
              <w:ind w:right="371"/>
              <w:jc w:val="right"/>
              <w:rPr>
                <w:snapToGrid w:val="0"/>
                <w:lang w:eastAsia="pt-BR"/>
              </w:rPr>
            </w:pPr>
            <w:r>
              <w:rPr>
                <w:snapToGrid w:val="0"/>
                <w:lang w:eastAsia="pt-BR"/>
              </w:rPr>
              <w:t>65.15</w:t>
            </w:r>
          </w:p>
        </w:tc>
        <w:tc>
          <w:tcPr>
            <w:tcW w:w="1559" w:type="dxa"/>
          </w:tcPr>
          <w:p w:rsidR="00000000" w:rsidRDefault="00000000">
            <w:pPr>
              <w:ind w:right="348"/>
              <w:jc w:val="right"/>
              <w:rPr>
                <w:snapToGrid w:val="0"/>
                <w:lang w:eastAsia="pt-BR"/>
              </w:rPr>
            </w:pPr>
            <w:r>
              <w:rPr>
                <w:snapToGrid w:val="0"/>
                <w:lang w:eastAsia="pt-BR"/>
              </w:rPr>
              <w:t>71.24</w:t>
            </w:r>
          </w:p>
        </w:tc>
        <w:tc>
          <w:tcPr>
            <w:tcW w:w="1701" w:type="dxa"/>
          </w:tcPr>
          <w:p w:rsidR="00000000" w:rsidRDefault="00000000">
            <w:pPr>
              <w:ind w:right="489"/>
              <w:jc w:val="right"/>
              <w:rPr>
                <w:snapToGrid w:val="0"/>
                <w:lang w:eastAsia="pt-BR"/>
              </w:rPr>
            </w:pPr>
            <w:r>
              <w:rPr>
                <w:snapToGrid w:val="0"/>
                <w:lang w:eastAsia="pt-BR"/>
              </w:rPr>
              <w:t>68.13</w:t>
            </w:r>
          </w:p>
        </w:tc>
      </w:tr>
      <w:tr w:rsidR="00000000">
        <w:tblPrEx>
          <w:tblCellMar>
            <w:top w:w="0" w:type="dxa"/>
            <w:bottom w:w="0" w:type="dxa"/>
          </w:tblCellMar>
        </w:tblPrEx>
        <w:tc>
          <w:tcPr>
            <w:tcW w:w="2978" w:type="dxa"/>
          </w:tcPr>
          <w:p w:rsidR="00000000" w:rsidRDefault="00000000">
            <w:pPr>
              <w:rPr>
                <w:snapToGrid w:val="0"/>
                <w:lang w:eastAsia="pt-BR"/>
              </w:rPr>
            </w:pPr>
            <w:r>
              <w:rPr>
                <w:snapToGrid w:val="0"/>
                <w:lang w:eastAsia="pt-BR"/>
              </w:rPr>
              <w:t xml:space="preserve">   Tocantins</w:t>
            </w:r>
          </w:p>
        </w:tc>
        <w:tc>
          <w:tcPr>
            <w:tcW w:w="1559" w:type="dxa"/>
          </w:tcPr>
          <w:p w:rsidR="00000000" w:rsidRDefault="00000000">
            <w:pPr>
              <w:ind w:right="371"/>
              <w:jc w:val="right"/>
              <w:rPr>
                <w:snapToGrid w:val="0"/>
                <w:lang w:eastAsia="pt-BR"/>
              </w:rPr>
            </w:pPr>
            <w:r>
              <w:rPr>
                <w:snapToGrid w:val="0"/>
                <w:lang w:eastAsia="pt-BR"/>
              </w:rPr>
              <w:t>64.71</w:t>
            </w:r>
          </w:p>
        </w:tc>
        <w:tc>
          <w:tcPr>
            <w:tcW w:w="1559" w:type="dxa"/>
          </w:tcPr>
          <w:p w:rsidR="00000000" w:rsidRDefault="00000000">
            <w:pPr>
              <w:ind w:right="348"/>
              <w:jc w:val="right"/>
              <w:rPr>
                <w:snapToGrid w:val="0"/>
                <w:lang w:eastAsia="pt-BR"/>
              </w:rPr>
            </w:pPr>
            <w:r>
              <w:rPr>
                <w:snapToGrid w:val="0"/>
                <w:lang w:eastAsia="pt-BR"/>
              </w:rPr>
              <w:t>70.38</w:t>
            </w:r>
          </w:p>
        </w:tc>
        <w:tc>
          <w:tcPr>
            <w:tcW w:w="1701" w:type="dxa"/>
          </w:tcPr>
          <w:p w:rsidR="00000000" w:rsidRDefault="00000000">
            <w:pPr>
              <w:ind w:right="489"/>
              <w:jc w:val="right"/>
              <w:rPr>
                <w:snapToGrid w:val="0"/>
                <w:lang w:eastAsia="pt-BR"/>
              </w:rPr>
            </w:pPr>
            <w:r>
              <w:rPr>
                <w:snapToGrid w:val="0"/>
                <w:lang w:eastAsia="pt-BR"/>
              </w:rPr>
              <w:t>67.49</w:t>
            </w:r>
          </w:p>
        </w:tc>
      </w:tr>
      <w:tr w:rsidR="00000000">
        <w:tblPrEx>
          <w:tblCellMar>
            <w:top w:w="0" w:type="dxa"/>
            <w:bottom w:w="0" w:type="dxa"/>
          </w:tblCellMar>
        </w:tblPrEx>
        <w:tc>
          <w:tcPr>
            <w:tcW w:w="2978" w:type="dxa"/>
          </w:tcPr>
          <w:p w:rsidR="00000000" w:rsidRDefault="00000000">
            <w:pPr>
              <w:rPr>
                <w:snapToGrid w:val="0"/>
                <w:lang w:eastAsia="pt-BR"/>
              </w:rPr>
            </w:pPr>
            <w:r>
              <w:rPr>
                <w:snapToGrid w:val="0"/>
                <w:lang w:eastAsia="pt-BR"/>
              </w:rPr>
              <w:t>North</w:t>
            </w:r>
            <w:r>
              <w:rPr>
                <w:snapToGrid w:val="0"/>
                <w:lang w:eastAsia="pt-BR"/>
              </w:rPr>
              <w:noBreakHyphen/>
              <w:t>east</w:t>
            </w:r>
          </w:p>
        </w:tc>
        <w:tc>
          <w:tcPr>
            <w:tcW w:w="1559" w:type="dxa"/>
          </w:tcPr>
          <w:p w:rsidR="00000000" w:rsidRDefault="00000000">
            <w:pPr>
              <w:ind w:right="371"/>
              <w:jc w:val="right"/>
              <w:rPr>
                <w:snapToGrid w:val="0"/>
                <w:lang w:eastAsia="pt-BR"/>
              </w:rPr>
            </w:pPr>
            <w:r>
              <w:rPr>
                <w:snapToGrid w:val="0"/>
                <w:lang w:eastAsia="pt-BR"/>
              </w:rPr>
              <w:t>61.81</w:t>
            </w:r>
          </w:p>
        </w:tc>
        <w:tc>
          <w:tcPr>
            <w:tcW w:w="1559" w:type="dxa"/>
          </w:tcPr>
          <w:p w:rsidR="00000000" w:rsidRDefault="00000000">
            <w:pPr>
              <w:ind w:right="348"/>
              <w:jc w:val="right"/>
              <w:rPr>
                <w:snapToGrid w:val="0"/>
                <w:lang w:eastAsia="pt-BR"/>
              </w:rPr>
            </w:pPr>
            <w:r>
              <w:rPr>
                <w:snapToGrid w:val="0"/>
                <w:lang w:eastAsia="pt-BR"/>
              </w:rPr>
              <w:t>67.89</w:t>
            </w:r>
          </w:p>
        </w:tc>
        <w:tc>
          <w:tcPr>
            <w:tcW w:w="1701" w:type="dxa"/>
          </w:tcPr>
          <w:p w:rsidR="00000000" w:rsidRDefault="00000000">
            <w:pPr>
              <w:ind w:right="489"/>
              <w:jc w:val="right"/>
              <w:rPr>
                <w:snapToGrid w:val="0"/>
                <w:lang w:eastAsia="pt-BR"/>
              </w:rPr>
            </w:pPr>
            <w:r>
              <w:rPr>
                <w:snapToGrid w:val="0"/>
                <w:lang w:eastAsia="pt-BR"/>
              </w:rPr>
              <w:t>64.83</w:t>
            </w:r>
          </w:p>
        </w:tc>
      </w:tr>
      <w:tr w:rsidR="00000000">
        <w:tblPrEx>
          <w:tblCellMar>
            <w:top w:w="0" w:type="dxa"/>
            <w:bottom w:w="0" w:type="dxa"/>
          </w:tblCellMar>
        </w:tblPrEx>
        <w:tc>
          <w:tcPr>
            <w:tcW w:w="2978" w:type="dxa"/>
          </w:tcPr>
          <w:p w:rsidR="00000000" w:rsidRDefault="00000000">
            <w:pPr>
              <w:rPr>
                <w:snapToGrid w:val="0"/>
                <w:lang w:eastAsia="pt-BR"/>
              </w:rPr>
            </w:pPr>
            <w:r>
              <w:rPr>
                <w:snapToGrid w:val="0"/>
                <w:lang w:eastAsia="pt-BR"/>
              </w:rPr>
              <w:t xml:space="preserve">   Maranhão</w:t>
            </w:r>
          </w:p>
        </w:tc>
        <w:tc>
          <w:tcPr>
            <w:tcW w:w="1559" w:type="dxa"/>
          </w:tcPr>
          <w:p w:rsidR="00000000" w:rsidRDefault="00000000">
            <w:pPr>
              <w:ind w:right="371"/>
              <w:jc w:val="right"/>
              <w:rPr>
                <w:snapToGrid w:val="0"/>
                <w:lang w:eastAsia="pt-BR"/>
              </w:rPr>
            </w:pPr>
            <w:r>
              <w:rPr>
                <w:snapToGrid w:val="0"/>
                <w:lang w:eastAsia="pt-BR"/>
              </w:rPr>
              <w:t>60.45</w:t>
            </w:r>
          </w:p>
        </w:tc>
        <w:tc>
          <w:tcPr>
            <w:tcW w:w="1559" w:type="dxa"/>
          </w:tcPr>
          <w:p w:rsidR="00000000" w:rsidRDefault="00000000">
            <w:pPr>
              <w:ind w:right="348"/>
              <w:jc w:val="right"/>
              <w:rPr>
                <w:snapToGrid w:val="0"/>
                <w:lang w:eastAsia="pt-BR"/>
              </w:rPr>
            </w:pPr>
            <w:r>
              <w:rPr>
                <w:snapToGrid w:val="0"/>
                <w:lang w:eastAsia="pt-BR"/>
              </w:rPr>
              <w:t>67.55</w:t>
            </w:r>
          </w:p>
        </w:tc>
        <w:tc>
          <w:tcPr>
            <w:tcW w:w="1701" w:type="dxa"/>
          </w:tcPr>
          <w:p w:rsidR="00000000" w:rsidRDefault="00000000">
            <w:pPr>
              <w:ind w:right="489"/>
              <w:jc w:val="right"/>
              <w:rPr>
                <w:snapToGrid w:val="0"/>
                <w:lang w:eastAsia="pt-BR"/>
              </w:rPr>
            </w:pPr>
            <w:r>
              <w:rPr>
                <w:snapToGrid w:val="0"/>
                <w:lang w:eastAsia="pt-BR"/>
              </w:rPr>
              <w:t>63.93</w:t>
            </w:r>
          </w:p>
        </w:tc>
      </w:tr>
      <w:tr w:rsidR="00000000">
        <w:tblPrEx>
          <w:tblCellMar>
            <w:top w:w="0" w:type="dxa"/>
            <w:bottom w:w="0" w:type="dxa"/>
          </w:tblCellMar>
        </w:tblPrEx>
        <w:tc>
          <w:tcPr>
            <w:tcW w:w="2978" w:type="dxa"/>
          </w:tcPr>
          <w:p w:rsidR="00000000" w:rsidRDefault="00000000">
            <w:pPr>
              <w:rPr>
                <w:snapToGrid w:val="0"/>
                <w:lang w:eastAsia="pt-BR"/>
              </w:rPr>
            </w:pPr>
            <w:r>
              <w:rPr>
                <w:snapToGrid w:val="0"/>
                <w:lang w:eastAsia="pt-BR"/>
              </w:rPr>
              <w:t xml:space="preserve">   Piauí</w:t>
            </w:r>
          </w:p>
        </w:tc>
        <w:tc>
          <w:tcPr>
            <w:tcW w:w="1559" w:type="dxa"/>
          </w:tcPr>
          <w:p w:rsidR="00000000" w:rsidRDefault="00000000">
            <w:pPr>
              <w:ind w:right="371"/>
              <w:jc w:val="right"/>
              <w:rPr>
                <w:snapToGrid w:val="0"/>
                <w:lang w:eastAsia="pt-BR"/>
              </w:rPr>
            </w:pPr>
            <w:r>
              <w:rPr>
                <w:snapToGrid w:val="0"/>
                <w:lang w:eastAsia="pt-BR"/>
              </w:rPr>
              <w:t>61.49</w:t>
            </w:r>
          </w:p>
        </w:tc>
        <w:tc>
          <w:tcPr>
            <w:tcW w:w="1559" w:type="dxa"/>
          </w:tcPr>
          <w:p w:rsidR="00000000" w:rsidRDefault="00000000">
            <w:pPr>
              <w:ind w:right="348"/>
              <w:jc w:val="right"/>
              <w:rPr>
                <w:snapToGrid w:val="0"/>
                <w:lang w:eastAsia="pt-BR"/>
              </w:rPr>
            </w:pPr>
            <w:r>
              <w:rPr>
                <w:snapToGrid w:val="0"/>
                <w:lang w:eastAsia="pt-BR"/>
              </w:rPr>
              <w:t>68.11</w:t>
            </w:r>
          </w:p>
        </w:tc>
        <w:tc>
          <w:tcPr>
            <w:tcW w:w="1701" w:type="dxa"/>
          </w:tcPr>
          <w:p w:rsidR="00000000" w:rsidRDefault="00000000">
            <w:pPr>
              <w:ind w:right="489"/>
              <w:jc w:val="right"/>
              <w:rPr>
                <w:snapToGrid w:val="0"/>
                <w:lang w:eastAsia="pt-BR"/>
              </w:rPr>
            </w:pPr>
            <w:r>
              <w:rPr>
                <w:snapToGrid w:val="0"/>
                <w:lang w:eastAsia="pt-BR"/>
              </w:rPr>
              <w:t>64.72</w:t>
            </w:r>
          </w:p>
        </w:tc>
      </w:tr>
      <w:tr w:rsidR="00000000">
        <w:tblPrEx>
          <w:tblCellMar>
            <w:top w:w="0" w:type="dxa"/>
            <w:bottom w:w="0" w:type="dxa"/>
          </w:tblCellMar>
        </w:tblPrEx>
        <w:tc>
          <w:tcPr>
            <w:tcW w:w="2978" w:type="dxa"/>
          </w:tcPr>
          <w:p w:rsidR="00000000" w:rsidRDefault="00000000">
            <w:pPr>
              <w:rPr>
                <w:snapToGrid w:val="0"/>
                <w:lang w:eastAsia="pt-BR"/>
              </w:rPr>
            </w:pPr>
            <w:r>
              <w:rPr>
                <w:snapToGrid w:val="0"/>
                <w:lang w:eastAsia="pt-BR"/>
              </w:rPr>
              <w:t xml:space="preserve">   Ceará</w:t>
            </w:r>
          </w:p>
        </w:tc>
        <w:tc>
          <w:tcPr>
            <w:tcW w:w="1559" w:type="dxa"/>
          </w:tcPr>
          <w:p w:rsidR="00000000" w:rsidRDefault="00000000">
            <w:pPr>
              <w:ind w:right="371"/>
              <w:jc w:val="right"/>
              <w:rPr>
                <w:snapToGrid w:val="0"/>
                <w:lang w:eastAsia="pt-BR"/>
              </w:rPr>
            </w:pPr>
            <w:r>
              <w:rPr>
                <w:snapToGrid w:val="0"/>
                <w:lang w:eastAsia="pt-BR"/>
              </w:rPr>
              <w:t>62.24</w:t>
            </w:r>
          </w:p>
        </w:tc>
        <w:tc>
          <w:tcPr>
            <w:tcW w:w="1559" w:type="dxa"/>
          </w:tcPr>
          <w:p w:rsidR="00000000" w:rsidRDefault="00000000">
            <w:pPr>
              <w:ind w:right="348"/>
              <w:jc w:val="right"/>
              <w:rPr>
                <w:snapToGrid w:val="0"/>
                <w:lang w:eastAsia="pt-BR"/>
              </w:rPr>
            </w:pPr>
            <w:r>
              <w:rPr>
                <w:snapToGrid w:val="0"/>
                <w:lang w:eastAsia="pt-BR"/>
              </w:rPr>
              <w:t>68.78</w:t>
            </w:r>
          </w:p>
        </w:tc>
        <w:tc>
          <w:tcPr>
            <w:tcW w:w="1701" w:type="dxa"/>
          </w:tcPr>
          <w:p w:rsidR="00000000" w:rsidRDefault="00000000">
            <w:pPr>
              <w:ind w:right="489"/>
              <w:jc w:val="right"/>
              <w:rPr>
                <w:snapToGrid w:val="0"/>
                <w:lang w:eastAsia="pt-BR"/>
              </w:rPr>
            </w:pPr>
            <w:r>
              <w:rPr>
                <w:snapToGrid w:val="0"/>
                <w:lang w:eastAsia="pt-BR"/>
              </w:rPr>
              <w:t>65.44</w:t>
            </w:r>
          </w:p>
        </w:tc>
      </w:tr>
      <w:tr w:rsidR="00000000">
        <w:tblPrEx>
          <w:tblCellMar>
            <w:top w:w="0" w:type="dxa"/>
            <w:bottom w:w="0" w:type="dxa"/>
          </w:tblCellMar>
        </w:tblPrEx>
        <w:tc>
          <w:tcPr>
            <w:tcW w:w="2978" w:type="dxa"/>
          </w:tcPr>
          <w:p w:rsidR="00000000" w:rsidRDefault="00000000">
            <w:pPr>
              <w:rPr>
                <w:snapToGrid w:val="0"/>
                <w:lang w:eastAsia="pt-BR"/>
              </w:rPr>
            </w:pPr>
            <w:r>
              <w:rPr>
                <w:snapToGrid w:val="0"/>
                <w:lang w:eastAsia="pt-BR"/>
              </w:rPr>
              <w:t xml:space="preserve">   Rio Grande do Norte</w:t>
            </w:r>
          </w:p>
        </w:tc>
        <w:tc>
          <w:tcPr>
            <w:tcW w:w="1559" w:type="dxa"/>
          </w:tcPr>
          <w:p w:rsidR="00000000" w:rsidRDefault="00000000">
            <w:pPr>
              <w:ind w:right="371"/>
              <w:jc w:val="right"/>
              <w:rPr>
                <w:snapToGrid w:val="0"/>
                <w:lang w:eastAsia="pt-BR"/>
              </w:rPr>
            </w:pPr>
            <w:r>
              <w:rPr>
                <w:snapToGrid w:val="0"/>
                <w:lang w:eastAsia="pt-BR"/>
              </w:rPr>
              <w:t>62.36</w:t>
            </w:r>
          </w:p>
        </w:tc>
        <w:tc>
          <w:tcPr>
            <w:tcW w:w="1559" w:type="dxa"/>
          </w:tcPr>
          <w:p w:rsidR="00000000" w:rsidRDefault="00000000">
            <w:pPr>
              <w:ind w:right="348"/>
              <w:jc w:val="right"/>
              <w:rPr>
                <w:snapToGrid w:val="0"/>
                <w:lang w:eastAsia="pt-BR"/>
              </w:rPr>
            </w:pPr>
            <w:r>
              <w:rPr>
                <w:snapToGrid w:val="0"/>
                <w:lang w:eastAsia="pt-BR"/>
              </w:rPr>
              <w:t>68.73</w:t>
            </w:r>
          </w:p>
        </w:tc>
        <w:tc>
          <w:tcPr>
            <w:tcW w:w="1701" w:type="dxa"/>
          </w:tcPr>
          <w:p w:rsidR="00000000" w:rsidRDefault="00000000">
            <w:pPr>
              <w:ind w:right="489"/>
              <w:jc w:val="right"/>
              <w:rPr>
                <w:snapToGrid w:val="0"/>
                <w:lang w:eastAsia="pt-BR"/>
              </w:rPr>
            </w:pPr>
            <w:r>
              <w:rPr>
                <w:snapToGrid w:val="0"/>
                <w:lang w:eastAsia="pt-BR"/>
              </w:rPr>
              <w:t>65.49</w:t>
            </w:r>
          </w:p>
        </w:tc>
      </w:tr>
      <w:tr w:rsidR="00000000">
        <w:tblPrEx>
          <w:tblCellMar>
            <w:top w:w="0" w:type="dxa"/>
            <w:bottom w:w="0" w:type="dxa"/>
          </w:tblCellMar>
        </w:tblPrEx>
        <w:tc>
          <w:tcPr>
            <w:tcW w:w="2978" w:type="dxa"/>
          </w:tcPr>
          <w:p w:rsidR="00000000" w:rsidRDefault="00000000">
            <w:pPr>
              <w:rPr>
                <w:snapToGrid w:val="0"/>
                <w:lang w:eastAsia="pt-BR"/>
              </w:rPr>
            </w:pPr>
            <w:r>
              <w:rPr>
                <w:snapToGrid w:val="0"/>
                <w:lang w:eastAsia="pt-BR"/>
              </w:rPr>
              <w:t xml:space="preserve">   Paraíba</w:t>
            </w:r>
          </w:p>
        </w:tc>
        <w:tc>
          <w:tcPr>
            <w:tcW w:w="1559" w:type="dxa"/>
          </w:tcPr>
          <w:p w:rsidR="00000000" w:rsidRDefault="00000000">
            <w:pPr>
              <w:ind w:right="371"/>
              <w:jc w:val="right"/>
              <w:rPr>
                <w:snapToGrid w:val="0"/>
                <w:lang w:eastAsia="pt-BR"/>
              </w:rPr>
            </w:pPr>
            <w:r>
              <w:rPr>
                <w:snapToGrid w:val="0"/>
                <w:lang w:eastAsia="pt-BR"/>
              </w:rPr>
              <w:t>60.71</w:t>
            </w:r>
          </w:p>
        </w:tc>
        <w:tc>
          <w:tcPr>
            <w:tcW w:w="1559" w:type="dxa"/>
          </w:tcPr>
          <w:p w:rsidR="00000000" w:rsidRDefault="00000000">
            <w:pPr>
              <w:ind w:right="348"/>
              <w:jc w:val="right"/>
              <w:rPr>
                <w:snapToGrid w:val="0"/>
                <w:lang w:eastAsia="pt-BR"/>
              </w:rPr>
            </w:pPr>
            <w:r>
              <w:rPr>
                <w:snapToGrid w:val="0"/>
                <w:lang w:eastAsia="pt-BR"/>
              </w:rPr>
              <w:t>66.36</w:t>
            </w:r>
          </w:p>
        </w:tc>
        <w:tc>
          <w:tcPr>
            <w:tcW w:w="1701" w:type="dxa"/>
          </w:tcPr>
          <w:p w:rsidR="00000000" w:rsidRDefault="00000000">
            <w:pPr>
              <w:ind w:right="489"/>
              <w:jc w:val="right"/>
              <w:rPr>
                <w:snapToGrid w:val="0"/>
                <w:lang w:eastAsia="pt-BR"/>
              </w:rPr>
            </w:pPr>
            <w:r>
              <w:rPr>
                <w:snapToGrid w:val="0"/>
                <w:lang w:eastAsia="pt-BR"/>
              </w:rPr>
              <w:t>63.48</w:t>
            </w:r>
          </w:p>
        </w:tc>
      </w:tr>
      <w:tr w:rsidR="00000000">
        <w:tblPrEx>
          <w:tblCellMar>
            <w:top w:w="0" w:type="dxa"/>
            <w:bottom w:w="0" w:type="dxa"/>
          </w:tblCellMar>
        </w:tblPrEx>
        <w:tc>
          <w:tcPr>
            <w:tcW w:w="2978" w:type="dxa"/>
          </w:tcPr>
          <w:p w:rsidR="00000000" w:rsidRDefault="00000000">
            <w:pPr>
              <w:rPr>
                <w:snapToGrid w:val="0"/>
                <w:lang w:eastAsia="pt-BR"/>
              </w:rPr>
            </w:pPr>
            <w:r>
              <w:rPr>
                <w:snapToGrid w:val="0"/>
                <w:lang w:eastAsia="pt-BR"/>
              </w:rPr>
              <w:t xml:space="preserve">   Pernambuco</w:t>
            </w:r>
          </w:p>
        </w:tc>
        <w:tc>
          <w:tcPr>
            <w:tcW w:w="1559" w:type="dxa"/>
          </w:tcPr>
          <w:p w:rsidR="00000000" w:rsidRDefault="00000000">
            <w:pPr>
              <w:ind w:right="371"/>
              <w:jc w:val="right"/>
              <w:rPr>
                <w:snapToGrid w:val="0"/>
                <w:lang w:eastAsia="pt-BR"/>
              </w:rPr>
            </w:pPr>
            <w:r>
              <w:rPr>
                <w:snapToGrid w:val="0"/>
                <w:lang w:eastAsia="pt-BR"/>
              </w:rPr>
              <w:t>60.1  </w:t>
            </w:r>
          </w:p>
        </w:tc>
        <w:tc>
          <w:tcPr>
            <w:tcW w:w="1559" w:type="dxa"/>
          </w:tcPr>
          <w:p w:rsidR="00000000" w:rsidRDefault="00000000">
            <w:pPr>
              <w:ind w:right="348"/>
              <w:jc w:val="right"/>
              <w:rPr>
                <w:snapToGrid w:val="0"/>
                <w:lang w:eastAsia="pt-BR"/>
              </w:rPr>
            </w:pPr>
            <w:r>
              <w:rPr>
                <w:snapToGrid w:val="0"/>
                <w:lang w:eastAsia="pt-BR"/>
              </w:rPr>
              <w:t>65.45</w:t>
            </w:r>
          </w:p>
        </w:tc>
        <w:tc>
          <w:tcPr>
            <w:tcW w:w="1701" w:type="dxa"/>
          </w:tcPr>
          <w:p w:rsidR="00000000" w:rsidRDefault="00000000">
            <w:pPr>
              <w:ind w:right="489"/>
              <w:jc w:val="right"/>
              <w:rPr>
                <w:snapToGrid w:val="0"/>
                <w:lang w:eastAsia="pt-BR"/>
              </w:rPr>
            </w:pPr>
            <w:r>
              <w:rPr>
                <w:snapToGrid w:val="0"/>
                <w:lang w:eastAsia="pt-BR"/>
              </w:rPr>
              <w:t>62.72</w:t>
            </w:r>
          </w:p>
        </w:tc>
      </w:tr>
      <w:tr w:rsidR="00000000">
        <w:tblPrEx>
          <w:tblCellMar>
            <w:top w:w="0" w:type="dxa"/>
            <w:bottom w:w="0" w:type="dxa"/>
          </w:tblCellMar>
        </w:tblPrEx>
        <w:tc>
          <w:tcPr>
            <w:tcW w:w="2978" w:type="dxa"/>
          </w:tcPr>
          <w:p w:rsidR="00000000" w:rsidRDefault="00000000">
            <w:pPr>
              <w:rPr>
                <w:snapToGrid w:val="0"/>
                <w:lang w:eastAsia="pt-BR"/>
              </w:rPr>
            </w:pPr>
            <w:r>
              <w:rPr>
                <w:snapToGrid w:val="0"/>
                <w:lang w:eastAsia="pt-BR"/>
              </w:rPr>
              <w:t xml:space="preserve">   Alagoas</w:t>
            </w:r>
          </w:p>
        </w:tc>
        <w:tc>
          <w:tcPr>
            <w:tcW w:w="1559" w:type="dxa"/>
          </w:tcPr>
          <w:p w:rsidR="00000000" w:rsidRDefault="00000000">
            <w:pPr>
              <w:ind w:right="371"/>
              <w:jc w:val="right"/>
              <w:rPr>
                <w:snapToGrid w:val="0"/>
                <w:lang w:eastAsia="pt-BR"/>
              </w:rPr>
            </w:pPr>
            <w:r>
              <w:rPr>
                <w:snapToGrid w:val="0"/>
                <w:lang w:eastAsia="pt-BR"/>
              </w:rPr>
              <w:t>59.32</w:t>
            </w:r>
          </w:p>
        </w:tc>
        <w:tc>
          <w:tcPr>
            <w:tcW w:w="1559" w:type="dxa"/>
          </w:tcPr>
          <w:p w:rsidR="00000000" w:rsidRDefault="00000000">
            <w:pPr>
              <w:ind w:right="348"/>
              <w:jc w:val="right"/>
              <w:rPr>
                <w:snapToGrid w:val="0"/>
                <w:lang w:eastAsia="pt-BR"/>
              </w:rPr>
            </w:pPr>
            <w:r>
              <w:rPr>
                <w:snapToGrid w:val="0"/>
                <w:lang w:eastAsia="pt-BR"/>
              </w:rPr>
              <w:t>65.2  </w:t>
            </w:r>
          </w:p>
        </w:tc>
        <w:tc>
          <w:tcPr>
            <w:tcW w:w="1701" w:type="dxa"/>
          </w:tcPr>
          <w:p w:rsidR="00000000" w:rsidRDefault="00000000">
            <w:pPr>
              <w:ind w:right="489"/>
              <w:jc w:val="right"/>
              <w:rPr>
                <w:snapToGrid w:val="0"/>
                <w:lang w:eastAsia="pt-BR"/>
              </w:rPr>
            </w:pPr>
            <w:r>
              <w:rPr>
                <w:snapToGrid w:val="0"/>
                <w:lang w:eastAsia="pt-BR"/>
              </w:rPr>
              <w:t>62.2  </w:t>
            </w:r>
          </w:p>
        </w:tc>
      </w:tr>
      <w:tr w:rsidR="00000000">
        <w:tblPrEx>
          <w:tblCellMar>
            <w:top w:w="0" w:type="dxa"/>
            <w:bottom w:w="0" w:type="dxa"/>
          </w:tblCellMar>
        </w:tblPrEx>
        <w:tc>
          <w:tcPr>
            <w:tcW w:w="2978" w:type="dxa"/>
            <w:tcBorders>
              <w:bottom w:val="nil"/>
            </w:tcBorders>
          </w:tcPr>
          <w:p w:rsidR="00000000" w:rsidRDefault="00000000">
            <w:pPr>
              <w:rPr>
                <w:snapToGrid w:val="0"/>
                <w:lang w:eastAsia="pt-BR"/>
              </w:rPr>
            </w:pPr>
            <w:r>
              <w:rPr>
                <w:snapToGrid w:val="0"/>
                <w:lang w:eastAsia="pt-BR"/>
              </w:rPr>
              <w:t xml:space="preserve">   Sergipe</w:t>
            </w:r>
          </w:p>
        </w:tc>
        <w:tc>
          <w:tcPr>
            <w:tcW w:w="1559" w:type="dxa"/>
            <w:tcBorders>
              <w:bottom w:val="nil"/>
            </w:tcBorders>
          </w:tcPr>
          <w:p w:rsidR="00000000" w:rsidRDefault="00000000">
            <w:pPr>
              <w:ind w:right="371"/>
              <w:jc w:val="right"/>
              <w:rPr>
                <w:snapToGrid w:val="0"/>
                <w:lang w:eastAsia="pt-BR"/>
              </w:rPr>
            </w:pPr>
            <w:r>
              <w:rPr>
                <w:snapToGrid w:val="0"/>
                <w:lang w:eastAsia="pt-BR"/>
              </w:rPr>
              <w:t>63.4  </w:t>
            </w:r>
          </w:p>
        </w:tc>
        <w:tc>
          <w:tcPr>
            <w:tcW w:w="1559" w:type="dxa"/>
            <w:tcBorders>
              <w:bottom w:val="nil"/>
            </w:tcBorders>
          </w:tcPr>
          <w:p w:rsidR="00000000" w:rsidRDefault="00000000">
            <w:pPr>
              <w:ind w:right="348"/>
              <w:jc w:val="right"/>
              <w:rPr>
                <w:snapToGrid w:val="0"/>
                <w:lang w:eastAsia="pt-BR"/>
              </w:rPr>
            </w:pPr>
            <w:r>
              <w:rPr>
                <w:snapToGrid w:val="0"/>
                <w:lang w:eastAsia="pt-BR"/>
              </w:rPr>
              <w:t>69.3  </w:t>
            </w:r>
          </w:p>
        </w:tc>
        <w:tc>
          <w:tcPr>
            <w:tcW w:w="1701" w:type="dxa"/>
            <w:tcBorders>
              <w:bottom w:val="nil"/>
            </w:tcBorders>
          </w:tcPr>
          <w:p w:rsidR="00000000" w:rsidRDefault="00000000">
            <w:pPr>
              <w:ind w:right="489"/>
              <w:jc w:val="right"/>
              <w:rPr>
                <w:snapToGrid w:val="0"/>
                <w:lang w:eastAsia="pt-BR"/>
              </w:rPr>
            </w:pPr>
            <w:r>
              <w:rPr>
                <w:snapToGrid w:val="0"/>
                <w:lang w:eastAsia="pt-BR"/>
              </w:rPr>
              <w:t>66.29</w:t>
            </w:r>
          </w:p>
        </w:tc>
      </w:tr>
      <w:tr w:rsidR="00000000">
        <w:tblPrEx>
          <w:tblCellMar>
            <w:top w:w="0" w:type="dxa"/>
            <w:bottom w:w="0" w:type="dxa"/>
          </w:tblCellMar>
        </w:tblPrEx>
        <w:tc>
          <w:tcPr>
            <w:tcW w:w="2978" w:type="dxa"/>
            <w:tcBorders>
              <w:top w:val="nil"/>
              <w:bottom w:val="nil"/>
            </w:tcBorders>
          </w:tcPr>
          <w:p w:rsidR="00000000" w:rsidRDefault="00000000">
            <w:pPr>
              <w:rPr>
                <w:snapToGrid w:val="0"/>
                <w:lang w:eastAsia="pt-BR"/>
              </w:rPr>
            </w:pPr>
            <w:r>
              <w:rPr>
                <w:snapToGrid w:val="0"/>
                <w:lang w:eastAsia="pt-BR"/>
              </w:rPr>
              <w:t xml:space="preserve">   Bahia</w:t>
            </w:r>
          </w:p>
        </w:tc>
        <w:tc>
          <w:tcPr>
            <w:tcW w:w="1559" w:type="dxa"/>
            <w:tcBorders>
              <w:top w:val="nil"/>
              <w:bottom w:val="nil"/>
            </w:tcBorders>
          </w:tcPr>
          <w:p w:rsidR="00000000" w:rsidRDefault="00000000">
            <w:pPr>
              <w:ind w:right="371"/>
              <w:jc w:val="right"/>
              <w:rPr>
                <w:snapToGrid w:val="0"/>
                <w:lang w:eastAsia="pt-BR"/>
              </w:rPr>
            </w:pPr>
            <w:r>
              <w:rPr>
                <w:snapToGrid w:val="0"/>
                <w:lang w:eastAsia="pt-BR"/>
              </w:rPr>
              <w:t>63.82</w:t>
            </w:r>
          </w:p>
        </w:tc>
        <w:tc>
          <w:tcPr>
            <w:tcW w:w="1559" w:type="dxa"/>
            <w:tcBorders>
              <w:top w:val="nil"/>
              <w:bottom w:val="nil"/>
            </w:tcBorders>
          </w:tcPr>
          <w:p w:rsidR="00000000" w:rsidRDefault="00000000">
            <w:pPr>
              <w:ind w:right="348"/>
              <w:jc w:val="right"/>
              <w:rPr>
                <w:snapToGrid w:val="0"/>
                <w:lang w:eastAsia="pt-BR"/>
              </w:rPr>
            </w:pPr>
            <w:r>
              <w:rPr>
                <w:snapToGrid w:val="0"/>
                <w:lang w:eastAsia="pt-BR"/>
              </w:rPr>
              <w:t>69.82</w:t>
            </w:r>
          </w:p>
        </w:tc>
        <w:tc>
          <w:tcPr>
            <w:tcW w:w="1701" w:type="dxa"/>
            <w:tcBorders>
              <w:top w:val="nil"/>
              <w:bottom w:val="nil"/>
            </w:tcBorders>
          </w:tcPr>
          <w:p w:rsidR="00000000" w:rsidRDefault="00000000">
            <w:pPr>
              <w:ind w:right="489"/>
              <w:jc w:val="right"/>
              <w:rPr>
                <w:snapToGrid w:val="0"/>
                <w:lang w:eastAsia="pt-BR"/>
              </w:rPr>
            </w:pPr>
            <w:r>
              <w:rPr>
                <w:snapToGrid w:val="0"/>
                <w:lang w:eastAsia="pt-BR"/>
              </w:rPr>
              <w:t>66.76</w:t>
            </w:r>
          </w:p>
        </w:tc>
      </w:tr>
      <w:tr w:rsidR="00000000">
        <w:tblPrEx>
          <w:tblCellMar>
            <w:top w:w="0" w:type="dxa"/>
            <w:bottom w:w="0" w:type="dxa"/>
          </w:tblCellMar>
        </w:tblPrEx>
        <w:tc>
          <w:tcPr>
            <w:tcW w:w="2978" w:type="dxa"/>
            <w:tcBorders>
              <w:top w:val="nil"/>
              <w:bottom w:val="nil"/>
            </w:tcBorders>
          </w:tcPr>
          <w:p w:rsidR="00000000" w:rsidRDefault="00000000">
            <w:pPr>
              <w:rPr>
                <w:snapToGrid w:val="0"/>
                <w:lang w:eastAsia="pt-BR"/>
              </w:rPr>
            </w:pPr>
            <w:r>
              <w:rPr>
                <w:snapToGrid w:val="0"/>
                <w:lang w:eastAsia="pt-BR"/>
              </w:rPr>
              <w:t>South</w:t>
            </w:r>
            <w:r>
              <w:rPr>
                <w:snapToGrid w:val="0"/>
                <w:lang w:eastAsia="pt-BR"/>
              </w:rPr>
              <w:noBreakHyphen/>
              <w:t>east</w:t>
            </w:r>
          </w:p>
        </w:tc>
        <w:tc>
          <w:tcPr>
            <w:tcW w:w="1559" w:type="dxa"/>
            <w:tcBorders>
              <w:top w:val="nil"/>
              <w:bottom w:val="nil"/>
            </w:tcBorders>
          </w:tcPr>
          <w:p w:rsidR="00000000" w:rsidRDefault="00000000">
            <w:pPr>
              <w:ind w:right="371"/>
              <w:jc w:val="right"/>
              <w:rPr>
                <w:snapToGrid w:val="0"/>
                <w:lang w:eastAsia="pt-BR"/>
              </w:rPr>
            </w:pPr>
            <w:r>
              <w:rPr>
                <w:snapToGrid w:val="0"/>
                <w:lang w:eastAsia="pt-BR"/>
              </w:rPr>
              <w:t>64.63</w:t>
            </w:r>
          </w:p>
        </w:tc>
        <w:tc>
          <w:tcPr>
            <w:tcW w:w="1559" w:type="dxa"/>
            <w:tcBorders>
              <w:top w:val="nil"/>
              <w:bottom w:val="nil"/>
            </w:tcBorders>
          </w:tcPr>
          <w:p w:rsidR="00000000" w:rsidRDefault="00000000">
            <w:pPr>
              <w:ind w:right="348"/>
              <w:jc w:val="right"/>
              <w:rPr>
                <w:snapToGrid w:val="0"/>
                <w:lang w:eastAsia="pt-BR"/>
              </w:rPr>
            </w:pPr>
            <w:r>
              <w:rPr>
                <w:snapToGrid w:val="0"/>
                <w:lang w:eastAsia="pt-BR"/>
              </w:rPr>
              <w:t>73.61</w:t>
            </w:r>
          </w:p>
        </w:tc>
        <w:tc>
          <w:tcPr>
            <w:tcW w:w="1701" w:type="dxa"/>
            <w:tcBorders>
              <w:top w:val="nil"/>
              <w:bottom w:val="nil"/>
            </w:tcBorders>
          </w:tcPr>
          <w:p w:rsidR="00000000" w:rsidRDefault="00000000">
            <w:pPr>
              <w:ind w:right="489"/>
              <w:jc w:val="right"/>
              <w:rPr>
                <w:snapToGrid w:val="0"/>
                <w:lang w:eastAsia="pt-BR"/>
              </w:rPr>
            </w:pPr>
            <w:r>
              <w:rPr>
                <w:snapToGrid w:val="0"/>
                <w:lang w:eastAsia="pt-BR"/>
              </w:rPr>
              <w:t>68.97</w:t>
            </w:r>
          </w:p>
        </w:tc>
      </w:tr>
      <w:tr w:rsidR="00000000">
        <w:tblPrEx>
          <w:tblCellMar>
            <w:top w:w="0" w:type="dxa"/>
            <w:bottom w:w="0" w:type="dxa"/>
          </w:tblCellMar>
        </w:tblPrEx>
        <w:tc>
          <w:tcPr>
            <w:tcW w:w="2978" w:type="dxa"/>
            <w:tcBorders>
              <w:top w:val="nil"/>
            </w:tcBorders>
          </w:tcPr>
          <w:p w:rsidR="00000000" w:rsidRDefault="00000000">
            <w:pPr>
              <w:rPr>
                <w:snapToGrid w:val="0"/>
                <w:lang w:eastAsia="pt-BR"/>
              </w:rPr>
            </w:pPr>
            <w:r>
              <w:rPr>
                <w:snapToGrid w:val="0"/>
                <w:lang w:eastAsia="pt-BR"/>
              </w:rPr>
              <w:t xml:space="preserve">   Minas Gerais</w:t>
            </w:r>
          </w:p>
        </w:tc>
        <w:tc>
          <w:tcPr>
            <w:tcW w:w="1559" w:type="dxa"/>
            <w:tcBorders>
              <w:top w:val="nil"/>
            </w:tcBorders>
          </w:tcPr>
          <w:p w:rsidR="00000000" w:rsidRDefault="00000000">
            <w:pPr>
              <w:ind w:right="371"/>
              <w:jc w:val="right"/>
              <w:rPr>
                <w:snapToGrid w:val="0"/>
                <w:lang w:eastAsia="pt-BR"/>
              </w:rPr>
            </w:pPr>
            <w:r>
              <w:rPr>
                <w:snapToGrid w:val="0"/>
                <w:lang w:eastAsia="pt-BR"/>
              </w:rPr>
              <w:t>66.07</w:t>
            </w:r>
          </w:p>
        </w:tc>
        <w:tc>
          <w:tcPr>
            <w:tcW w:w="1559" w:type="dxa"/>
            <w:tcBorders>
              <w:top w:val="nil"/>
            </w:tcBorders>
          </w:tcPr>
          <w:p w:rsidR="00000000" w:rsidRDefault="00000000">
            <w:pPr>
              <w:ind w:right="348"/>
              <w:jc w:val="right"/>
              <w:rPr>
                <w:snapToGrid w:val="0"/>
                <w:lang w:eastAsia="pt-BR"/>
              </w:rPr>
            </w:pPr>
            <w:r>
              <w:rPr>
                <w:snapToGrid w:val="0"/>
                <w:lang w:eastAsia="pt-BR"/>
              </w:rPr>
              <w:t>73.16</w:t>
            </w:r>
          </w:p>
        </w:tc>
        <w:tc>
          <w:tcPr>
            <w:tcW w:w="1701" w:type="dxa"/>
            <w:tcBorders>
              <w:top w:val="nil"/>
            </w:tcBorders>
          </w:tcPr>
          <w:p w:rsidR="00000000" w:rsidRDefault="00000000">
            <w:pPr>
              <w:ind w:right="489"/>
              <w:jc w:val="right"/>
              <w:rPr>
                <w:snapToGrid w:val="0"/>
                <w:lang w:eastAsia="pt-BR"/>
              </w:rPr>
            </w:pPr>
            <w:r>
              <w:rPr>
                <w:snapToGrid w:val="0"/>
                <w:lang w:eastAsia="pt-BR"/>
              </w:rPr>
              <w:t>69.55</w:t>
            </w:r>
          </w:p>
        </w:tc>
      </w:tr>
      <w:tr w:rsidR="00000000">
        <w:tblPrEx>
          <w:tblCellMar>
            <w:top w:w="0" w:type="dxa"/>
            <w:bottom w:w="0" w:type="dxa"/>
          </w:tblCellMar>
        </w:tblPrEx>
        <w:tc>
          <w:tcPr>
            <w:tcW w:w="2978" w:type="dxa"/>
          </w:tcPr>
          <w:p w:rsidR="00000000" w:rsidRDefault="00000000">
            <w:pPr>
              <w:rPr>
                <w:snapToGrid w:val="0"/>
                <w:lang w:eastAsia="pt-BR"/>
              </w:rPr>
            </w:pPr>
            <w:r>
              <w:rPr>
                <w:snapToGrid w:val="0"/>
                <w:lang w:eastAsia="pt-BR"/>
              </w:rPr>
              <w:t xml:space="preserve">   Espírito Santo</w:t>
            </w:r>
          </w:p>
        </w:tc>
        <w:tc>
          <w:tcPr>
            <w:tcW w:w="1559" w:type="dxa"/>
          </w:tcPr>
          <w:p w:rsidR="00000000" w:rsidRDefault="00000000">
            <w:pPr>
              <w:ind w:right="371"/>
              <w:jc w:val="right"/>
              <w:rPr>
                <w:snapToGrid w:val="0"/>
                <w:lang w:eastAsia="pt-BR"/>
              </w:rPr>
            </w:pPr>
            <w:r>
              <w:rPr>
                <w:snapToGrid w:val="0"/>
                <w:lang w:eastAsia="pt-BR"/>
              </w:rPr>
              <w:t>65.73</w:t>
            </w:r>
          </w:p>
        </w:tc>
        <w:tc>
          <w:tcPr>
            <w:tcW w:w="1559" w:type="dxa"/>
          </w:tcPr>
          <w:p w:rsidR="00000000" w:rsidRDefault="00000000">
            <w:pPr>
              <w:ind w:right="348"/>
              <w:jc w:val="right"/>
              <w:rPr>
                <w:snapToGrid w:val="0"/>
                <w:lang w:eastAsia="pt-BR"/>
              </w:rPr>
            </w:pPr>
            <w:r>
              <w:rPr>
                <w:snapToGrid w:val="0"/>
                <w:lang w:eastAsia="pt-BR"/>
              </w:rPr>
              <w:t>73.36</w:t>
            </w:r>
          </w:p>
        </w:tc>
        <w:tc>
          <w:tcPr>
            <w:tcW w:w="1701" w:type="dxa"/>
          </w:tcPr>
          <w:p w:rsidR="00000000" w:rsidRDefault="00000000">
            <w:pPr>
              <w:ind w:right="489"/>
              <w:jc w:val="right"/>
              <w:rPr>
                <w:snapToGrid w:val="0"/>
                <w:lang w:eastAsia="pt-BR"/>
              </w:rPr>
            </w:pPr>
            <w:r>
              <w:rPr>
                <w:snapToGrid w:val="0"/>
                <w:lang w:eastAsia="pt-BR"/>
              </w:rPr>
              <w:t>69.47</w:t>
            </w:r>
          </w:p>
        </w:tc>
      </w:tr>
      <w:tr w:rsidR="00000000">
        <w:tblPrEx>
          <w:tblCellMar>
            <w:top w:w="0" w:type="dxa"/>
            <w:bottom w:w="0" w:type="dxa"/>
          </w:tblCellMar>
        </w:tblPrEx>
        <w:tc>
          <w:tcPr>
            <w:tcW w:w="2978" w:type="dxa"/>
          </w:tcPr>
          <w:p w:rsidR="00000000" w:rsidRDefault="00000000">
            <w:pPr>
              <w:rPr>
                <w:snapToGrid w:val="0"/>
                <w:lang w:eastAsia="pt-BR"/>
              </w:rPr>
            </w:pPr>
            <w:r>
              <w:rPr>
                <w:snapToGrid w:val="0"/>
                <w:lang w:eastAsia="pt-BR"/>
              </w:rPr>
              <w:t xml:space="preserve">   Rio de Janeiro</w:t>
            </w:r>
          </w:p>
        </w:tc>
        <w:tc>
          <w:tcPr>
            <w:tcW w:w="1559" w:type="dxa"/>
          </w:tcPr>
          <w:p w:rsidR="00000000" w:rsidRDefault="00000000">
            <w:pPr>
              <w:ind w:right="371"/>
              <w:jc w:val="right"/>
              <w:rPr>
                <w:snapToGrid w:val="0"/>
                <w:lang w:eastAsia="pt-BR"/>
              </w:rPr>
            </w:pPr>
            <w:r>
              <w:rPr>
                <w:snapToGrid w:val="0"/>
                <w:lang w:eastAsia="pt-BR"/>
              </w:rPr>
              <w:t>61.71</w:t>
            </w:r>
          </w:p>
        </w:tc>
        <w:tc>
          <w:tcPr>
            <w:tcW w:w="1559" w:type="dxa"/>
          </w:tcPr>
          <w:p w:rsidR="00000000" w:rsidRDefault="00000000">
            <w:pPr>
              <w:ind w:right="348"/>
              <w:jc w:val="right"/>
              <w:rPr>
                <w:snapToGrid w:val="0"/>
                <w:lang w:eastAsia="pt-BR"/>
              </w:rPr>
            </w:pPr>
            <w:r>
              <w:rPr>
                <w:snapToGrid w:val="0"/>
                <w:lang w:eastAsia="pt-BR"/>
              </w:rPr>
              <w:t>72.78</w:t>
            </w:r>
          </w:p>
        </w:tc>
        <w:tc>
          <w:tcPr>
            <w:tcW w:w="1701" w:type="dxa"/>
          </w:tcPr>
          <w:p w:rsidR="00000000" w:rsidRDefault="00000000">
            <w:pPr>
              <w:ind w:right="489"/>
              <w:jc w:val="right"/>
              <w:rPr>
                <w:snapToGrid w:val="0"/>
                <w:lang w:eastAsia="pt-BR"/>
              </w:rPr>
            </w:pPr>
            <w:r>
              <w:rPr>
                <w:snapToGrid w:val="0"/>
                <w:lang w:eastAsia="pt-BR"/>
              </w:rPr>
              <w:t>67.14</w:t>
            </w:r>
          </w:p>
        </w:tc>
      </w:tr>
      <w:tr w:rsidR="00000000">
        <w:tblPrEx>
          <w:tblCellMar>
            <w:top w:w="0" w:type="dxa"/>
            <w:bottom w:w="0" w:type="dxa"/>
          </w:tblCellMar>
        </w:tblPrEx>
        <w:tc>
          <w:tcPr>
            <w:tcW w:w="2978" w:type="dxa"/>
          </w:tcPr>
          <w:p w:rsidR="00000000" w:rsidRDefault="00000000">
            <w:pPr>
              <w:rPr>
                <w:snapToGrid w:val="0"/>
                <w:lang w:eastAsia="pt-BR"/>
              </w:rPr>
            </w:pPr>
            <w:r>
              <w:rPr>
                <w:snapToGrid w:val="0"/>
                <w:lang w:eastAsia="pt-BR"/>
              </w:rPr>
              <w:t xml:space="preserve">   São Paulo</w:t>
            </w:r>
          </w:p>
        </w:tc>
        <w:tc>
          <w:tcPr>
            <w:tcW w:w="1559" w:type="dxa"/>
          </w:tcPr>
          <w:p w:rsidR="00000000" w:rsidRDefault="00000000">
            <w:pPr>
              <w:ind w:right="371"/>
              <w:jc w:val="right"/>
              <w:rPr>
                <w:snapToGrid w:val="0"/>
                <w:lang w:eastAsia="pt-BR"/>
              </w:rPr>
            </w:pPr>
            <w:r>
              <w:rPr>
                <w:snapToGrid w:val="0"/>
                <w:lang w:eastAsia="pt-BR"/>
              </w:rPr>
              <w:t>65.07</w:t>
            </w:r>
          </w:p>
        </w:tc>
        <w:tc>
          <w:tcPr>
            <w:tcW w:w="1559" w:type="dxa"/>
          </w:tcPr>
          <w:p w:rsidR="00000000" w:rsidRDefault="00000000">
            <w:pPr>
              <w:ind w:right="348"/>
              <w:jc w:val="right"/>
              <w:rPr>
                <w:snapToGrid w:val="0"/>
                <w:lang w:eastAsia="pt-BR"/>
              </w:rPr>
            </w:pPr>
            <w:r>
              <w:rPr>
                <w:snapToGrid w:val="0"/>
                <w:lang w:eastAsia="pt-BR"/>
              </w:rPr>
              <w:t>74.21</w:t>
            </w:r>
          </w:p>
        </w:tc>
        <w:tc>
          <w:tcPr>
            <w:tcW w:w="1701" w:type="dxa"/>
          </w:tcPr>
          <w:p w:rsidR="00000000" w:rsidRDefault="00000000">
            <w:pPr>
              <w:ind w:right="489"/>
              <w:jc w:val="right"/>
              <w:rPr>
                <w:snapToGrid w:val="0"/>
                <w:lang w:eastAsia="pt-BR"/>
              </w:rPr>
            </w:pPr>
            <w:r>
              <w:rPr>
                <w:snapToGrid w:val="0"/>
                <w:lang w:eastAsia="pt-BR"/>
              </w:rPr>
              <w:t>69.55</w:t>
            </w:r>
          </w:p>
        </w:tc>
      </w:tr>
      <w:tr w:rsidR="00000000">
        <w:tblPrEx>
          <w:tblCellMar>
            <w:top w:w="0" w:type="dxa"/>
            <w:bottom w:w="0" w:type="dxa"/>
          </w:tblCellMar>
        </w:tblPrEx>
        <w:tc>
          <w:tcPr>
            <w:tcW w:w="2978" w:type="dxa"/>
            <w:tcBorders>
              <w:top w:val="single" w:sz="4" w:space="0" w:color="auto"/>
              <w:left w:val="nil"/>
              <w:bottom w:val="nil"/>
              <w:right w:val="nil"/>
            </w:tcBorders>
          </w:tcPr>
          <w:p w:rsidR="00000000" w:rsidRDefault="00000000">
            <w:pPr>
              <w:rPr>
                <w:snapToGrid w:val="0"/>
                <w:lang w:eastAsia="pt-BR"/>
              </w:rPr>
            </w:pPr>
          </w:p>
        </w:tc>
        <w:tc>
          <w:tcPr>
            <w:tcW w:w="1559" w:type="dxa"/>
            <w:tcBorders>
              <w:top w:val="single" w:sz="4" w:space="0" w:color="auto"/>
              <w:left w:val="nil"/>
              <w:bottom w:val="nil"/>
              <w:right w:val="nil"/>
            </w:tcBorders>
          </w:tcPr>
          <w:p w:rsidR="00000000" w:rsidRDefault="00000000">
            <w:pPr>
              <w:ind w:right="371"/>
              <w:jc w:val="right"/>
              <w:rPr>
                <w:snapToGrid w:val="0"/>
                <w:lang w:eastAsia="pt-BR"/>
              </w:rPr>
            </w:pPr>
          </w:p>
        </w:tc>
        <w:tc>
          <w:tcPr>
            <w:tcW w:w="1559" w:type="dxa"/>
            <w:tcBorders>
              <w:top w:val="single" w:sz="4" w:space="0" w:color="auto"/>
              <w:left w:val="nil"/>
              <w:bottom w:val="nil"/>
              <w:right w:val="nil"/>
            </w:tcBorders>
          </w:tcPr>
          <w:p w:rsidR="00000000" w:rsidRDefault="00000000">
            <w:pPr>
              <w:ind w:right="348"/>
              <w:jc w:val="right"/>
              <w:rPr>
                <w:snapToGrid w:val="0"/>
                <w:lang w:eastAsia="pt-BR"/>
              </w:rPr>
            </w:pPr>
          </w:p>
        </w:tc>
        <w:tc>
          <w:tcPr>
            <w:tcW w:w="1701" w:type="dxa"/>
            <w:tcBorders>
              <w:top w:val="single" w:sz="4" w:space="0" w:color="auto"/>
              <w:left w:val="nil"/>
              <w:bottom w:val="nil"/>
              <w:right w:val="nil"/>
            </w:tcBorders>
          </w:tcPr>
          <w:p w:rsidR="00000000" w:rsidRDefault="00000000">
            <w:pPr>
              <w:ind w:right="489"/>
              <w:jc w:val="right"/>
              <w:rPr>
                <w:snapToGrid w:val="0"/>
                <w:lang w:eastAsia="pt-BR"/>
              </w:rPr>
            </w:pPr>
          </w:p>
        </w:tc>
      </w:tr>
    </w:tbl>
    <w:p w:rsidR="00000000" w:rsidRDefault="00000000"/>
    <w:p w:rsidR="00000000" w:rsidRDefault="00000000"/>
    <w:tbl>
      <w:tblPr>
        <w:tblW w:w="0" w:type="auto"/>
        <w:tblInd w:w="904"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54" w:type="dxa"/>
          <w:right w:w="54" w:type="dxa"/>
        </w:tblCellMar>
        <w:tblLook w:val="0000" w:firstRow="0" w:lastRow="0" w:firstColumn="0" w:lastColumn="0" w:noHBand="0" w:noVBand="0"/>
      </w:tblPr>
      <w:tblGrid>
        <w:gridCol w:w="2978"/>
        <w:gridCol w:w="1559"/>
        <w:gridCol w:w="1559"/>
        <w:gridCol w:w="1701"/>
      </w:tblGrid>
      <w:tr w:rsidR="00000000">
        <w:tblPrEx>
          <w:tblCellMar>
            <w:top w:w="0" w:type="dxa"/>
            <w:bottom w:w="0" w:type="dxa"/>
          </w:tblCellMar>
        </w:tblPrEx>
        <w:trPr>
          <w:cantSplit/>
        </w:trPr>
        <w:tc>
          <w:tcPr>
            <w:tcW w:w="7797" w:type="dxa"/>
            <w:gridSpan w:val="4"/>
            <w:tcBorders>
              <w:top w:val="nil"/>
              <w:left w:val="nil"/>
              <w:bottom w:val="single" w:sz="4" w:space="0" w:color="auto"/>
              <w:right w:val="nil"/>
            </w:tcBorders>
          </w:tcPr>
          <w:p w:rsidR="00000000" w:rsidRDefault="00000000">
            <w:pPr>
              <w:pStyle w:val="Heading1"/>
            </w:pPr>
            <w:r>
              <w:t>Table 84 (</w:t>
            </w:r>
            <w:r>
              <w:rPr>
                <w:u w:val="single"/>
              </w:rPr>
              <w:t>continued</w:t>
            </w:r>
            <w:r>
              <w:t xml:space="preserve">) </w:t>
            </w:r>
          </w:p>
          <w:p w:rsidR="00000000" w:rsidRDefault="00000000"/>
        </w:tc>
      </w:tr>
      <w:tr w:rsidR="00000000">
        <w:tblPrEx>
          <w:tblCellMar>
            <w:top w:w="0" w:type="dxa"/>
            <w:bottom w:w="0" w:type="dxa"/>
          </w:tblCellMar>
        </w:tblPrEx>
        <w:trPr>
          <w:cantSplit/>
          <w:tblHeader/>
        </w:trPr>
        <w:tc>
          <w:tcPr>
            <w:tcW w:w="2978" w:type="dxa"/>
            <w:tcBorders>
              <w:top w:val="single" w:sz="4" w:space="0" w:color="auto"/>
              <w:bottom w:val="single" w:sz="4" w:space="0" w:color="auto"/>
            </w:tcBorders>
            <w:shd w:val="clear" w:color="C0C0C0" w:fill="auto"/>
          </w:tcPr>
          <w:p w:rsidR="00000000" w:rsidRDefault="00000000">
            <w:pPr>
              <w:jc w:val="center"/>
              <w:rPr>
                <w:snapToGrid w:val="0"/>
                <w:lang w:eastAsia="pt-BR"/>
              </w:rPr>
            </w:pPr>
            <w:r>
              <w:rPr>
                <w:snapToGrid w:val="0"/>
                <w:lang w:eastAsia="pt-BR"/>
              </w:rPr>
              <w:t>Region and State</w:t>
            </w:r>
          </w:p>
        </w:tc>
        <w:tc>
          <w:tcPr>
            <w:tcW w:w="1559" w:type="dxa"/>
            <w:tcBorders>
              <w:top w:val="single" w:sz="4" w:space="0" w:color="auto"/>
              <w:bottom w:val="single" w:sz="4" w:space="0" w:color="auto"/>
            </w:tcBorders>
            <w:shd w:val="clear" w:color="C0C0C0" w:fill="auto"/>
          </w:tcPr>
          <w:p w:rsidR="00000000" w:rsidRDefault="00000000">
            <w:pPr>
              <w:jc w:val="center"/>
              <w:rPr>
                <w:snapToGrid w:val="0"/>
                <w:lang w:eastAsia="pt-BR"/>
              </w:rPr>
            </w:pPr>
            <w:r>
              <w:rPr>
                <w:snapToGrid w:val="0"/>
                <w:lang w:eastAsia="pt-BR"/>
              </w:rPr>
              <w:t>Men</w:t>
            </w:r>
          </w:p>
        </w:tc>
        <w:tc>
          <w:tcPr>
            <w:tcW w:w="1559" w:type="dxa"/>
            <w:tcBorders>
              <w:top w:val="single" w:sz="4" w:space="0" w:color="auto"/>
              <w:bottom w:val="single" w:sz="4" w:space="0" w:color="auto"/>
            </w:tcBorders>
            <w:shd w:val="clear" w:color="C0C0C0" w:fill="auto"/>
          </w:tcPr>
          <w:p w:rsidR="00000000" w:rsidRDefault="00000000">
            <w:pPr>
              <w:jc w:val="center"/>
              <w:rPr>
                <w:snapToGrid w:val="0"/>
                <w:lang w:eastAsia="pt-BR"/>
              </w:rPr>
            </w:pPr>
            <w:r>
              <w:rPr>
                <w:snapToGrid w:val="0"/>
                <w:lang w:eastAsia="pt-BR"/>
              </w:rPr>
              <w:t>Women</w:t>
            </w:r>
          </w:p>
        </w:tc>
        <w:tc>
          <w:tcPr>
            <w:tcW w:w="1701" w:type="dxa"/>
            <w:tcBorders>
              <w:top w:val="single" w:sz="4" w:space="0" w:color="auto"/>
              <w:bottom w:val="single" w:sz="4" w:space="0" w:color="auto"/>
            </w:tcBorders>
            <w:shd w:val="clear" w:color="C0C0C0" w:fill="auto"/>
          </w:tcPr>
          <w:p w:rsidR="00000000" w:rsidRDefault="00000000">
            <w:pPr>
              <w:jc w:val="center"/>
              <w:rPr>
                <w:snapToGrid w:val="0"/>
                <w:lang w:eastAsia="pt-BR"/>
              </w:rPr>
            </w:pPr>
            <w:r>
              <w:rPr>
                <w:snapToGrid w:val="0"/>
                <w:lang w:eastAsia="pt-BR"/>
              </w:rPr>
              <w:t>Total</w:t>
            </w:r>
          </w:p>
        </w:tc>
      </w:tr>
      <w:tr w:rsidR="00000000">
        <w:tblPrEx>
          <w:tblCellMar>
            <w:top w:w="0" w:type="dxa"/>
            <w:bottom w:w="0" w:type="dxa"/>
          </w:tblCellMar>
        </w:tblPrEx>
        <w:tc>
          <w:tcPr>
            <w:tcW w:w="2978" w:type="dxa"/>
          </w:tcPr>
          <w:p w:rsidR="00000000" w:rsidRDefault="00000000">
            <w:pPr>
              <w:rPr>
                <w:snapToGrid w:val="0"/>
                <w:lang w:eastAsia="pt-BR"/>
              </w:rPr>
            </w:pPr>
            <w:r>
              <w:rPr>
                <w:snapToGrid w:val="0"/>
                <w:lang w:eastAsia="pt-BR"/>
              </w:rPr>
              <w:t>South</w:t>
            </w:r>
          </w:p>
        </w:tc>
        <w:tc>
          <w:tcPr>
            <w:tcW w:w="1559" w:type="dxa"/>
          </w:tcPr>
          <w:p w:rsidR="00000000" w:rsidRDefault="00000000">
            <w:pPr>
              <w:ind w:right="371"/>
              <w:jc w:val="right"/>
              <w:rPr>
                <w:snapToGrid w:val="0"/>
                <w:lang w:eastAsia="pt-BR"/>
              </w:rPr>
            </w:pPr>
            <w:r>
              <w:rPr>
                <w:snapToGrid w:val="0"/>
                <w:lang w:eastAsia="pt-BR"/>
              </w:rPr>
              <w:t>66.67</w:t>
            </w:r>
          </w:p>
        </w:tc>
        <w:tc>
          <w:tcPr>
            <w:tcW w:w="1559" w:type="dxa"/>
          </w:tcPr>
          <w:p w:rsidR="00000000" w:rsidRDefault="00000000">
            <w:pPr>
              <w:ind w:right="348"/>
              <w:jc w:val="right"/>
              <w:rPr>
                <w:snapToGrid w:val="0"/>
                <w:lang w:eastAsia="pt-BR"/>
              </w:rPr>
            </w:pPr>
            <w:r>
              <w:rPr>
                <w:snapToGrid w:val="0"/>
                <w:lang w:eastAsia="pt-BR"/>
              </w:rPr>
              <w:t>74.27</w:t>
            </w:r>
          </w:p>
        </w:tc>
        <w:tc>
          <w:tcPr>
            <w:tcW w:w="1701" w:type="dxa"/>
          </w:tcPr>
          <w:p w:rsidR="00000000" w:rsidRDefault="00000000">
            <w:pPr>
              <w:ind w:right="489"/>
              <w:jc w:val="right"/>
              <w:rPr>
                <w:snapToGrid w:val="0"/>
                <w:lang w:eastAsia="pt-BR"/>
              </w:rPr>
            </w:pPr>
            <w:r>
              <w:rPr>
                <w:snapToGrid w:val="0"/>
                <w:lang w:eastAsia="pt-BR"/>
              </w:rPr>
              <w:t>70.34</w:t>
            </w:r>
          </w:p>
        </w:tc>
      </w:tr>
      <w:tr w:rsidR="00000000">
        <w:tblPrEx>
          <w:tblCellMar>
            <w:top w:w="0" w:type="dxa"/>
            <w:bottom w:w="0" w:type="dxa"/>
          </w:tblCellMar>
        </w:tblPrEx>
        <w:tc>
          <w:tcPr>
            <w:tcW w:w="2978" w:type="dxa"/>
          </w:tcPr>
          <w:p w:rsidR="00000000" w:rsidRDefault="00000000">
            <w:pPr>
              <w:rPr>
                <w:snapToGrid w:val="0"/>
                <w:lang w:eastAsia="pt-BR"/>
              </w:rPr>
            </w:pPr>
            <w:r>
              <w:rPr>
                <w:snapToGrid w:val="0"/>
                <w:lang w:eastAsia="pt-BR"/>
              </w:rPr>
              <w:t xml:space="preserve">   Paraná</w:t>
            </w:r>
          </w:p>
        </w:tc>
        <w:tc>
          <w:tcPr>
            <w:tcW w:w="1559" w:type="dxa"/>
          </w:tcPr>
          <w:p w:rsidR="00000000" w:rsidRDefault="00000000">
            <w:pPr>
              <w:ind w:right="371"/>
              <w:jc w:val="right"/>
              <w:rPr>
                <w:snapToGrid w:val="0"/>
                <w:lang w:eastAsia="pt-BR"/>
              </w:rPr>
            </w:pPr>
            <w:r>
              <w:rPr>
                <w:snapToGrid w:val="0"/>
                <w:lang w:eastAsia="pt-BR"/>
              </w:rPr>
              <w:t>66.18</w:t>
            </w:r>
          </w:p>
        </w:tc>
        <w:tc>
          <w:tcPr>
            <w:tcW w:w="1559" w:type="dxa"/>
          </w:tcPr>
          <w:p w:rsidR="00000000" w:rsidRDefault="00000000">
            <w:pPr>
              <w:ind w:right="348"/>
              <w:jc w:val="right"/>
              <w:rPr>
                <w:snapToGrid w:val="0"/>
                <w:lang w:eastAsia="pt-BR"/>
              </w:rPr>
            </w:pPr>
            <w:r>
              <w:rPr>
                <w:snapToGrid w:val="0"/>
                <w:lang w:eastAsia="pt-BR"/>
              </w:rPr>
              <w:t>72.93</w:t>
            </w:r>
          </w:p>
        </w:tc>
        <w:tc>
          <w:tcPr>
            <w:tcW w:w="1701" w:type="dxa"/>
          </w:tcPr>
          <w:p w:rsidR="00000000" w:rsidRDefault="00000000">
            <w:pPr>
              <w:ind w:right="489"/>
              <w:jc w:val="right"/>
              <w:rPr>
                <w:snapToGrid w:val="0"/>
                <w:lang w:eastAsia="pt-BR"/>
              </w:rPr>
            </w:pPr>
            <w:r>
              <w:rPr>
                <w:snapToGrid w:val="0"/>
                <w:lang w:eastAsia="pt-BR"/>
              </w:rPr>
              <w:t>69.49</w:t>
            </w:r>
          </w:p>
        </w:tc>
      </w:tr>
      <w:tr w:rsidR="00000000">
        <w:tblPrEx>
          <w:tblCellMar>
            <w:top w:w="0" w:type="dxa"/>
            <w:bottom w:w="0" w:type="dxa"/>
          </w:tblCellMar>
        </w:tblPrEx>
        <w:tc>
          <w:tcPr>
            <w:tcW w:w="2978" w:type="dxa"/>
          </w:tcPr>
          <w:p w:rsidR="00000000" w:rsidRDefault="00000000">
            <w:pPr>
              <w:rPr>
                <w:snapToGrid w:val="0"/>
                <w:lang w:eastAsia="pt-BR"/>
              </w:rPr>
            </w:pPr>
            <w:r>
              <w:rPr>
                <w:snapToGrid w:val="0"/>
                <w:lang w:eastAsia="pt-BR"/>
              </w:rPr>
              <w:t xml:space="preserve">   Santa Catarina</w:t>
            </w:r>
          </w:p>
        </w:tc>
        <w:tc>
          <w:tcPr>
            <w:tcW w:w="1559" w:type="dxa"/>
          </w:tcPr>
          <w:p w:rsidR="00000000" w:rsidRDefault="00000000">
            <w:pPr>
              <w:ind w:right="371"/>
              <w:jc w:val="right"/>
              <w:rPr>
                <w:snapToGrid w:val="0"/>
                <w:lang w:eastAsia="pt-BR"/>
              </w:rPr>
            </w:pPr>
            <w:r>
              <w:rPr>
                <w:snapToGrid w:val="0"/>
                <w:lang w:eastAsia="pt-BR"/>
              </w:rPr>
              <w:t>66.98</w:t>
            </w:r>
          </w:p>
        </w:tc>
        <w:tc>
          <w:tcPr>
            <w:tcW w:w="1559" w:type="dxa"/>
          </w:tcPr>
          <w:p w:rsidR="00000000" w:rsidRDefault="00000000">
            <w:pPr>
              <w:ind w:right="348"/>
              <w:jc w:val="right"/>
              <w:rPr>
                <w:snapToGrid w:val="0"/>
                <w:lang w:eastAsia="pt-BR"/>
              </w:rPr>
            </w:pPr>
            <w:r>
              <w:rPr>
                <w:snapToGrid w:val="0"/>
                <w:lang w:eastAsia="pt-BR"/>
              </w:rPr>
              <w:t>74.58</w:t>
            </w:r>
          </w:p>
        </w:tc>
        <w:tc>
          <w:tcPr>
            <w:tcW w:w="1701" w:type="dxa"/>
          </w:tcPr>
          <w:p w:rsidR="00000000" w:rsidRDefault="00000000">
            <w:pPr>
              <w:ind w:right="489"/>
              <w:jc w:val="right"/>
              <w:rPr>
                <w:snapToGrid w:val="0"/>
                <w:lang w:eastAsia="pt-BR"/>
              </w:rPr>
            </w:pPr>
            <w:r>
              <w:rPr>
                <w:snapToGrid w:val="0"/>
                <w:lang w:eastAsia="pt-BR"/>
              </w:rPr>
              <w:t>70.7  </w:t>
            </w:r>
          </w:p>
        </w:tc>
      </w:tr>
      <w:tr w:rsidR="00000000">
        <w:tblPrEx>
          <w:tblCellMar>
            <w:top w:w="0" w:type="dxa"/>
            <w:bottom w:w="0" w:type="dxa"/>
          </w:tblCellMar>
        </w:tblPrEx>
        <w:tc>
          <w:tcPr>
            <w:tcW w:w="2978" w:type="dxa"/>
          </w:tcPr>
          <w:p w:rsidR="00000000" w:rsidRDefault="00000000">
            <w:pPr>
              <w:rPr>
                <w:snapToGrid w:val="0"/>
                <w:lang w:eastAsia="pt-BR"/>
              </w:rPr>
            </w:pPr>
            <w:r>
              <w:rPr>
                <w:snapToGrid w:val="0"/>
                <w:lang w:eastAsia="pt-BR"/>
              </w:rPr>
              <w:t xml:space="preserve">   Rio Grande do Sul</w:t>
            </w:r>
          </w:p>
        </w:tc>
        <w:tc>
          <w:tcPr>
            <w:tcW w:w="1559" w:type="dxa"/>
          </w:tcPr>
          <w:p w:rsidR="00000000" w:rsidRDefault="00000000">
            <w:pPr>
              <w:ind w:right="371"/>
              <w:jc w:val="right"/>
              <w:rPr>
                <w:snapToGrid w:val="0"/>
                <w:lang w:eastAsia="pt-BR"/>
              </w:rPr>
            </w:pPr>
            <w:r>
              <w:rPr>
                <w:snapToGrid w:val="0"/>
                <w:lang w:eastAsia="pt-BR"/>
              </w:rPr>
              <w:t>66.98</w:t>
            </w:r>
          </w:p>
        </w:tc>
        <w:tc>
          <w:tcPr>
            <w:tcW w:w="1559" w:type="dxa"/>
          </w:tcPr>
          <w:p w:rsidR="00000000" w:rsidRDefault="00000000">
            <w:pPr>
              <w:ind w:right="348"/>
              <w:jc w:val="right"/>
              <w:rPr>
                <w:snapToGrid w:val="0"/>
                <w:lang w:eastAsia="pt-BR"/>
              </w:rPr>
            </w:pPr>
            <w:r>
              <w:rPr>
                <w:snapToGrid w:val="0"/>
                <w:lang w:eastAsia="pt-BR"/>
              </w:rPr>
              <w:t>75.24</w:t>
            </w:r>
          </w:p>
        </w:tc>
        <w:tc>
          <w:tcPr>
            <w:tcW w:w="1701" w:type="dxa"/>
          </w:tcPr>
          <w:p w:rsidR="00000000" w:rsidRDefault="00000000">
            <w:pPr>
              <w:ind w:right="489"/>
              <w:jc w:val="right"/>
              <w:rPr>
                <w:snapToGrid w:val="0"/>
                <w:lang w:eastAsia="pt-BR"/>
              </w:rPr>
            </w:pPr>
            <w:r>
              <w:rPr>
                <w:snapToGrid w:val="0"/>
                <w:lang w:eastAsia="pt-BR"/>
              </w:rPr>
              <w:t>71.03</w:t>
            </w:r>
          </w:p>
        </w:tc>
      </w:tr>
      <w:tr w:rsidR="00000000">
        <w:tblPrEx>
          <w:tblCellMar>
            <w:top w:w="0" w:type="dxa"/>
            <w:bottom w:w="0" w:type="dxa"/>
          </w:tblCellMar>
        </w:tblPrEx>
        <w:tc>
          <w:tcPr>
            <w:tcW w:w="2978" w:type="dxa"/>
          </w:tcPr>
          <w:p w:rsidR="00000000" w:rsidRDefault="00000000">
            <w:pPr>
              <w:rPr>
                <w:snapToGrid w:val="0"/>
                <w:lang w:eastAsia="pt-BR"/>
              </w:rPr>
            </w:pPr>
            <w:r>
              <w:rPr>
                <w:snapToGrid w:val="0"/>
                <w:lang w:eastAsia="pt-BR"/>
              </w:rPr>
              <w:t>Centre</w:t>
            </w:r>
            <w:r>
              <w:rPr>
                <w:snapToGrid w:val="0"/>
                <w:lang w:eastAsia="pt-BR"/>
              </w:rPr>
              <w:noBreakHyphen/>
              <w:t>west</w:t>
            </w:r>
          </w:p>
        </w:tc>
        <w:tc>
          <w:tcPr>
            <w:tcW w:w="1559" w:type="dxa"/>
          </w:tcPr>
          <w:p w:rsidR="00000000" w:rsidRDefault="00000000">
            <w:pPr>
              <w:ind w:right="371"/>
              <w:jc w:val="right"/>
              <w:rPr>
                <w:snapToGrid w:val="0"/>
                <w:lang w:eastAsia="pt-BR"/>
              </w:rPr>
            </w:pPr>
            <w:r>
              <w:rPr>
                <w:snapToGrid w:val="0"/>
                <w:lang w:eastAsia="pt-BR"/>
              </w:rPr>
              <w:t>65.56</w:t>
            </w:r>
          </w:p>
        </w:tc>
        <w:tc>
          <w:tcPr>
            <w:tcW w:w="1559" w:type="dxa"/>
          </w:tcPr>
          <w:p w:rsidR="00000000" w:rsidRDefault="00000000">
            <w:pPr>
              <w:ind w:right="348"/>
              <w:jc w:val="right"/>
              <w:rPr>
                <w:snapToGrid w:val="0"/>
                <w:lang w:eastAsia="pt-BR"/>
              </w:rPr>
            </w:pPr>
            <w:r>
              <w:rPr>
                <w:snapToGrid w:val="0"/>
                <w:lang w:eastAsia="pt-BR"/>
              </w:rPr>
              <w:t>72.18</w:t>
            </w:r>
          </w:p>
        </w:tc>
        <w:tc>
          <w:tcPr>
            <w:tcW w:w="1701" w:type="dxa"/>
          </w:tcPr>
          <w:p w:rsidR="00000000" w:rsidRDefault="00000000">
            <w:pPr>
              <w:ind w:right="489"/>
              <w:jc w:val="right"/>
              <w:rPr>
                <w:snapToGrid w:val="0"/>
                <w:lang w:eastAsia="pt-BR"/>
              </w:rPr>
            </w:pPr>
            <w:r>
              <w:rPr>
                <w:snapToGrid w:val="0"/>
                <w:lang w:eastAsia="pt-BR"/>
              </w:rPr>
              <w:t>68.67</w:t>
            </w:r>
          </w:p>
        </w:tc>
      </w:tr>
      <w:tr w:rsidR="00000000">
        <w:tblPrEx>
          <w:tblCellMar>
            <w:top w:w="0" w:type="dxa"/>
            <w:bottom w:w="0" w:type="dxa"/>
          </w:tblCellMar>
        </w:tblPrEx>
        <w:tc>
          <w:tcPr>
            <w:tcW w:w="2978" w:type="dxa"/>
          </w:tcPr>
          <w:p w:rsidR="00000000" w:rsidRDefault="00000000">
            <w:pPr>
              <w:rPr>
                <w:snapToGrid w:val="0"/>
                <w:lang w:eastAsia="pt-BR"/>
              </w:rPr>
            </w:pPr>
            <w:r>
              <w:rPr>
                <w:snapToGrid w:val="0"/>
                <w:lang w:eastAsia="pt-BR"/>
              </w:rPr>
              <w:t xml:space="preserve">   Mato Grosso do Sul</w:t>
            </w:r>
          </w:p>
        </w:tc>
        <w:tc>
          <w:tcPr>
            <w:tcW w:w="1559" w:type="dxa"/>
          </w:tcPr>
          <w:p w:rsidR="00000000" w:rsidRDefault="00000000">
            <w:pPr>
              <w:ind w:right="371"/>
              <w:jc w:val="right"/>
              <w:rPr>
                <w:snapToGrid w:val="0"/>
                <w:lang w:eastAsia="pt-BR"/>
              </w:rPr>
            </w:pPr>
            <w:r>
              <w:rPr>
                <w:snapToGrid w:val="0"/>
                <w:lang w:eastAsia="pt-BR"/>
              </w:rPr>
              <w:t>66.46</w:t>
            </w:r>
          </w:p>
        </w:tc>
        <w:tc>
          <w:tcPr>
            <w:tcW w:w="1559" w:type="dxa"/>
          </w:tcPr>
          <w:p w:rsidR="00000000" w:rsidRDefault="00000000">
            <w:pPr>
              <w:ind w:right="348"/>
              <w:jc w:val="right"/>
              <w:rPr>
                <w:snapToGrid w:val="0"/>
                <w:lang w:eastAsia="pt-BR"/>
              </w:rPr>
            </w:pPr>
            <w:r>
              <w:rPr>
                <w:snapToGrid w:val="0"/>
                <w:lang w:eastAsia="pt-BR"/>
              </w:rPr>
              <w:t>72.73</w:t>
            </w:r>
          </w:p>
        </w:tc>
        <w:tc>
          <w:tcPr>
            <w:tcW w:w="1701" w:type="dxa"/>
          </w:tcPr>
          <w:p w:rsidR="00000000" w:rsidRDefault="00000000">
            <w:pPr>
              <w:ind w:right="489"/>
              <w:jc w:val="right"/>
              <w:rPr>
                <w:snapToGrid w:val="0"/>
                <w:lang w:eastAsia="pt-BR"/>
              </w:rPr>
            </w:pPr>
            <w:r>
              <w:rPr>
                <w:snapToGrid w:val="0"/>
                <w:lang w:eastAsia="pt-BR"/>
              </w:rPr>
              <w:t>69.53</w:t>
            </w:r>
          </w:p>
        </w:tc>
      </w:tr>
      <w:tr w:rsidR="00000000">
        <w:tblPrEx>
          <w:tblCellMar>
            <w:top w:w="0" w:type="dxa"/>
            <w:bottom w:w="0" w:type="dxa"/>
          </w:tblCellMar>
        </w:tblPrEx>
        <w:tc>
          <w:tcPr>
            <w:tcW w:w="2978" w:type="dxa"/>
          </w:tcPr>
          <w:p w:rsidR="00000000" w:rsidRDefault="00000000">
            <w:pPr>
              <w:rPr>
                <w:snapToGrid w:val="0"/>
                <w:lang w:eastAsia="pt-BR"/>
              </w:rPr>
            </w:pPr>
            <w:r>
              <w:rPr>
                <w:snapToGrid w:val="0"/>
                <w:lang w:eastAsia="pt-BR"/>
              </w:rPr>
              <w:t xml:space="preserve">   Mato Grosso</w:t>
            </w:r>
          </w:p>
        </w:tc>
        <w:tc>
          <w:tcPr>
            <w:tcW w:w="1559" w:type="dxa"/>
          </w:tcPr>
          <w:p w:rsidR="00000000" w:rsidRDefault="00000000">
            <w:pPr>
              <w:ind w:right="371"/>
              <w:jc w:val="right"/>
              <w:rPr>
                <w:snapToGrid w:val="0"/>
                <w:lang w:eastAsia="pt-BR"/>
              </w:rPr>
            </w:pPr>
            <w:r>
              <w:rPr>
                <w:snapToGrid w:val="0"/>
                <w:lang w:eastAsia="pt-BR"/>
              </w:rPr>
              <w:t>65.28</w:t>
            </w:r>
          </w:p>
        </w:tc>
        <w:tc>
          <w:tcPr>
            <w:tcW w:w="1559" w:type="dxa"/>
          </w:tcPr>
          <w:p w:rsidR="00000000" w:rsidRDefault="00000000">
            <w:pPr>
              <w:ind w:right="348"/>
              <w:jc w:val="right"/>
              <w:rPr>
                <w:snapToGrid w:val="0"/>
                <w:lang w:eastAsia="pt-BR"/>
              </w:rPr>
            </w:pPr>
            <w:r>
              <w:rPr>
                <w:snapToGrid w:val="0"/>
                <w:lang w:eastAsia="pt-BR"/>
              </w:rPr>
              <w:t>71.42</w:t>
            </w:r>
          </w:p>
        </w:tc>
        <w:tc>
          <w:tcPr>
            <w:tcW w:w="1701" w:type="dxa"/>
          </w:tcPr>
          <w:p w:rsidR="00000000" w:rsidRDefault="00000000">
            <w:pPr>
              <w:ind w:right="489"/>
              <w:jc w:val="right"/>
              <w:rPr>
                <w:snapToGrid w:val="0"/>
                <w:lang w:eastAsia="pt-BR"/>
              </w:rPr>
            </w:pPr>
            <w:r>
              <w:rPr>
                <w:snapToGrid w:val="0"/>
                <w:lang w:eastAsia="pt-BR"/>
              </w:rPr>
              <w:t>68.29</w:t>
            </w:r>
          </w:p>
        </w:tc>
      </w:tr>
      <w:tr w:rsidR="00000000">
        <w:tblPrEx>
          <w:tblCellMar>
            <w:top w:w="0" w:type="dxa"/>
            <w:bottom w:w="0" w:type="dxa"/>
          </w:tblCellMar>
        </w:tblPrEx>
        <w:tc>
          <w:tcPr>
            <w:tcW w:w="2978" w:type="dxa"/>
          </w:tcPr>
          <w:p w:rsidR="00000000" w:rsidRDefault="00000000">
            <w:pPr>
              <w:rPr>
                <w:snapToGrid w:val="0"/>
                <w:lang w:eastAsia="pt-BR"/>
              </w:rPr>
            </w:pPr>
            <w:r>
              <w:rPr>
                <w:snapToGrid w:val="0"/>
                <w:lang w:eastAsia="pt-BR"/>
              </w:rPr>
              <w:t xml:space="preserve">   Goiás</w:t>
            </w:r>
          </w:p>
        </w:tc>
        <w:tc>
          <w:tcPr>
            <w:tcW w:w="1559" w:type="dxa"/>
          </w:tcPr>
          <w:p w:rsidR="00000000" w:rsidRDefault="00000000">
            <w:pPr>
              <w:ind w:right="371"/>
              <w:jc w:val="right"/>
              <w:rPr>
                <w:snapToGrid w:val="0"/>
                <w:lang w:eastAsia="pt-BR"/>
              </w:rPr>
            </w:pPr>
            <w:r>
              <w:rPr>
                <w:snapToGrid w:val="0"/>
                <w:lang w:eastAsia="pt-BR"/>
              </w:rPr>
              <w:t>65.66</w:t>
            </w:r>
          </w:p>
        </w:tc>
        <w:tc>
          <w:tcPr>
            <w:tcW w:w="1559" w:type="dxa"/>
          </w:tcPr>
          <w:p w:rsidR="00000000" w:rsidRDefault="00000000">
            <w:pPr>
              <w:ind w:right="348"/>
              <w:jc w:val="right"/>
              <w:rPr>
                <w:snapToGrid w:val="0"/>
                <w:lang w:eastAsia="pt-BR"/>
              </w:rPr>
            </w:pPr>
            <w:r>
              <w:rPr>
                <w:snapToGrid w:val="0"/>
                <w:lang w:eastAsia="pt-BR"/>
              </w:rPr>
              <w:t>72.14</w:t>
            </w:r>
          </w:p>
        </w:tc>
        <w:tc>
          <w:tcPr>
            <w:tcW w:w="1701" w:type="dxa"/>
          </w:tcPr>
          <w:p w:rsidR="00000000" w:rsidRDefault="00000000">
            <w:pPr>
              <w:ind w:right="489"/>
              <w:jc w:val="right"/>
              <w:rPr>
                <w:snapToGrid w:val="0"/>
                <w:lang w:eastAsia="pt-BR"/>
              </w:rPr>
            </w:pPr>
            <w:r>
              <w:rPr>
                <w:snapToGrid w:val="0"/>
                <w:lang w:eastAsia="pt-BR"/>
              </w:rPr>
              <w:t>68.84</w:t>
            </w:r>
          </w:p>
        </w:tc>
      </w:tr>
      <w:tr w:rsidR="00000000">
        <w:tblPrEx>
          <w:tblCellMar>
            <w:top w:w="0" w:type="dxa"/>
            <w:bottom w:w="0" w:type="dxa"/>
          </w:tblCellMar>
        </w:tblPrEx>
        <w:tc>
          <w:tcPr>
            <w:tcW w:w="2978" w:type="dxa"/>
            <w:tcBorders>
              <w:bottom w:val="single" w:sz="4" w:space="0" w:color="auto"/>
            </w:tcBorders>
          </w:tcPr>
          <w:p w:rsidR="00000000" w:rsidRDefault="00000000">
            <w:pPr>
              <w:rPr>
                <w:snapToGrid w:val="0"/>
                <w:lang w:eastAsia="pt-BR"/>
              </w:rPr>
            </w:pPr>
            <w:r>
              <w:rPr>
                <w:snapToGrid w:val="0"/>
                <w:lang w:eastAsia="pt-BR"/>
              </w:rPr>
              <w:t xml:space="preserve">   Federal District</w:t>
            </w:r>
          </w:p>
        </w:tc>
        <w:tc>
          <w:tcPr>
            <w:tcW w:w="1559" w:type="dxa"/>
            <w:tcBorders>
              <w:bottom w:val="single" w:sz="4" w:space="0" w:color="auto"/>
            </w:tcBorders>
          </w:tcPr>
          <w:p w:rsidR="00000000" w:rsidRDefault="00000000">
            <w:pPr>
              <w:ind w:right="371"/>
              <w:jc w:val="right"/>
              <w:rPr>
                <w:snapToGrid w:val="0"/>
                <w:lang w:eastAsia="pt-BR"/>
              </w:rPr>
            </w:pPr>
            <w:r>
              <w:rPr>
                <w:snapToGrid w:val="0"/>
                <w:lang w:eastAsia="pt-BR"/>
              </w:rPr>
              <w:t>64.61</w:t>
            </w:r>
          </w:p>
        </w:tc>
        <w:tc>
          <w:tcPr>
            <w:tcW w:w="1559" w:type="dxa"/>
            <w:tcBorders>
              <w:bottom w:val="single" w:sz="4" w:space="0" w:color="auto"/>
            </w:tcBorders>
          </w:tcPr>
          <w:p w:rsidR="00000000" w:rsidRDefault="00000000">
            <w:pPr>
              <w:ind w:right="348"/>
              <w:jc w:val="right"/>
              <w:rPr>
                <w:snapToGrid w:val="0"/>
                <w:lang w:eastAsia="pt-BR"/>
              </w:rPr>
            </w:pPr>
            <w:r>
              <w:rPr>
                <w:snapToGrid w:val="0"/>
                <w:lang w:eastAsia="pt-BR"/>
              </w:rPr>
              <w:t>72.61</w:t>
            </w:r>
          </w:p>
        </w:tc>
        <w:tc>
          <w:tcPr>
            <w:tcW w:w="1701" w:type="dxa"/>
            <w:tcBorders>
              <w:bottom w:val="single" w:sz="4" w:space="0" w:color="auto"/>
            </w:tcBorders>
          </w:tcPr>
          <w:p w:rsidR="00000000" w:rsidRDefault="00000000">
            <w:pPr>
              <w:ind w:right="489"/>
              <w:jc w:val="right"/>
              <w:rPr>
                <w:snapToGrid w:val="0"/>
                <w:lang w:eastAsia="pt-BR"/>
              </w:rPr>
            </w:pPr>
            <w:r>
              <w:rPr>
                <w:snapToGrid w:val="0"/>
                <w:lang w:eastAsia="pt-BR"/>
              </w:rPr>
              <w:t>68.53</w:t>
            </w:r>
          </w:p>
        </w:tc>
      </w:tr>
      <w:tr w:rsidR="00000000">
        <w:tblPrEx>
          <w:tblCellMar>
            <w:top w:w="0" w:type="dxa"/>
            <w:bottom w:w="0" w:type="dxa"/>
          </w:tblCellMar>
        </w:tblPrEx>
        <w:tc>
          <w:tcPr>
            <w:tcW w:w="2978" w:type="dxa"/>
            <w:tcBorders>
              <w:top w:val="single" w:sz="4" w:space="0" w:color="auto"/>
              <w:bottom w:val="single" w:sz="4" w:space="0" w:color="auto"/>
            </w:tcBorders>
            <w:shd w:val="clear" w:color="C0C0C0" w:fill="auto"/>
          </w:tcPr>
          <w:p w:rsidR="00000000" w:rsidRDefault="00000000">
            <w:pPr>
              <w:rPr>
                <w:snapToGrid w:val="0"/>
                <w:lang w:eastAsia="pt-BR"/>
              </w:rPr>
            </w:pPr>
            <w:r>
              <w:rPr>
                <w:snapToGrid w:val="0"/>
                <w:lang w:eastAsia="pt-BR"/>
              </w:rPr>
              <w:t xml:space="preserve">        Total</w:t>
            </w:r>
          </w:p>
        </w:tc>
        <w:tc>
          <w:tcPr>
            <w:tcW w:w="1559" w:type="dxa"/>
            <w:tcBorders>
              <w:top w:val="single" w:sz="4" w:space="0" w:color="auto"/>
              <w:bottom w:val="single" w:sz="4" w:space="0" w:color="auto"/>
            </w:tcBorders>
            <w:shd w:val="clear" w:color="C0C0C0" w:fill="auto"/>
          </w:tcPr>
          <w:p w:rsidR="00000000" w:rsidRDefault="00000000">
            <w:pPr>
              <w:ind w:right="371"/>
              <w:jc w:val="right"/>
              <w:rPr>
                <w:snapToGrid w:val="0"/>
                <w:lang w:eastAsia="pt-BR"/>
              </w:rPr>
            </w:pPr>
            <w:r>
              <w:rPr>
                <w:snapToGrid w:val="0"/>
                <w:lang w:eastAsia="pt-BR"/>
              </w:rPr>
              <w:t>64.09</w:t>
            </w:r>
          </w:p>
        </w:tc>
        <w:tc>
          <w:tcPr>
            <w:tcW w:w="1559" w:type="dxa"/>
            <w:tcBorders>
              <w:top w:val="single" w:sz="4" w:space="0" w:color="auto"/>
              <w:bottom w:val="single" w:sz="4" w:space="0" w:color="auto"/>
            </w:tcBorders>
            <w:shd w:val="clear" w:color="C0C0C0" w:fill="auto"/>
          </w:tcPr>
          <w:p w:rsidR="00000000" w:rsidRDefault="00000000">
            <w:pPr>
              <w:ind w:right="348"/>
              <w:jc w:val="right"/>
              <w:rPr>
                <w:snapToGrid w:val="0"/>
                <w:lang w:eastAsia="pt-BR"/>
              </w:rPr>
            </w:pPr>
            <w:r>
              <w:rPr>
                <w:snapToGrid w:val="0"/>
                <w:lang w:eastAsia="pt-BR"/>
              </w:rPr>
              <w:t>71.7  </w:t>
            </w:r>
          </w:p>
        </w:tc>
        <w:tc>
          <w:tcPr>
            <w:tcW w:w="1701" w:type="dxa"/>
            <w:tcBorders>
              <w:top w:val="single" w:sz="4" w:space="0" w:color="auto"/>
              <w:bottom w:val="single" w:sz="4" w:space="0" w:color="auto"/>
            </w:tcBorders>
            <w:shd w:val="clear" w:color="C0C0C0" w:fill="auto"/>
          </w:tcPr>
          <w:p w:rsidR="00000000" w:rsidRDefault="00000000">
            <w:pPr>
              <w:ind w:right="489"/>
              <w:jc w:val="right"/>
              <w:rPr>
                <w:snapToGrid w:val="0"/>
                <w:lang w:eastAsia="pt-BR"/>
              </w:rPr>
            </w:pPr>
            <w:r>
              <w:rPr>
                <w:snapToGrid w:val="0"/>
                <w:lang w:eastAsia="pt-BR"/>
              </w:rPr>
              <w:t>67.78</w:t>
            </w:r>
          </w:p>
        </w:tc>
      </w:tr>
    </w:tbl>
    <w:p w:rsidR="00000000" w:rsidRDefault="00000000">
      <w:pPr>
        <w:ind w:left="1440"/>
      </w:pPr>
    </w:p>
    <w:p w:rsidR="00000000" w:rsidRDefault="00000000">
      <w:pPr>
        <w:ind w:left="720"/>
      </w:pPr>
      <w:r>
        <w:tab/>
      </w:r>
      <w:r>
        <w:rPr>
          <w:u w:val="single"/>
        </w:rPr>
        <w:t>Source</w:t>
      </w:r>
      <w:r>
        <w:t>:  IBGE/Population Count and Preliminary Demographic Forecasts.</w:t>
      </w:r>
    </w:p>
    <w:p w:rsidR="00000000" w:rsidRDefault="00000000"/>
    <w:p w:rsidR="00000000" w:rsidRDefault="00000000">
      <w:pPr>
        <w:pStyle w:val="ParaNo"/>
        <w:tabs>
          <w:tab w:val="clear" w:pos="360"/>
          <w:tab w:val="clear" w:pos="737"/>
        </w:tabs>
        <w:rPr>
          <w:lang w:val="en-GB"/>
        </w:rPr>
      </w:pPr>
      <w:r>
        <w:rPr>
          <w:lang w:val="en-GB"/>
        </w:rPr>
        <w:t>Brazil does not yet have information available covering the entire country in terms of access to trained practitioners able to treat diseases and injuries receiving regular supplies of the 20 essential medications.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Despite significant regional differences that still persist, the prenatal assistance coverage has expanded.  During the first half of the 1990s, 81 per cent of women received prenatal care from a physician, with 48 per cent having more than seven visits and some 66 per cent beginning prenatal care during the first trimester of pregnancy.  The number of women living in rural areas who did not have any prenatal visits topped 31 per cent, far higher than the number of women living in urban areas who did not see a doctor (8.6 per cent), according to the PNDS/1996.  The transfer of federal funding on a per capita basis to municipal districts in order to finance basic health</w:t>
      </w:r>
      <w:r>
        <w:rPr>
          <w:lang w:val="en-GB"/>
        </w:rPr>
        <w:noBreakHyphen/>
        <w:t>care facilities from 1997 onwards resulted in an appreciable expansion of prenatal care, reflected in a 78 per cent increase in the number of consultations provided by the Single Health</w:t>
      </w:r>
      <w:r>
        <w:rPr>
          <w:lang w:val="en-GB"/>
        </w:rPr>
        <w:noBreakHyphen/>
        <w:t>Care System (SUS) in 1998.  Although these data do not allow the population coverage to be calculated, it is very probable that it has expanded.</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Maternal mortality rates are still significant.  According to the PNDS/1996, over the past 10 years, an average probability of 8 maternal deaths for every 1,000 women of reproductive age has been recorded.  The maternal mortality rate measured indirectly reached 207 maternal deaths for every 100,000 live births in 1980, dropping sharply in 1990 to almost 100 per 100,000 live births.</w:t>
      </w:r>
    </w:p>
    <w:p w:rsidR="00000000" w:rsidRDefault="00000000"/>
    <w:p w:rsidR="00000000" w:rsidRDefault="00000000">
      <w:pPr>
        <w:pStyle w:val="ParaNo"/>
        <w:tabs>
          <w:tab w:val="clear" w:pos="360"/>
          <w:tab w:val="clear" w:pos="737"/>
        </w:tabs>
        <w:rPr>
          <w:lang w:val="en-GB"/>
        </w:rPr>
      </w:pPr>
      <w:r>
        <w:rPr>
          <w:lang w:val="en-GB"/>
        </w:rPr>
        <w:t>To speed up the drop in maternal mortality rates, the Ministry of Health has been investing in upgrading birth care facilities since 1998, assigning a higher value to this procedure undertaken by the Single Health</w:t>
      </w:r>
      <w:r>
        <w:rPr>
          <w:lang w:val="en-GB"/>
        </w:rPr>
        <w:noBreakHyphen/>
        <w:t>Care System and preventing the abusive use of Caesarean sections which are very common in Brazil, while introducing a high</w:t>
      </w:r>
      <w:r>
        <w:rPr>
          <w:lang w:val="en-GB"/>
        </w:rPr>
        <w:noBreakHyphen/>
        <w:t>risk pregnancy care system nationwide.</w:t>
      </w: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In June this year, a National Prenatal and Birth Humanization Programme (</w:t>
      </w:r>
      <w:r>
        <w:rPr>
          <w:u w:val="single"/>
          <w:lang w:val="en-GB"/>
        </w:rPr>
        <w:t>Programa Nacional de Humanização do Pré</w:t>
      </w:r>
      <w:r>
        <w:rPr>
          <w:u w:val="single"/>
          <w:lang w:val="en-GB"/>
        </w:rPr>
        <w:noBreakHyphen/>
        <w:t>Natal e Nascimento</w:t>
      </w:r>
      <w:r>
        <w:rPr>
          <w:lang w:val="en-GB"/>
        </w:rPr>
        <w:t>) was introduced, transferring additional resources to all municipal districts that introduce basic procedures ensuring effective care during pregnancy, labour and birth.</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With regard to vulnerable groups, the Brazilian Government offers the following information, particularly for the elderly and the disabled.  A substantial increase in the universe of the elderly is noted, which has significant impacts on the functioning of the public hospital network.  Over the past few years, a series of measures, laws and practices have been introduced that are designed to upgrade the health of the elderly.</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promulgation of Federal Law No. 8,842 in January 1994 established the National Policy for the Elderly (</w:t>
      </w:r>
      <w:r>
        <w:rPr>
          <w:u w:val="single"/>
          <w:lang w:val="en-GB"/>
        </w:rPr>
        <w:t>Política Nacional do Idoso</w:t>
      </w:r>
      <w:r>
        <w:rPr>
          <w:lang w:val="en-GB"/>
        </w:rPr>
        <w:t>).  Under this law, the health</w:t>
      </w:r>
      <w:r>
        <w:rPr>
          <w:lang w:val="en-GB"/>
        </w:rPr>
        <w:noBreakHyphen/>
        <w:t xml:space="preserve">care sector is obliged to:  </w:t>
      </w:r>
    </w:p>
    <w:p w:rsidR="00000000" w:rsidRDefault="00000000">
      <w:pPr>
        <w:pStyle w:val="ParaNo"/>
        <w:numPr>
          <w:ilvl w:val="0"/>
          <w:numId w:val="0"/>
        </w:numPr>
        <w:tabs>
          <w:tab w:val="clear" w:pos="737"/>
        </w:tabs>
        <w:rPr>
          <w:lang w:val="en-GB"/>
        </w:rPr>
      </w:pPr>
    </w:p>
    <w:p w:rsidR="00000000" w:rsidRDefault="00000000">
      <w:r>
        <w:tab/>
        <w:t>(a)</w:t>
      </w:r>
      <w:r>
        <w:tab/>
        <w:t>Assure health care for the elderly at the various treatment levels of the Single Health</w:t>
      </w:r>
      <w:r>
        <w:noBreakHyphen/>
        <w:t>Care System;</w:t>
      </w:r>
    </w:p>
    <w:p w:rsidR="00000000" w:rsidRDefault="00000000"/>
    <w:p w:rsidR="00000000" w:rsidRDefault="00000000">
      <w:r>
        <w:tab/>
        <w:t>(b)</w:t>
      </w:r>
      <w:r>
        <w:tab/>
        <w:t xml:space="preserve">Prevent, promote, protect and recover the health of the elderly through prophylactic programmes and measures; </w:t>
      </w:r>
    </w:p>
    <w:p w:rsidR="00000000" w:rsidRDefault="00000000"/>
    <w:p w:rsidR="00000000" w:rsidRDefault="00000000">
      <w:r>
        <w:tab/>
        <w:t>(c)</w:t>
      </w:r>
      <w:r>
        <w:tab/>
        <w:t>Adopt and apply operating standards for geriatric institutions and similar supervised by the managers of the Single Health</w:t>
      </w:r>
      <w:r>
        <w:noBreakHyphen/>
        <w:t>Care System;</w:t>
      </w:r>
    </w:p>
    <w:p w:rsidR="00000000" w:rsidRDefault="00000000"/>
    <w:p w:rsidR="00000000" w:rsidRDefault="00000000">
      <w:r>
        <w:tab/>
        <w:t>(d)</w:t>
      </w:r>
      <w:r>
        <w:tab/>
        <w:t>Prepare standards for geriatric hospital services;</w:t>
      </w:r>
    </w:p>
    <w:p w:rsidR="00000000" w:rsidRDefault="00000000"/>
    <w:p w:rsidR="00000000" w:rsidRDefault="00000000">
      <w:r>
        <w:tab/>
        <w:t>(e)</w:t>
      </w:r>
      <w:r>
        <w:tab/>
        <w:t>Develop forms of cooperation among the State Health Bureaux, as well as those of the Federal District and the municipal districts, and the Geriatrics and Gerontology Reference Centres for training interdisciplinary professional teams;</w:t>
      </w:r>
    </w:p>
    <w:p w:rsidR="00000000" w:rsidRDefault="00000000"/>
    <w:p w:rsidR="00000000" w:rsidRDefault="00000000">
      <w:r>
        <w:tab/>
        <w:t>(f)</w:t>
      </w:r>
      <w:r>
        <w:tab/>
        <w:t>Include geriatrics as a clinical specialty for federal, state, municipal and Federal District public competitive examinations;</w:t>
      </w:r>
    </w:p>
    <w:p w:rsidR="00000000" w:rsidRDefault="00000000"/>
    <w:p w:rsidR="00000000" w:rsidRDefault="00000000">
      <w:r>
        <w:tab/>
        <w:t>(g)</w:t>
      </w:r>
      <w:r>
        <w:tab/>
        <w:t>Undertake studies to detect the epidemiological nature of certain diseases affecting the elderly, with a view to prevention, treatment and rehabilitation; and</w:t>
      </w:r>
    </w:p>
    <w:p w:rsidR="00000000" w:rsidRDefault="00000000"/>
    <w:p w:rsidR="00000000" w:rsidRDefault="00000000">
      <w:r>
        <w:tab/>
        <w:t>(h)</w:t>
      </w:r>
      <w:r>
        <w:tab/>
        <w:t>Introduce alternative health</w:t>
      </w:r>
      <w:r>
        <w:noBreakHyphen/>
        <w:t>care services for the elderly.</w:t>
      </w:r>
    </w:p>
    <w:p w:rsidR="00000000" w:rsidRDefault="00000000"/>
    <w:p w:rsidR="00000000" w:rsidRDefault="00000000">
      <w:pPr>
        <w:pStyle w:val="ParaNo"/>
        <w:tabs>
          <w:tab w:val="clear" w:pos="360"/>
          <w:tab w:val="clear" w:pos="737"/>
        </w:tabs>
        <w:rPr>
          <w:lang w:val="en-GB"/>
        </w:rPr>
      </w:pPr>
      <w:r>
        <w:rPr>
          <w:lang w:val="en-GB"/>
        </w:rPr>
        <w:t>Law No. 8,842 was amended in June 1996, requiring special joint actions by seven ministries.  Brazil’s National Health</w:t>
      </w:r>
      <w:r>
        <w:rPr>
          <w:lang w:val="en-GB"/>
        </w:rPr>
        <w:noBreakHyphen/>
        <w:t>Care Policy for the Elderly (</w:t>
      </w:r>
      <w:r>
        <w:rPr>
          <w:u w:val="single"/>
          <w:lang w:val="en-GB"/>
        </w:rPr>
        <w:t>Política Nacional de Saúde do Idoso</w:t>
      </w:r>
      <w:r>
        <w:rPr>
          <w:lang w:val="en-GB"/>
        </w:rPr>
        <w:t>) was introduced.  Its basic purpose is to encourage a healthy ageing process, maintaining and upgrading the functional capacity of the elderly as much as possible, together with disease prevention and the recovery of the health of those who fall sick, in parallel to the rehabilitation of those whose functional capacities are restricted, ensuring that they can continue to live in familiar surroundings, exercising their functions within society in an independent manner.</w:t>
      </w:r>
    </w:p>
    <w:p w:rsidR="00000000" w:rsidRDefault="00000000"/>
    <w:p w:rsidR="00000000" w:rsidRDefault="00000000">
      <w:pPr>
        <w:pStyle w:val="ParaNo"/>
        <w:tabs>
          <w:tab w:val="clear" w:pos="360"/>
          <w:tab w:val="clear" w:pos="737"/>
        </w:tabs>
        <w:rPr>
          <w:lang w:val="en-GB"/>
        </w:rPr>
      </w:pPr>
      <w:r>
        <w:rPr>
          <w:lang w:val="en-GB"/>
        </w:rPr>
        <w:t>In terms of improvements in the physical and mental situation of the elderly covered by the National Health</w:t>
      </w:r>
      <w:r>
        <w:rPr>
          <w:lang w:val="en-GB"/>
        </w:rPr>
        <w:noBreakHyphen/>
        <w:t>Care Plan for the Elderly (December 1999), mention is made of initiatives to promote a healthy ageing process; maintaining functional capacities; assistance for the health</w:t>
      </w:r>
      <w:r>
        <w:rPr>
          <w:lang w:val="en-GB"/>
        </w:rPr>
        <w:noBreakHyphen/>
        <w:t>care requirements of the elderly; rehabilitation for adversely affected functional capacities; training specialized human resources; support for the development of informal care; and support for studies and research.</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measures already completed or under way include:</w:t>
      </w:r>
    </w:p>
    <w:p w:rsidR="00000000" w:rsidRDefault="00000000"/>
    <w:p w:rsidR="00000000" w:rsidRDefault="00000000">
      <w:r>
        <w:tab/>
        <w:t>(a)</w:t>
      </w:r>
      <w:r>
        <w:tab/>
        <w:t xml:space="preserve">Annual influenza vaccination for elderly persons (in April 1999 for those aged 65 years and older, and from April 2000, for those aged 60 years and older) during the second two weeks of April; indicator:  hospitalization rates for respiratory infections; </w:t>
      </w:r>
    </w:p>
    <w:p w:rsidR="00000000" w:rsidRDefault="00000000"/>
    <w:p w:rsidR="00000000" w:rsidRDefault="00000000">
      <w:r>
        <w:tab/>
        <w:t>(b)</w:t>
      </w:r>
      <w:r>
        <w:tab/>
        <w:t>Anti</w:t>
      </w:r>
      <w:r>
        <w:noBreakHyphen/>
        <w:t>tetanus vaccination (every 10 years) for the elderly; indicators:  hospitalization rates for tetanus infections and mortality rates;</w:t>
      </w:r>
    </w:p>
    <w:p w:rsidR="00000000" w:rsidRDefault="00000000"/>
    <w:p w:rsidR="00000000" w:rsidRDefault="00000000">
      <w:r>
        <w:tab/>
        <w:t>(c)</w:t>
      </w:r>
      <w:r>
        <w:tab/>
        <w:t>Annual campaigns since 1999 to carry out cataract operations in order to eliminate waiting lists;</w:t>
      </w:r>
    </w:p>
    <w:p w:rsidR="00000000" w:rsidRDefault="00000000"/>
    <w:p w:rsidR="00000000" w:rsidRDefault="00000000">
      <w:r>
        <w:tab/>
        <w:t>(d)</w:t>
      </w:r>
      <w:r>
        <w:tab/>
        <w:t>Annual prostate surgery campaigns since 1999 in order to eliminate waiting lists;</w:t>
      </w:r>
    </w:p>
    <w:p w:rsidR="00000000" w:rsidRDefault="00000000"/>
    <w:p w:rsidR="00000000" w:rsidRDefault="00000000">
      <w:r>
        <w:tab/>
        <w:t>(e)</w:t>
      </w:r>
      <w:r>
        <w:tab/>
        <w:t>Annual hernia campaigns since 1999 in order to eliminate waiting lists;</w:t>
      </w:r>
    </w:p>
    <w:p w:rsidR="00000000" w:rsidRDefault="00000000"/>
    <w:p w:rsidR="00000000" w:rsidRDefault="00000000">
      <w:r>
        <w:tab/>
        <w:t>(f)</w:t>
      </w:r>
      <w:r>
        <w:tab/>
        <w:t xml:space="preserve">Preparation of a video entitled </w:t>
      </w:r>
      <w:r>
        <w:rPr>
          <w:u w:val="single"/>
        </w:rPr>
        <w:t>Velhice não é doença</w:t>
      </w:r>
      <w:r>
        <w:t xml:space="preserve"> (Old Age is not a Disease) distributed to the Family Health</w:t>
      </w:r>
      <w:r>
        <w:noBreakHyphen/>
        <w:t>Care Teams in order to provide input for discussions among the Community Health</w:t>
      </w:r>
      <w:r>
        <w:noBreakHyphen/>
        <w:t xml:space="preserve">Care Agents.  This video has also been run on educational television channels in Brazil, as well as the </w:t>
      </w:r>
      <w:r>
        <w:rPr>
          <w:u w:val="single"/>
        </w:rPr>
        <w:t>Canal Futura</w:t>
      </w:r>
      <w:r>
        <w:t xml:space="preserve"> channel;</w:t>
      </w:r>
    </w:p>
    <w:p w:rsidR="00000000" w:rsidRDefault="00000000"/>
    <w:p w:rsidR="00000000" w:rsidRDefault="00000000">
      <w:r>
        <w:tab/>
        <w:t>(g)</w:t>
      </w:r>
      <w:r>
        <w:tab/>
        <w:t>Special issue of the publication entitled “</w:t>
      </w:r>
      <w:r>
        <w:rPr>
          <w:u w:val="single"/>
        </w:rPr>
        <w:t>Em tempo de …</w:t>
      </w:r>
      <w:r>
        <w:t>” targeting Community Health</w:t>
      </w:r>
      <w:r>
        <w:noBreakHyphen/>
        <w:t>Care Agents and focused mainly on health</w:t>
      </w:r>
      <w:r>
        <w:noBreakHyphen/>
        <w:t xml:space="preserve">care promotion actions; </w:t>
      </w:r>
    </w:p>
    <w:p w:rsidR="00000000" w:rsidRDefault="00000000"/>
    <w:p w:rsidR="00000000" w:rsidRDefault="00000000">
      <w:r>
        <w:tab/>
        <w:t>(h)</w:t>
      </w:r>
      <w:r>
        <w:tab/>
        <w:t>Special issue of the publication targeting the Family Health</w:t>
      </w:r>
      <w:r>
        <w:noBreakHyphen/>
        <w:t xml:space="preserve">Care Teams, covering health care for the elderly; </w:t>
      </w:r>
    </w:p>
    <w:p w:rsidR="00000000" w:rsidRDefault="00000000"/>
    <w:p w:rsidR="00000000" w:rsidRDefault="00000000">
      <w:r>
        <w:tab/>
        <w:t xml:space="preserve">(i) </w:t>
      </w:r>
      <w:r>
        <w:tab/>
        <w:t xml:space="preserve">Video of the </w:t>
      </w:r>
      <w:r>
        <w:rPr>
          <w:u w:val="single"/>
        </w:rPr>
        <w:t>Viva Legal</w:t>
      </w:r>
      <w:r>
        <w:t xml:space="preserve"> programme giving information on health care for the elderly, targeting the elderly, their families and the community, aired on TV on the Future channel;</w:t>
      </w:r>
    </w:p>
    <w:p w:rsidR="00000000" w:rsidRDefault="00000000"/>
    <w:p w:rsidR="00000000" w:rsidRDefault="00000000">
      <w:r>
        <w:tab/>
        <w:t>(j)</w:t>
      </w:r>
      <w:r>
        <w:tab/>
        <w:t>A three</w:t>
      </w:r>
      <w:r>
        <w:noBreakHyphen/>
        <w:t>minute video included in the “</w:t>
      </w:r>
      <w:r>
        <w:rPr>
          <w:u w:val="single"/>
        </w:rPr>
        <w:t>Pergunte ao Doutor</w:t>
      </w:r>
      <w:r>
        <w:t>” (Ask the Doctor) series on nutrition, physical exercise and ageing, aired on educational television channels throughout Brazil;</w:t>
      </w:r>
    </w:p>
    <w:p w:rsidR="00000000" w:rsidRDefault="00000000"/>
    <w:p w:rsidR="00000000" w:rsidRDefault="00000000">
      <w:r>
        <w:tab/>
        <w:t>(k)</w:t>
      </w:r>
      <w:r>
        <w:tab/>
        <w:t>A three</w:t>
      </w:r>
      <w:r>
        <w:noBreakHyphen/>
        <w:t>minute video included in the “</w:t>
      </w:r>
      <w:r>
        <w:rPr>
          <w:u w:val="single"/>
        </w:rPr>
        <w:t>Pergunte ao Doutor</w:t>
      </w:r>
      <w:r>
        <w:t>” (Ask the Doctor) series on preserving and upgrading cognitive functions and memory, aired on educational television channels throughout Brazil;</w:t>
      </w:r>
    </w:p>
    <w:p w:rsidR="00000000" w:rsidRDefault="00000000"/>
    <w:p w:rsidR="00000000" w:rsidRDefault="00000000">
      <w:r>
        <w:tab/>
        <w:t>(l)</w:t>
      </w:r>
      <w:r>
        <w:tab/>
        <w:t>A leaflet entitled “</w:t>
      </w:r>
      <w:r>
        <w:rPr>
          <w:u w:val="single"/>
        </w:rPr>
        <w:t>Viva mais e melhor</w:t>
      </w:r>
      <w:r>
        <w:t>” (Live Longer and Better) distributed to the elderly who were vaccinated, with a total of 8,450,000 leaflets produced;</w:t>
      </w:r>
    </w:p>
    <w:p w:rsidR="00000000" w:rsidRDefault="00000000"/>
    <w:p w:rsidR="00000000" w:rsidRDefault="00000000">
      <w:r>
        <w:tab/>
        <w:t>(m)</w:t>
      </w:r>
      <w:r>
        <w:tab/>
        <w:t>Use of the vaccination campaign promotional video targeting the elderly, stressing the need to stay active.</w:t>
      </w:r>
    </w:p>
    <w:p w:rsidR="00000000" w:rsidRDefault="00000000"/>
    <w:p w:rsidR="00000000" w:rsidRDefault="00000000">
      <w:pPr>
        <w:pStyle w:val="ParaNo"/>
        <w:tabs>
          <w:tab w:val="clear" w:pos="360"/>
          <w:tab w:val="clear" w:pos="737"/>
        </w:tabs>
        <w:rPr>
          <w:lang w:val="en-GB"/>
        </w:rPr>
      </w:pPr>
      <w:r>
        <w:rPr>
          <w:lang w:val="en-GB"/>
        </w:rPr>
        <w:t>In terms of upgrading environmental hygiene and health, the Brazilian Government highlights the following measures that have been adopted.</w:t>
      </w:r>
    </w:p>
    <w:p w:rsidR="00000000" w:rsidRDefault="00000000"/>
    <w:p w:rsidR="00000000" w:rsidRDefault="00000000">
      <w:pPr>
        <w:pStyle w:val="ParaNo"/>
        <w:tabs>
          <w:tab w:val="clear" w:pos="360"/>
          <w:tab w:val="clear" w:pos="737"/>
        </w:tabs>
        <w:rPr>
          <w:lang w:val="en-GB"/>
        </w:rPr>
      </w:pPr>
      <w:r>
        <w:rPr>
          <w:lang w:val="en-GB"/>
        </w:rPr>
        <w:t>Oversight and control.  In Brazil, environmental protection tends to follow the traditional path of punishment and control.  Only very limited results have been achieved, as the oversight agencies are poorly equipped and lack the human resources required to prevent or mitigate the negative effects of anthropic activities on the environment.  In terms of supervision and control of ports, airports, national borders, customs stations and terminals, environmental control activities are implemented in terms of solid and liquid wastes and garbage controls, as well as climatization and toxic and hazardous loads.  The private sector is beginning to implement corporate environmental practices, within a competitive environmental approach prompted by international trade.</w:t>
      </w:r>
    </w:p>
    <w:p w:rsidR="00000000" w:rsidRDefault="00000000">
      <w:r>
        <w:t xml:space="preserve"> </w:t>
      </w:r>
    </w:p>
    <w:p w:rsidR="00000000" w:rsidRDefault="00000000">
      <w:pPr>
        <w:pStyle w:val="ParaNo"/>
        <w:tabs>
          <w:tab w:val="clear" w:pos="360"/>
          <w:tab w:val="clear" w:pos="737"/>
        </w:tabs>
        <w:rPr>
          <w:lang w:val="en-GB"/>
        </w:rPr>
      </w:pPr>
      <w:r>
        <w:rPr>
          <w:lang w:val="en-GB"/>
        </w:rPr>
        <w:t xml:space="preserve">Key measures are:  </w:t>
      </w:r>
    </w:p>
    <w:p w:rsidR="00000000" w:rsidRDefault="00000000"/>
    <w:p w:rsidR="00000000" w:rsidRDefault="00000000">
      <w:r>
        <w:tab/>
        <w:t>(a)</w:t>
      </w:r>
      <w:r>
        <w:tab/>
        <w:t xml:space="preserve">The Environmental Crimes Act, regulated through Decree 3179 dated 21 September 1999, which stipulates administrative sanctions </w:t>
      </w:r>
      <w:r>
        <w:noBreakHyphen/>
        <w:t xml:space="preserve"> including fines of up to Cr$ 50 million and a ban on polluting activities </w:t>
      </w:r>
      <w:r>
        <w:noBreakHyphen/>
        <w:t xml:space="preserve"> as well as prison for more severe crimes.  It is believed that the high values of these fines may well curtail initiatives that damage the environment;</w:t>
      </w:r>
    </w:p>
    <w:p w:rsidR="00000000" w:rsidRDefault="00000000"/>
    <w:p w:rsidR="00000000" w:rsidRDefault="00000000">
      <w:r>
        <w:tab/>
        <w:t>(b)</w:t>
      </w:r>
      <w:r>
        <w:tab/>
        <w:t>Draft Law 255/98, which makes provision for the introduction of a National Water Resources System, including a fee</w:t>
      </w:r>
      <w:r>
        <w:noBreakHyphen/>
        <w:t>charging system for the use of water (not yet approved), has been providing guidance and motivation for drawing up Water Resource Master Plans for river basins of different sizes, to be managed by intermunicipal interstate water resources consortia;</w:t>
      </w:r>
    </w:p>
    <w:p w:rsidR="00000000" w:rsidRDefault="00000000"/>
    <w:p w:rsidR="00000000" w:rsidRDefault="00000000">
      <w:r>
        <w:tab/>
        <w:t>(c)</w:t>
      </w:r>
      <w:r>
        <w:tab/>
        <w:t>Strengthening of Brazil’s National Public Health Laboratories System through the VIGISUS Project/Ministry of Health, in order to provide back</w:t>
      </w:r>
      <w:r>
        <w:noBreakHyphen/>
        <w:t>up for epidemiological surveillance activities, as well as sanitary surveillance.  The National Sanitary Surveillance Agency exercises laboratory controls over imported products in order to eliminate the sanitary risks of products that are not suitable for consumption and guarantee the quality of the products and services rendered to the population.  The VIGISUS project also includes the development of methodologies for environmental surveillance, focused on a participatory approach involving communities exposed to environmental pollution.</w:t>
      </w:r>
    </w:p>
    <w:p w:rsidR="00000000" w:rsidRDefault="00000000"/>
    <w:p w:rsidR="00000000" w:rsidRDefault="00000000">
      <w:pPr>
        <w:pStyle w:val="ParaNo"/>
        <w:tabs>
          <w:tab w:val="clear" w:pos="360"/>
          <w:tab w:val="clear" w:pos="737"/>
        </w:tabs>
        <w:rPr>
          <w:lang w:val="en-GB"/>
        </w:rPr>
      </w:pPr>
      <w:r>
        <w:rPr>
          <w:lang w:val="en-GB"/>
        </w:rPr>
        <w:t>At the regional level, as well as the South American and southern hemisphere levels, it should be stressed that Brazil is a signatory at the MERCOSUR level to the Protocol Additional to the Treaty of Asuncíon on the Environment, which stipulates the harmonization of environmental laws, increased regional cooperation, an exchange of information, and the promotion of policies preventing environmental degradation, in parallel to the harmonization of standards in terms of licensing and assessment of environmental impacts.  Under subworking group 11 on health, topics are being discussed such as sanitary controls for means of transportation, import/export of products with assessment of public health risks, travellers and establishments rendering services and providing goods; information systems among the States parties and the harmonization of oversight procedures among them; as well as regulations for the sanitary management of solid wastes, garbage and wastewater at ports, airports and border stations, in order to comply with the Basel Convention on transborder shipment of hazardous wastes.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On this point, the Brazilian Government mentions the actions that have been implemented in order to upgrade sanitation standards in communities whose health</w:t>
      </w:r>
      <w:r>
        <w:rPr>
          <w:lang w:val="en-GB"/>
        </w:rPr>
        <w:noBreakHyphen/>
        <w:t>care indicators denote the presence of diseases caused by non</w:t>
      </w:r>
      <w:r>
        <w:rPr>
          <w:lang w:val="en-GB"/>
        </w:rPr>
        <w:noBreakHyphen/>
        <w:t xml:space="preserve">existent or inadequate sanitation facilities.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National Health Foundation under the Ministry of Health provides technical and/or financial support for the implementation of sanitation activities in the municipal districts based on epidemiological and environmental health criteria targeting the promotion of health care and the prevention and control of diseases and illnesses, particularly reductions in the infant mortality rates.  Working closely with government entities and agencies, it provides consulting services and technical and/or financial assistance for implementation sanitation actions.</w:t>
      </w:r>
    </w:p>
    <w:p w:rsidR="00000000" w:rsidRDefault="00000000"/>
    <w:p w:rsidR="00000000" w:rsidRDefault="00000000">
      <w:pPr>
        <w:pStyle w:val="ParaNo"/>
        <w:tabs>
          <w:tab w:val="clear" w:pos="360"/>
          <w:tab w:val="clear" w:pos="737"/>
        </w:tabs>
        <w:rPr>
          <w:lang w:val="en-GB"/>
        </w:rPr>
      </w:pPr>
      <w:r>
        <w:rPr>
          <w:lang w:val="en-GB"/>
        </w:rPr>
        <w:t>From 1995 through 1999, the National Health Foundation (FUNASA) invested Cr$ 890,640,000 in sanitation in Brazil, benefiting 11,430,000 inhabitants in 3,500 municipal districts, 80 per cent of them with a population of less than 30,000.  In all, 7,523 projects were implemented.</w:t>
      </w:r>
    </w:p>
    <w:p w:rsidR="00000000" w:rsidRDefault="00000000"/>
    <w:p w:rsidR="00000000" w:rsidRDefault="00000000">
      <w:pPr>
        <w:pStyle w:val="ParaNo"/>
        <w:tabs>
          <w:tab w:val="clear" w:pos="360"/>
          <w:tab w:val="clear" w:pos="737"/>
        </w:tabs>
        <w:rPr>
          <w:lang w:val="en-GB"/>
        </w:rPr>
      </w:pPr>
      <w:r>
        <w:rPr>
          <w:lang w:val="en-GB"/>
        </w:rPr>
        <w:t>Listed below are some examples of the effects of sanitation activities on health:</w:t>
      </w:r>
    </w:p>
    <w:p w:rsidR="00000000" w:rsidRDefault="00000000"/>
    <w:p w:rsidR="00000000" w:rsidRDefault="00000000">
      <w:r>
        <w:tab/>
        <w:t>(a)</w:t>
      </w:r>
      <w:r>
        <w:tab/>
        <w:t>Good quality water for human consumption with ongoing supplies guarantee reduction and control of diarrhoeas, cholera, dengue, yellow fever, trachoma, hepatitis, conjunctivitis, poliomyelitis, scabies, leptospirosis, typhoid fever, schistosomosis and other diseases caused by worms;</w:t>
      </w:r>
    </w:p>
    <w:p w:rsidR="00000000" w:rsidRDefault="00000000"/>
    <w:p w:rsidR="00000000" w:rsidRDefault="00000000">
      <w:r>
        <w:tab/>
        <w:t>(b)</w:t>
      </w:r>
      <w:r>
        <w:tab/>
        <w:t>Regular collection, processing and permanent disposal of garbage reduces the number of cases of plague, yellow fever, dengue, toxoplasmosis, leishmaniasis, cysticercosis, salmonellosis, teniasis, leptospirosis, cholera and typhoid fever;</w:t>
      </w:r>
    </w:p>
    <w:p w:rsidR="00000000" w:rsidRDefault="00000000"/>
    <w:p w:rsidR="00000000" w:rsidRDefault="00000000">
      <w:r>
        <w:tab/>
        <w:t>(c)</w:t>
      </w:r>
      <w:r>
        <w:tab/>
        <w:t>Drainage helps eliminate, reduce or modify the breeding sites of vectors carrying malaria, reducing its prevalence and incidence levels;</w:t>
      </w:r>
    </w:p>
    <w:p w:rsidR="00000000" w:rsidRDefault="00000000"/>
    <w:p w:rsidR="00000000" w:rsidRDefault="00000000">
      <w:r>
        <w:tab/>
        <w:t>(d)</w:t>
      </w:r>
      <w:r>
        <w:tab/>
        <w:t>Sanitation helps reduce or eliminate diseases and sicknesses such as schistosomosis, other diseases caused by worms, diarrhoea, cholera, typhoid fever, cysticercosis, teniasis and hepatitis;</w:t>
      </w:r>
    </w:p>
    <w:p w:rsidR="00000000" w:rsidRDefault="00000000"/>
    <w:p w:rsidR="00000000" w:rsidRDefault="00000000">
      <w:r>
        <w:br w:type="page"/>
      </w:r>
      <w:r>
        <w:tab/>
        <w:t>(e)</w:t>
      </w:r>
      <w:r>
        <w:tab/>
        <w:t>Sanitary improvements in households are reflected in reductions in schistosomosis, other diseases caused by worms, scabies, trachoma and conjunctivitis, cholera, diarrhoea, typhoid fever and hepatitis;</w:t>
      </w:r>
    </w:p>
    <w:p w:rsidR="00000000" w:rsidRDefault="00000000"/>
    <w:p w:rsidR="00000000" w:rsidRDefault="00000000">
      <w:r>
        <w:tab/>
        <w:t>(f)</w:t>
      </w:r>
      <w:r>
        <w:tab/>
        <w:t>Better housing facilities ensure that homes have no gaps or splits, offering physical conditions that prevent the development of colonies of vectors carrying Chagas disease.</w:t>
      </w:r>
    </w:p>
    <w:p w:rsidR="00000000" w:rsidRDefault="00000000"/>
    <w:p w:rsidR="00000000" w:rsidRDefault="00000000">
      <w:pPr>
        <w:pStyle w:val="ParaNo"/>
        <w:tabs>
          <w:tab w:val="clear" w:pos="360"/>
          <w:tab w:val="clear" w:pos="737"/>
        </w:tabs>
        <w:rPr>
          <w:lang w:val="en-GB"/>
        </w:rPr>
      </w:pPr>
      <w:r>
        <w:rPr>
          <w:lang w:val="en-GB"/>
        </w:rPr>
        <w:t>As mentioned earlier, measures related to malaria control are covered by the Malaria Control Actions Step</w:t>
      </w:r>
      <w:r>
        <w:rPr>
          <w:lang w:val="en-GB"/>
        </w:rPr>
        <w:noBreakHyphen/>
        <w:t>Up Plan for Legal Amazonia (</w:t>
      </w:r>
      <w:r>
        <w:rPr>
          <w:u w:val="single"/>
          <w:lang w:val="en-GB"/>
        </w:rPr>
        <w:t>Plano de Intensificação das Ações de Controle da Malaria na Amazônia Legal</w:t>
      </w:r>
      <w:r>
        <w:rPr>
          <w:lang w:val="en-GB"/>
        </w:rPr>
        <w:t>).  Its objective is to expand malaria control activities throughout the Amazon region, reducing its morbidity and mortality rates to sustainable control levels and avoiding the appearance of location</w:t>
      </w:r>
      <w:r>
        <w:rPr>
          <w:lang w:val="en-GB"/>
        </w:rPr>
        <w:noBreakHyphen/>
        <w:t>specific epidemics, with less severe attacks and a consequent shrinkage in the hospitalization and death rates.  This plan will be introduced in 254 municipal districts in Legal Amazonia in order to provide support for structuring local health</w:t>
      </w:r>
      <w:r>
        <w:rPr>
          <w:lang w:val="en-GB"/>
        </w:rPr>
        <w:noBreakHyphen/>
        <w:t>care systems, under a political commitment among all three spheres of government, building up their capacity to coordinate and implement the actions required under the Malaria Control Programme, thereby strengthening the decentralization process and ensuring its sustainability.</w:t>
      </w:r>
    </w:p>
    <w:p w:rsidR="00000000" w:rsidRDefault="00000000"/>
    <w:p w:rsidR="00000000" w:rsidRDefault="00000000">
      <w:pPr>
        <w:pStyle w:val="ParaNo"/>
        <w:tabs>
          <w:tab w:val="clear" w:pos="360"/>
          <w:tab w:val="clear" w:pos="737"/>
        </w:tabs>
        <w:rPr>
          <w:lang w:val="en-GB"/>
        </w:rPr>
      </w:pPr>
      <w:r>
        <w:rPr>
          <w:lang w:val="en-GB"/>
        </w:rPr>
        <w:t>The introduction of these activities into the schedules of the Family Health</w:t>
      </w:r>
      <w:r>
        <w:rPr>
          <w:lang w:val="en-GB"/>
        </w:rPr>
        <w:noBreakHyphen/>
        <w:t>Care Programme and the Community Health</w:t>
      </w:r>
      <w:r>
        <w:rPr>
          <w:lang w:val="en-GB"/>
        </w:rPr>
        <w:noBreakHyphen/>
        <w:t>Care Agents Programme, is also expected to fine</w:t>
      </w:r>
      <w:r>
        <w:rPr>
          <w:lang w:val="en-GB"/>
        </w:rPr>
        <w:noBreakHyphen/>
        <w:t>tune the basic health</w:t>
      </w:r>
      <w:r>
        <w:rPr>
          <w:lang w:val="en-GB"/>
        </w:rPr>
        <w:noBreakHyphen/>
        <w:t>care activities undertaken by municipal districts in the Amazon region, where malaria disease is the primary cause of morbidity.  Due to its high incidence rates, malaria has become a severe problem in the indigenous areas of Amazonia, where the vast majority of the population living in municipal districts is rated as high risk.  Consequently, this plan makes provision for actions implemented in close contact with the Indigenous Sanitary Districts (</w:t>
      </w:r>
      <w:r>
        <w:rPr>
          <w:u w:val="single"/>
          <w:lang w:val="en-GB"/>
        </w:rPr>
        <w:t>Distritos Sanitários Indígenas</w:t>
      </w:r>
      <w:r>
        <w:rPr>
          <w:lang w:val="en-GB"/>
        </w:rPr>
        <w:t>) which assures better</w:t>
      </w:r>
      <w:r>
        <w:rPr>
          <w:lang w:val="en-GB"/>
        </w:rPr>
        <w:noBreakHyphen/>
        <w:t xml:space="preserve">coordinated local actions with more immediate effects on this endemic disease.  The plan also works closely with the Public Health Engineering Department (DENSP </w:t>
      </w:r>
      <w:r>
        <w:rPr>
          <w:lang w:val="en-GB"/>
        </w:rPr>
        <w:noBreakHyphen/>
        <w:t xml:space="preserve"> </w:t>
      </w:r>
      <w:r>
        <w:rPr>
          <w:u w:val="single"/>
          <w:lang w:val="en-GB"/>
        </w:rPr>
        <w:t>Departamento de Engenharia de Saúde Pública</w:t>
      </w:r>
      <w:r>
        <w:rPr>
          <w:lang w:val="en-GB"/>
        </w:rPr>
        <w:t xml:space="preserve">) of FUNASA, due to its ability to network with other peer sectors as well as its technical capacity to provide support for states and municipal districts using epidemiological criteria to select the areas and measures to be implemented.  </w:t>
      </w:r>
    </w:p>
    <w:p w:rsidR="00000000" w:rsidRDefault="00000000"/>
    <w:p w:rsidR="00000000" w:rsidRDefault="00000000">
      <w:pPr>
        <w:pStyle w:val="ParaNo"/>
        <w:tabs>
          <w:tab w:val="clear" w:pos="360"/>
          <w:tab w:val="clear" w:pos="737"/>
        </w:tabs>
        <w:rPr>
          <w:lang w:val="en-GB"/>
        </w:rPr>
      </w:pPr>
      <w:r>
        <w:rPr>
          <w:lang w:val="en-GB"/>
        </w:rPr>
        <w:t>This plan also makes provision for the use of selective vector control strategies that should deploy preselected measures, including spraying with insecticide, environmental sanitation projects and others.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It is also expected to forge ahead with the strategy of extending the diagnosis and treatment network, in order to achieve steady shrinkage in the time between taking the blood sample and its diagnostic examination in order to adopt appropriate, prompt treatment.  In parallel, the maintenance and expansion of the training programme for physicians and paramedical workers treating patients with severe malaria is another important measure to be adopted as a way of avoiding hospitalization and lowering the mortality rates.</w:t>
      </w:r>
    </w:p>
    <w:p w:rsidR="00000000" w:rsidRDefault="00000000"/>
    <w:p w:rsidR="00000000" w:rsidRDefault="00000000">
      <w:pPr>
        <w:pStyle w:val="ParaNo"/>
        <w:tabs>
          <w:tab w:val="clear" w:pos="360"/>
          <w:tab w:val="clear" w:pos="737"/>
        </w:tabs>
        <w:rPr>
          <w:lang w:val="en-GB"/>
        </w:rPr>
      </w:pPr>
      <w:r>
        <w:rPr>
          <w:lang w:val="en-GB"/>
        </w:rPr>
        <w:br w:type="page"/>
        <w:t xml:space="preserve">Upgrading and strengthening the implementation of the Malaria Information System (SISMAL </w:t>
      </w:r>
      <w:r>
        <w:rPr>
          <w:lang w:val="en-GB"/>
        </w:rPr>
        <w:noBreakHyphen/>
        <w:t xml:space="preserve"> </w:t>
      </w:r>
      <w:r>
        <w:rPr>
          <w:u w:val="single"/>
          <w:lang w:val="en-GB"/>
        </w:rPr>
        <w:t>Sistema de Informação em Malaria</w:t>
      </w:r>
      <w:r>
        <w:rPr>
          <w:lang w:val="en-GB"/>
        </w:rPr>
        <w:t>) is another important decision to be implemented.  A good data system is vitally important for the success of control activities.  Through fast, high</w:t>
      </w:r>
      <w:r>
        <w:rPr>
          <w:lang w:val="en-GB"/>
        </w:rPr>
        <w:noBreakHyphen/>
        <w:t>grade information, the plan managers will be able to take decisions that will reduce the occurrence of this endemic disease.  The Malaria Information System (SISMAL) is today a powerful tool that partially responds to the managerial and operating requirements of the Malaria Control Programme.  However, once reformulated and modernized, its performance will certainly improve, providing support for these activities.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Based on the initiatives implemented under this plan, the proposed development of a surveillance and monitoring system called the Geographical Information System (SIG </w:t>
      </w:r>
      <w:r>
        <w:rPr>
          <w:lang w:val="en-GB"/>
        </w:rPr>
        <w:noBreakHyphen/>
        <w:t xml:space="preserve"> </w:t>
      </w:r>
      <w:r>
        <w:rPr>
          <w:u w:val="single"/>
          <w:lang w:val="en-GB"/>
        </w:rPr>
        <w:t>Sistema de Informação Geográfica</w:t>
      </w:r>
      <w:r>
        <w:rPr>
          <w:lang w:val="en-GB"/>
        </w:rPr>
        <w:t>) is expected to take place, in cooperation with PAHO, as well as in partnership with other institutions providing support for the Integrated Malaria Control Programme.  This system includes the possibility of electronic mapping and charting that will arrange the information into various components (epidemiological, environmental, operational, social and economic) in addition to underpinning the multi</w:t>
      </w:r>
      <w:r>
        <w:rPr>
          <w:lang w:val="en-GB"/>
        </w:rPr>
        <w:noBreakHyphen/>
        <w:t>cause analyses explaining the occurrence of malaria.  The Malaria Geographical Information System will allow rapid, easy observation of factors predicting the occurrence of malaria, particularly in the Amazon region, while also assuring effective monitoring of control measures.  It is important that these systems should be able to provide feedback for the malaria prediction, monitoring and control activities at all levels of government.</w:t>
      </w:r>
    </w:p>
    <w:p w:rsidR="00000000" w:rsidRDefault="00000000"/>
    <w:p w:rsidR="00000000" w:rsidRDefault="00000000">
      <w:pPr>
        <w:pStyle w:val="ParaNo"/>
        <w:tabs>
          <w:tab w:val="clear" w:pos="360"/>
          <w:tab w:val="clear" w:pos="737"/>
        </w:tabs>
        <w:rPr>
          <w:lang w:val="en-GB"/>
        </w:rPr>
      </w:pPr>
      <w:r>
        <w:rPr>
          <w:lang w:val="en-GB"/>
        </w:rPr>
        <w:t>Other measures for controlling communicable diseases include:</w:t>
      </w:r>
    </w:p>
    <w:p w:rsidR="00000000" w:rsidRDefault="00000000">
      <w:pPr>
        <w:pStyle w:val="ParaNo"/>
        <w:numPr>
          <w:ilvl w:val="0"/>
          <w:numId w:val="0"/>
        </w:numPr>
        <w:tabs>
          <w:tab w:val="clear" w:pos="737"/>
        </w:tabs>
        <w:rPr>
          <w:lang w:val="en-GB"/>
        </w:rPr>
      </w:pPr>
    </w:p>
    <w:p w:rsidR="00000000" w:rsidRDefault="00000000">
      <w:r>
        <w:tab/>
        <w:t>(a)</w:t>
      </w:r>
      <w:r>
        <w:tab/>
        <w:t>Emergency Plan for the Eradication of Measles in Brazil by year</w:t>
      </w:r>
      <w:r>
        <w:noBreakHyphen/>
        <w:t>end 2000;</w:t>
      </w:r>
    </w:p>
    <w:p w:rsidR="00000000" w:rsidRDefault="00000000"/>
    <w:p w:rsidR="00000000" w:rsidRDefault="00000000">
      <w:r>
        <w:tab/>
        <w:t>(b)</w:t>
      </w:r>
      <w:r>
        <w:tab/>
        <w:t>Maintenance of the eradication of poliomyelitis;</w:t>
      </w:r>
    </w:p>
    <w:p w:rsidR="00000000" w:rsidRDefault="00000000"/>
    <w:p w:rsidR="00000000" w:rsidRDefault="00000000">
      <w:r>
        <w:tab/>
        <w:t>(c)</w:t>
      </w:r>
      <w:r>
        <w:tab/>
        <w:t>Elimination of neonatal tetanus;</w:t>
      </w:r>
    </w:p>
    <w:p w:rsidR="00000000" w:rsidRDefault="00000000"/>
    <w:p w:rsidR="00000000" w:rsidRDefault="00000000">
      <w:r>
        <w:tab/>
        <w:t>(d)</w:t>
      </w:r>
      <w:r>
        <w:tab/>
        <w:t>Elimination of human rabies transmitted by household animals;</w:t>
      </w:r>
    </w:p>
    <w:p w:rsidR="00000000" w:rsidRDefault="00000000"/>
    <w:p w:rsidR="00000000" w:rsidRDefault="00000000">
      <w:r>
        <w:tab/>
        <w:t>(e)</w:t>
      </w:r>
      <w:r>
        <w:tab/>
        <w:t>Upgrading the Meningitis Epidemiological Surveillance Scheme;</w:t>
      </w:r>
    </w:p>
    <w:p w:rsidR="00000000" w:rsidRDefault="00000000"/>
    <w:p w:rsidR="00000000" w:rsidRDefault="00000000">
      <w:r>
        <w:tab/>
        <w:t>(f)</w:t>
      </w:r>
      <w:r>
        <w:tab/>
        <w:t>Cholera control;</w:t>
      </w:r>
    </w:p>
    <w:p w:rsidR="00000000" w:rsidRDefault="00000000"/>
    <w:p w:rsidR="00000000" w:rsidRDefault="00000000">
      <w:r>
        <w:tab/>
        <w:t>(g)</w:t>
      </w:r>
      <w:r>
        <w:tab/>
        <w:t>Introduction of the epidemiological surveillance scheme for diseases transmitted by food;</w:t>
      </w:r>
    </w:p>
    <w:p w:rsidR="00000000" w:rsidRDefault="00000000"/>
    <w:p w:rsidR="00000000" w:rsidRDefault="00000000">
      <w:r>
        <w:tab/>
        <w:t>(h)</w:t>
      </w:r>
      <w:r>
        <w:tab/>
        <w:t xml:space="preserve">Introduction of a vaccine against type B </w:t>
      </w:r>
      <w:r>
        <w:rPr>
          <w:u w:val="single"/>
        </w:rPr>
        <w:t>Haemophilus influenzae</w:t>
      </w:r>
      <w:r>
        <w:t xml:space="preserve">; </w:t>
      </w:r>
    </w:p>
    <w:p w:rsidR="00000000" w:rsidRDefault="00000000"/>
    <w:p w:rsidR="00000000" w:rsidRDefault="00000000">
      <w:r>
        <w:tab/>
        <w:t>(i)</w:t>
      </w:r>
      <w:r>
        <w:tab/>
        <w:t>Introduction of a vaccine against influenza;</w:t>
      </w:r>
    </w:p>
    <w:p w:rsidR="00000000" w:rsidRDefault="00000000"/>
    <w:p w:rsidR="00000000" w:rsidRDefault="00000000">
      <w:r>
        <w:tab/>
        <w:t>(j)</w:t>
      </w:r>
      <w:r>
        <w:tab/>
        <w:t>Even vaccine coverage in all municipal districts.</w:t>
      </w:r>
    </w:p>
    <w:p w:rsidR="00000000" w:rsidRDefault="00000000"/>
    <w:p w:rsidR="00000000" w:rsidRDefault="00000000">
      <w:pPr>
        <w:pStyle w:val="Heading3"/>
      </w:pPr>
      <w:r>
        <w:br w:type="page"/>
        <w:t>The measles situation in Brazil</w:t>
      </w:r>
    </w:p>
    <w:p w:rsidR="00000000" w:rsidRDefault="00000000"/>
    <w:p w:rsidR="00000000" w:rsidRDefault="00000000">
      <w:pPr>
        <w:pStyle w:val="ParaNo"/>
        <w:tabs>
          <w:tab w:val="clear" w:pos="360"/>
          <w:tab w:val="clear" w:pos="737"/>
        </w:tabs>
        <w:rPr>
          <w:lang w:val="en-GB"/>
        </w:rPr>
      </w:pPr>
      <w:r>
        <w:rPr>
          <w:lang w:val="en-GB"/>
        </w:rPr>
        <w:t xml:space="preserve">Until the early 1990s, measles was endemic in Brazil, with epidemics occurring every two or three years.  During this period, it was noted that among the infectious and contagious diseases that could be prevented by vaccination, measles was the disease causing the largest number of deaths due to complications, particularly in undernourished young children.  </w:t>
      </w:r>
    </w:p>
    <w:p w:rsidR="00000000" w:rsidRDefault="00000000"/>
    <w:p w:rsidR="00000000" w:rsidRDefault="00000000">
      <w:pPr>
        <w:pStyle w:val="ParaNo"/>
        <w:tabs>
          <w:tab w:val="clear" w:pos="360"/>
          <w:tab w:val="clear" w:pos="737"/>
        </w:tabs>
        <w:rPr>
          <w:lang w:val="en-GB"/>
        </w:rPr>
      </w:pPr>
      <w:r>
        <w:rPr>
          <w:lang w:val="en-GB"/>
        </w:rPr>
        <w:t>In 1992, this epidemiological situation prompted the Brazilian Government to introduce the National Measles Elimination and Control Plan (</w:t>
      </w:r>
      <w:r>
        <w:rPr>
          <w:u w:val="single"/>
          <w:lang w:val="en-GB"/>
        </w:rPr>
        <w:t>Plano Nacional de Controle e Eliminação do Sarampo</w:t>
      </w:r>
      <w:r>
        <w:rPr>
          <w:lang w:val="en-GB"/>
        </w:rPr>
        <w:t>).  The kick</w:t>
      </w:r>
      <w:r>
        <w:rPr>
          <w:lang w:val="en-GB"/>
        </w:rPr>
        <w:noBreakHyphen/>
        <w:t>off event for this plan was the National Vaccination Campaign run from 22 April through 25 May 1992, during which over 48 million children and adolescents were vaccinated, aged 9 months to 15 years of age, achieving coverage of 96 per cent.  The effects of this vaccination campaign were immediate, resulting in an 81 per cent reduction in the number of cases notified, which fell from 42,435 cases in 1991 to 7,934 in 1992.</w:t>
      </w:r>
    </w:p>
    <w:p w:rsidR="00000000" w:rsidRDefault="00000000"/>
    <w:p w:rsidR="00000000" w:rsidRDefault="00000000">
      <w:pPr>
        <w:pStyle w:val="ParaNo"/>
        <w:tabs>
          <w:tab w:val="clear" w:pos="360"/>
          <w:tab w:val="clear" w:pos="737"/>
        </w:tabs>
        <w:rPr>
          <w:lang w:val="en-GB"/>
        </w:rPr>
      </w:pPr>
      <w:r>
        <w:rPr>
          <w:lang w:val="en-GB"/>
        </w:rPr>
        <w:t>Despite all these efforts and the steady drop in the number of cases through 1996, there was a significant outbreak of measles in 1997 that extended throughout almost the entire country, with over 53,000 cases confirmed, most in the capital of São Paulo State.  The age group most heavily affected was infants under the age of 1 year, more specifically breast</w:t>
      </w:r>
      <w:r>
        <w:rPr>
          <w:lang w:val="en-GB"/>
        </w:rPr>
        <w:noBreakHyphen/>
        <w:t>fed babies under 9 months of age, who accounted for 70 per cent of the cases.  The next most severely affected group was young adults aged 20</w:t>
      </w:r>
      <w:r>
        <w:rPr>
          <w:lang w:val="en-GB"/>
        </w:rPr>
        <w:noBreakHyphen/>
        <w:t>29 years.  The reappearance of measles proved that this disease still represents a public health problem in Brazil, requiring more intensive actions under the Measles Eradication Plan.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It is important to stress that, like smallpox or poliomyelitis, measles is an eradicable disease, due to its epidemiological characteristics:  its only hosts are human beings; there is an effective vaccine; there are no sub</w:t>
      </w:r>
      <w:r>
        <w:rPr>
          <w:lang w:val="en-GB"/>
        </w:rPr>
        <w:noBreakHyphen/>
        <w:t>clinical cases; after vaccination or disease, immunity is long</w:t>
      </w:r>
      <w:r>
        <w:rPr>
          <w:lang w:val="en-GB"/>
        </w:rPr>
        <w:noBreakHyphen/>
        <w:t>lasting.  At the same time, experience has confirmed that it is quite impossible to keep measles “under control” without the appearance of cyclical outbreaks, due to the rapid build</w:t>
      </w:r>
      <w:r>
        <w:rPr>
          <w:lang w:val="en-GB"/>
        </w:rPr>
        <w:noBreakHyphen/>
        <w:t>up of susceptible victims and the high transmission rates of this virus.  The epidemiological and social effects of outbreaks of measles are widespread, which has made its eradication the subject of international commitment.</w:t>
      </w:r>
    </w:p>
    <w:p w:rsidR="00000000" w:rsidRDefault="00000000"/>
    <w:p w:rsidR="00000000" w:rsidRDefault="00000000">
      <w:pPr>
        <w:pStyle w:val="ParaNo"/>
        <w:tabs>
          <w:tab w:val="clear" w:pos="360"/>
          <w:tab w:val="clear" w:pos="737"/>
        </w:tabs>
        <w:rPr>
          <w:lang w:val="en-GB"/>
        </w:rPr>
      </w:pPr>
      <w:r>
        <w:rPr>
          <w:lang w:val="en-GB"/>
        </w:rPr>
        <w:t>The XXIV Pan</w:t>
      </w:r>
      <w:r>
        <w:rPr>
          <w:lang w:val="en-GB"/>
        </w:rPr>
        <w:noBreakHyphen/>
        <w:t>American Sanitary Conference held in Washington, D.C. in 1994 unanimously adopted the target of eliminating measles by 2000.  The following year, in 1995, at the XXXVIII Meeting of the Steering Committee of PAHO, the Ministers of Health for the countries in the Americas region unanimously approved the Action Plan for the Eradication of Measles by the year 2000.</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In 1999, in order to underpin the strategies required to consolidate this eradication target, Brazil prepared an Emergency Action Plan, setting up a National Task Force in order to implement a series of epidemiological surveillance and control actions in all 27 states of Brazil.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pPr>
      <w:r>
        <w:t>The overall objective is the eradication of the autochthonous transmission of the measles virus in Brazil by the year 2000, with the specific objectives of achieving and maintaining vaccine coverage of 95 per cent or more for infants under the age of 1 year in all municipal districts and implementing the National Epidemiological Surveillance System in order to break the measles transmission chain in Brazil.  These are challenging, long</w:t>
      </w:r>
      <w:r>
        <w:noBreakHyphen/>
        <w:t>term targets:  ensuring that 100 per cent of the municipal districts achieve and maintain measles vaccine coverage in infants under the age of 1 year at 95 per cent or more, ensuring that national follow</w:t>
      </w:r>
      <w:r>
        <w:noBreakHyphen/>
        <w:t>up measles vaccination campaigns are run on a non</w:t>
      </w:r>
      <w:r>
        <w:noBreakHyphen/>
        <w:t>discriminatory basis for children under 5 years of age, achieving a minimum coverage level of 95 per cent in all municipal districts by 2000, ensuring that at least 80 per cent of the notifying units meet the weekly notification requirement (positive/negative) in a timely manner, ensuring that at least 80 per cent of the cases notified are investigated within the first 48 hours (timely investigation), ensuring that at least 80 per cent of the cases notified take adequate serology samples (from the first to the twenty</w:t>
      </w:r>
      <w:r>
        <w:noBreakHyphen/>
        <w:t xml:space="preserve">eighth day of the rash), ensuring that at least 80 per cent of the cases notified are classified on the basis of laboratory diagnoses and epidemiological links (confirmed and discarded), ensuring that the results of the laboratory examinations are issued within seven days after the arrival of the sample of the referenced laboratory for at least 80 per cent of the cases with samples, and ensuring that at least 80 per cent of the cases notified are completed within 30 days of notification.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These strategies focus on the following aspects:  maintenance of the task force for the eradication of measles in the states; maintenance of technical and logistical support for the staff at the national level in order to ensure proper conduct of the Measles Eradication Plan; running capacity</w:t>
      </w:r>
      <w:r>
        <w:rPr>
          <w:lang w:val="en-GB"/>
        </w:rPr>
        <w:noBreakHyphen/>
        <w:t>building courses for human resources in the states and municipal districts covering surveillance of feverish measles or rubella rashes; more intensive technical supervision for the states and municipal districts; advisory technical services for high</w:t>
      </w:r>
      <w:r>
        <w:rPr>
          <w:lang w:val="en-GB"/>
        </w:rPr>
        <w:noBreakHyphen/>
        <w:t>priority states and municipal districts; more intensive searches for suspect cases; technical meetings held to assess the epidemiological surveillance system for feverish measles or rubella rashes; running a nationwide mass media campaign to publicize the Year 2000 without Measles Target for the population in general; continuous feedback of information for health</w:t>
      </w:r>
      <w:r>
        <w:rPr>
          <w:lang w:val="en-GB"/>
        </w:rPr>
        <w:noBreakHyphen/>
        <w:t>care practitioners in the various units and at the various government levels; heightening awareness among health</w:t>
      </w:r>
      <w:r>
        <w:rPr>
          <w:lang w:val="en-GB"/>
        </w:rPr>
        <w:noBreakHyphen/>
        <w:t>care practitioners in the various units and at the various government levels through the introduction of specific information channels and the dissemination of information on the Measles Eradication Plan through specialized outlets; ensuring adequate supplies of kits for carrying out serological examinations; targeting health</w:t>
      </w:r>
      <w:r>
        <w:rPr>
          <w:lang w:val="en-GB"/>
        </w:rPr>
        <w:noBreakHyphen/>
        <w:t>care education actions that are currently under way in Brazil and focused on measles towards the Year 2000 without Measles Target; more intensive routine vaccination; offer of extramural vaccination facilities; implementation of vaccine cordons for every suspect case; implementation of clean</w:t>
      </w:r>
      <w:r>
        <w:rPr>
          <w:lang w:val="en-GB"/>
        </w:rPr>
        <w:noBreakHyphen/>
        <w:t>up/vaccination operations on a house</w:t>
      </w:r>
      <w:r>
        <w:rPr>
          <w:lang w:val="en-GB"/>
        </w:rPr>
        <w:noBreakHyphen/>
        <w:t>to</w:t>
      </w:r>
      <w:r>
        <w:rPr>
          <w:lang w:val="en-GB"/>
        </w:rPr>
        <w:noBreakHyphen/>
        <w:t>house basis for every confirmed case; vaccination of high</w:t>
      </w:r>
      <w:r>
        <w:rPr>
          <w:lang w:val="en-GB"/>
        </w:rPr>
        <w:noBreakHyphen/>
        <w:t>risk groups (young adults and groups housed in institutions); establishment of the National Measles Eradication Commission.</w:t>
      </w:r>
    </w:p>
    <w:p w:rsidR="00000000" w:rsidRDefault="00000000">
      <w:pPr>
        <w:pStyle w:val="ParaNo"/>
        <w:numPr>
          <w:ilvl w:val="0"/>
          <w:numId w:val="0"/>
        </w:numPr>
        <w:tabs>
          <w:tab w:val="clear" w:pos="737"/>
        </w:tabs>
        <w:rPr>
          <w:lang w:val="en-GB"/>
        </w:rPr>
      </w:pPr>
    </w:p>
    <w:p w:rsidR="00000000" w:rsidRDefault="00000000">
      <w:pPr>
        <w:pStyle w:val="Heading3"/>
      </w:pPr>
      <w:r>
        <w:t>Ongoing eradication of poliomyelitis in Brazil</w:t>
      </w:r>
    </w:p>
    <w:p w:rsidR="00000000" w:rsidRDefault="00000000"/>
    <w:p w:rsidR="00000000" w:rsidRDefault="00000000">
      <w:pPr>
        <w:pStyle w:val="ParaNo"/>
        <w:tabs>
          <w:tab w:val="clear" w:pos="360"/>
          <w:tab w:val="clear" w:pos="737"/>
        </w:tabs>
        <w:rPr>
          <w:lang w:val="en-GB"/>
        </w:rPr>
      </w:pPr>
      <w:r>
        <w:rPr>
          <w:lang w:val="en-GB"/>
        </w:rPr>
        <w:t>The last case of poliomyelitis caused by wild polio virus was detected in Brazil in 1989.  In 1994, poliomyelitis was certified as eradicated in Brazil by PAHO/WHO.  As this disease has not yet been fully eradicated worldwide, it is necessary to maintain control activities with high vaccine coverage rates using the oral poliomyelitis vaccine, while also maintaining a sensitive epidemiological surveillance system that can detect any possible future reintroduction of this virus into Brazil.</w:t>
      </w:r>
    </w:p>
    <w:p w:rsidR="00000000" w:rsidRDefault="00000000"/>
    <w:p w:rsidR="00000000" w:rsidRDefault="00000000">
      <w:pPr>
        <w:pStyle w:val="ParaNo"/>
        <w:tabs>
          <w:tab w:val="clear" w:pos="360"/>
          <w:tab w:val="clear" w:pos="737"/>
        </w:tabs>
        <w:rPr>
          <w:lang w:val="en-GB"/>
        </w:rPr>
      </w:pPr>
      <w:r>
        <w:rPr>
          <w:lang w:val="en-GB"/>
        </w:rPr>
        <w:br w:type="page"/>
        <w:t>Brazil has managed to maintain high vaccine coverage rates through the oral poliomyelitis vaccine during both special campaigns as well as routine vaccinations, with this coverage expanding steadily.  However, since 1994, a drop has been noted in the quality indicators for epidemiological surveillance of acute flaccid paralysis.  In 1998, the notification rate for this disease reached 0.7 per cent per 100,000 inhabitants, dropping to only 0.2 per cent per 100,000 inhabitants in 1999, compared to the detection target of 1 case per 100,000 inhabitants under the age of 15 years.  The false feeling of security conferred by eradication, in parallel to pressures demanding the allocation of scarce human and material epidemiological surveillance resources in the states and municipal districts to deal with other more visible problems (outbreaks of dengue, AIDS, meningococcal disease, etc.) and the decentralization of these activities to the municipal districts without the necessary technology transfers are just some of the factors that could constitute the reasons for the failing quality of acute flaccid paralysis surveillance figures.</w:t>
      </w:r>
    </w:p>
    <w:p w:rsidR="00000000" w:rsidRDefault="00000000"/>
    <w:p w:rsidR="00000000" w:rsidRDefault="00000000">
      <w:pPr>
        <w:pStyle w:val="ParaNo"/>
        <w:tabs>
          <w:tab w:val="clear" w:pos="360"/>
          <w:tab w:val="clear" w:pos="737"/>
        </w:tabs>
        <w:rPr>
          <w:lang w:val="en-GB"/>
        </w:rPr>
      </w:pPr>
      <w:r>
        <w:rPr>
          <w:lang w:val="en-GB"/>
        </w:rPr>
        <w:t xml:space="preserve">The occurrence of a major poliomyelitis outbreak in 1999 in Angola  </w:t>
      </w:r>
      <w:r>
        <w:rPr>
          <w:lang w:val="en-GB"/>
        </w:rPr>
        <w:noBreakHyphen/>
        <w:t xml:space="preserve"> a country with close cultural and commercial contacts with Brazil </w:t>
      </w:r>
      <w:r>
        <w:rPr>
          <w:lang w:val="en-GB"/>
        </w:rPr>
        <w:noBreakHyphen/>
        <w:t xml:space="preserve"> underscores the need to maintain the acute flaccid paralysis surveillance system in order to assure the detection of any possible future reintroduction of wild polio virus into Brazil.  </w:t>
      </w:r>
    </w:p>
    <w:p w:rsidR="00000000" w:rsidRDefault="00000000"/>
    <w:p w:rsidR="00000000" w:rsidRDefault="00000000">
      <w:pPr>
        <w:pStyle w:val="ParaNo"/>
        <w:tabs>
          <w:tab w:val="clear" w:pos="360"/>
          <w:tab w:val="clear" w:pos="737"/>
        </w:tabs>
        <w:rPr>
          <w:lang w:val="en-GB"/>
        </w:rPr>
      </w:pPr>
      <w:r>
        <w:rPr>
          <w:lang w:val="en-GB"/>
        </w:rPr>
        <w:t xml:space="preserve">The general objective is to maintain poliomyelitis as eradicated in Brazil, with the following specific objectives:  ensuring the maintenance of high, even vaccine coverage rates using the oral poliomyelitis vaccine for the population under 5 years of age in all municipal districts throughout Brazil; ensuring the maintenance of the epidemiological surveillance system for acute flaccid paralysis at adequate levels of sensitivity and specificity, achieving the targets established for the quality indicators set for this system.  </w:t>
      </w:r>
    </w:p>
    <w:p w:rsidR="00000000" w:rsidRDefault="00000000"/>
    <w:p w:rsidR="00000000" w:rsidRDefault="00000000">
      <w:pPr>
        <w:pStyle w:val="ParaNo"/>
        <w:tabs>
          <w:tab w:val="clear" w:pos="360"/>
          <w:tab w:val="clear" w:pos="737"/>
        </w:tabs>
        <w:rPr>
          <w:lang w:val="en-GB"/>
        </w:rPr>
      </w:pPr>
      <w:r>
        <w:rPr>
          <w:lang w:val="en-GB"/>
        </w:rPr>
        <w:t>These targets can be described as follows:  ensuring vaccine coverage rates of over 90 per cent using the oral poliomyelitis vaccine in all municipal districts throughout Brazil (see specific project); notification rate of at least 1 case per 100,000 inhabitants under the age of 15 years for acute flaccid paralysis for every state in Brazil; at least 80 per cent of the cases of acute flaccid paralysis should be investigated within 48 hours after notification; at least 80 per cent of the cases of acute flaccid paralysis should be analysed through proper collection of two faeces samples to isolate the virus; at least 80 per cent of the notifying units should issue negative notifications on a weekly basis.</w:t>
      </w:r>
    </w:p>
    <w:p w:rsidR="00000000" w:rsidRDefault="00000000"/>
    <w:p w:rsidR="00000000" w:rsidRDefault="00000000">
      <w:pPr>
        <w:pStyle w:val="Heading3"/>
      </w:pPr>
      <w:r>
        <w:t>Efforts to eliminate neonatal tetanus</w:t>
      </w:r>
    </w:p>
    <w:p w:rsidR="00000000" w:rsidRDefault="00000000">
      <w:pPr>
        <w:pStyle w:val="Heading3"/>
      </w:pPr>
      <w:r>
        <w:t xml:space="preserve"> </w:t>
      </w:r>
    </w:p>
    <w:p w:rsidR="00000000" w:rsidRDefault="00000000">
      <w:pPr>
        <w:pStyle w:val="ParaNo"/>
        <w:tabs>
          <w:tab w:val="clear" w:pos="360"/>
          <w:tab w:val="clear" w:pos="737"/>
        </w:tabs>
        <w:rPr>
          <w:lang w:val="en-GB"/>
        </w:rPr>
      </w:pPr>
      <w:r>
        <w:rPr>
          <w:lang w:val="en-GB"/>
        </w:rPr>
        <w:t>It is not possible to eradicate neonatal tetanus as its etiological agent (</w:t>
      </w:r>
      <w:r>
        <w:rPr>
          <w:u w:val="single"/>
          <w:lang w:val="en-GB"/>
        </w:rPr>
        <w:t xml:space="preserve">Clostridium tetani </w:t>
      </w:r>
      <w:r>
        <w:rPr>
          <w:lang w:val="en-GB"/>
        </w:rPr>
        <w:t>bacteria) is widely disseminated in nature.  However, the occurrence of neonatal tetanus can be eliminated by vaccinating women of fertile age.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kern w:val="20"/>
          <w:lang w:val="en-GB"/>
        </w:rPr>
      </w:pPr>
      <w:r>
        <w:rPr>
          <w:kern w:val="20"/>
          <w:lang w:val="en-GB"/>
        </w:rPr>
        <w:t xml:space="preserve">The </w:t>
      </w:r>
      <w:r>
        <w:rPr>
          <w:lang w:val="en-GB"/>
        </w:rPr>
        <w:t>existence</w:t>
      </w:r>
      <w:r>
        <w:rPr>
          <w:kern w:val="20"/>
          <w:lang w:val="en-GB"/>
        </w:rPr>
        <w:t xml:space="preserve"> of a high</w:t>
      </w:r>
      <w:r>
        <w:rPr>
          <w:kern w:val="20"/>
          <w:lang w:val="en-GB"/>
        </w:rPr>
        <w:noBreakHyphen/>
        <w:t>efficacy, high</w:t>
      </w:r>
      <w:r>
        <w:rPr>
          <w:kern w:val="20"/>
          <w:lang w:val="en-GB"/>
        </w:rPr>
        <w:noBreakHyphen/>
        <w:t>effectiveness, low</w:t>
      </w:r>
      <w:r>
        <w:rPr>
          <w:kern w:val="20"/>
          <w:lang w:val="en-GB"/>
        </w:rPr>
        <w:noBreakHyphen/>
        <w:t>cost vaccine a key factor in neonatal tetanus control strategies.  With the appearance of large</w:t>
      </w:r>
      <w:r>
        <w:rPr>
          <w:kern w:val="20"/>
          <w:lang w:val="en-GB"/>
        </w:rPr>
        <w:noBreakHyphen/>
        <w:t>scale immunization programmes, the occurrence of neonatal tetanus has fallen steeply worldwide, with this disease limited to the underdeveloped countries.  Its occurrence is viewed as an indicator of precarious living standards and poor health</w:t>
      </w:r>
      <w:r>
        <w:rPr>
          <w:kern w:val="20"/>
          <w:lang w:val="en-GB"/>
        </w:rPr>
        <w:noBreakHyphen/>
        <w:t>care conditions.</w:t>
      </w:r>
    </w:p>
    <w:p w:rsidR="00000000" w:rsidRDefault="00000000"/>
    <w:p w:rsidR="00000000" w:rsidRDefault="00000000">
      <w:pPr>
        <w:pStyle w:val="ParaNo"/>
        <w:tabs>
          <w:tab w:val="clear" w:pos="360"/>
          <w:tab w:val="clear" w:pos="737"/>
        </w:tabs>
        <w:rPr>
          <w:kern w:val="20"/>
          <w:lang w:val="en-GB"/>
        </w:rPr>
      </w:pPr>
      <w:r>
        <w:rPr>
          <w:kern w:val="20"/>
          <w:lang w:val="en-GB"/>
        </w:rPr>
        <w:br w:type="page"/>
        <w:t xml:space="preserve">In 1989, the World Health Assembly approved a resolution proposing the elimination of neonatal tetanus </w:t>
      </w:r>
      <w:r>
        <w:rPr>
          <w:lang w:val="en-GB"/>
        </w:rPr>
        <w:t>worldwide</w:t>
      </w:r>
      <w:r>
        <w:rPr>
          <w:kern w:val="20"/>
          <w:lang w:val="en-GB"/>
        </w:rPr>
        <w:t xml:space="preserve"> by 1995.  This resolution was ratified by the Steering Committee of PAHO in 1991, and included in the four</w:t>
      </w:r>
      <w:r>
        <w:rPr>
          <w:kern w:val="20"/>
          <w:lang w:val="en-GB"/>
        </w:rPr>
        <w:noBreakHyphen/>
        <w:t>year plan prepared by Brazil’s Ministry of Health/National Health Foundation (FUNASA) to eliminate neonatal tetanus in Brazil by 1995.  The introduction of the Neonatal Tetanus Elimination Plan in Brazil began in 1992.</w:t>
      </w:r>
    </w:p>
    <w:p w:rsidR="00000000" w:rsidRDefault="00000000"/>
    <w:p w:rsidR="00000000" w:rsidRDefault="00000000">
      <w:pPr>
        <w:pStyle w:val="ParaNo"/>
        <w:tabs>
          <w:tab w:val="clear" w:pos="360"/>
          <w:tab w:val="clear" w:pos="737"/>
        </w:tabs>
        <w:rPr>
          <w:kern w:val="20"/>
          <w:lang w:val="en-GB"/>
        </w:rPr>
      </w:pPr>
      <w:r>
        <w:rPr>
          <w:kern w:val="20"/>
          <w:lang w:val="en-GB"/>
        </w:rPr>
        <w:t>Since 1983, a steady drop in the number of detected cases and the incidence of neonatal tetanus has been noted in Brazil.  This drop grew steeper after the introduction of the Elimination Plan.  Despite this reduction, Brazil was unable to achieve its target of eliminating neonatal tetanus by 1995.  Over the past four years (1996</w:t>
      </w:r>
      <w:r>
        <w:rPr>
          <w:kern w:val="20"/>
          <w:lang w:val="en-GB"/>
        </w:rPr>
        <w:noBreakHyphen/>
        <w:t>1999) the number of cases notified nationwide has remained at under 100 cases/year.  Most of the cases notified over the past five years are clustered in north and north</w:t>
      </w:r>
      <w:r>
        <w:rPr>
          <w:kern w:val="20"/>
          <w:lang w:val="en-GB"/>
        </w:rPr>
        <w:noBreakHyphen/>
        <w:t>east Brazil, with the occurrence of neonatal tetanus recorded even in some state capitals.  Despite the higher concentration of cases in these regions, sporadic occurrences are also noted in almost all parts of Brazil.</w:t>
      </w:r>
    </w:p>
    <w:p w:rsidR="00000000" w:rsidRDefault="00000000"/>
    <w:p w:rsidR="00000000" w:rsidRDefault="00000000">
      <w:pPr>
        <w:pStyle w:val="ParaNo"/>
        <w:tabs>
          <w:tab w:val="clear" w:pos="360"/>
          <w:tab w:val="clear" w:pos="737"/>
        </w:tabs>
        <w:rPr>
          <w:kern w:val="20"/>
          <w:lang w:val="en-GB"/>
        </w:rPr>
      </w:pPr>
      <w:r>
        <w:rPr>
          <w:kern w:val="20"/>
          <w:lang w:val="en-GB"/>
        </w:rPr>
        <w:t xml:space="preserve">In order to achieve its elimination target, it is necessary to vaccinate women of fertile age more intensively, while </w:t>
      </w:r>
      <w:r>
        <w:rPr>
          <w:lang w:val="en-GB"/>
        </w:rPr>
        <w:t>also</w:t>
      </w:r>
      <w:r>
        <w:rPr>
          <w:kern w:val="20"/>
          <w:lang w:val="en-GB"/>
        </w:rPr>
        <w:t xml:space="preserve"> stepping up epidemiological surveillance activities, focused particularly on states and municipal districts with low vaccine coverage rates and with no case registration (silent municipal districts), as well as those that have registered cases over the past five years (high</w:t>
      </w:r>
      <w:r>
        <w:rPr>
          <w:kern w:val="20"/>
          <w:lang w:val="en-GB"/>
        </w:rPr>
        <w:noBreakHyphen/>
        <w:t>risk municipal districts).</w:t>
      </w:r>
    </w:p>
    <w:p w:rsidR="00000000" w:rsidRDefault="00000000"/>
    <w:p w:rsidR="00000000" w:rsidRDefault="00000000">
      <w:pPr>
        <w:pStyle w:val="ParaNo"/>
        <w:tabs>
          <w:tab w:val="clear" w:pos="360"/>
          <w:tab w:val="clear" w:pos="737"/>
        </w:tabs>
        <w:rPr>
          <w:kern w:val="20"/>
          <w:lang w:val="en-GB"/>
        </w:rPr>
      </w:pPr>
      <w:r>
        <w:rPr>
          <w:kern w:val="20"/>
          <w:lang w:val="en-GB"/>
        </w:rPr>
        <w:t>The overall target of eliminating neonatal tetanus is supported by the specific objectives of extending the vaccine coverage rate of women of fertile age, stepping up epidemiological surveillance activities, assigning high priority to high</w:t>
      </w:r>
      <w:r>
        <w:rPr>
          <w:kern w:val="20"/>
          <w:lang w:val="en-GB"/>
        </w:rPr>
        <w:noBreakHyphen/>
        <w:t>risk states and silent municipal districts, wider dissemination of the Neonatal Tetanus Elimination Plan, upgrading prenatal, labour and birth conditions, as well better newborn care facilities.</w:t>
      </w:r>
    </w:p>
    <w:p w:rsidR="00000000" w:rsidRDefault="00000000"/>
    <w:p w:rsidR="00000000" w:rsidRDefault="00000000">
      <w:pPr>
        <w:pStyle w:val="ParaNo"/>
        <w:tabs>
          <w:tab w:val="clear" w:pos="360"/>
          <w:tab w:val="clear" w:pos="737"/>
        </w:tabs>
        <w:rPr>
          <w:kern w:val="20"/>
          <w:lang w:val="en-GB"/>
        </w:rPr>
      </w:pPr>
      <w:r>
        <w:rPr>
          <w:kern w:val="20"/>
          <w:lang w:val="en-GB"/>
        </w:rPr>
        <w:t>The targets include 90 per cent vaccine coverage rates for women of fertile age, capacity</w:t>
      </w:r>
      <w:r>
        <w:rPr>
          <w:kern w:val="20"/>
          <w:lang w:val="en-GB"/>
        </w:rPr>
        <w:noBreakHyphen/>
        <w:t>building for all high</w:t>
      </w:r>
      <w:r>
        <w:rPr>
          <w:kern w:val="20"/>
          <w:lang w:val="en-GB"/>
        </w:rPr>
        <w:noBreakHyphen/>
        <w:t>risk and silent municipal districts and detection of all cases of neonatal tetanus.  To achieve this, the following strategies have been confirmed:  more intensive vaccination of women of fertile age; enhanced awareness among health</w:t>
      </w:r>
      <w:r>
        <w:rPr>
          <w:kern w:val="20"/>
          <w:lang w:val="en-GB"/>
        </w:rPr>
        <w:noBreakHyphen/>
        <w:t>care practitioners and authorities of the importance of eliminating neonatal tetanus and vaccinating women of fertile age; capacity</w:t>
      </w:r>
      <w:r>
        <w:rPr>
          <w:kern w:val="20"/>
          <w:lang w:val="en-GB"/>
        </w:rPr>
        <w:noBreakHyphen/>
        <w:t xml:space="preserve">building for the </w:t>
      </w:r>
      <w:r>
        <w:rPr>
          <w:lang w:val="en-GB"/>
        </w:rPr>
        <w:t>epidemiological</w:t>
      </w:r>
      <w:r>
        <w:rPr>
          <w:kern w:val="20"/>
          <w:lang w:val="en-GB"/>
        </w:rPr>
        <w:t xml:space="preserve"> surveillance staff in states and municipalities, urging the implementation of neonatal tetanus control and surveillance activities; heightened awareness among practitioners working for the Family Health</w:t>
      </w:r>
      <w:r>
        <w:rPr>
          <w:kern w:val="20"/>
          <w:lang w:val="en-GB"/>
        </w:rPr>
        <w:noBreakHyphen/>
        <w:t>Care Programme and Community Health</w:t>
      </w:r>
      <w:r>
        <w:rPr>
          <w:kern w:val="20"/>
          <w:lang w:val="en-GB"/>
        </w:rPr>
        <w:noBreakHyphen/>
        <w:t>Care Agents Programme stressing the target of eliminating neonatal tetanus and vaccinating women of fertile age, as well as the welfare network workers, focused specifically on the 10 child</w:t>
      </w:r>
      <w:r>
        <w:rPr>
          <w:kern w:val="20"/>
          <w:lang w:val="en-GB"/>
        </w:rPr>
        <w:noBreakHyphen/>
        <w:t>friendly hospitals; disclosure through regional and local communications media of tetanus vaccination among women of fertile age during two multi</w:t>
      </w:r>
      <w:r>
        <w:rPr>
          <w:kern w:val="20"/>
          <w:lang w:val="en-GB"/>
        </w:rPr>
        <w:noBreakHyphen/>
        <w:t>vaccine campaigns, as well as routine vaccination.</w:t>
      </w:r>
    </w:p>
    <w:p w:rsidR="00000000" w:rsidRDefault="00000000"/>
    <w:p w:rsidR="00000000" w:rsidRDefault="00000000">
      <w:pPr>
        <w:pStyle w:val="Heading3"/>
      </w:pPr>
      <w:r>
        <w:t>Actions to eliminate human rabies transmitted by domestic animals</w:t>
      </w:r>
    </w:p>
    <w:p w:rsidR="00000000" w:rsidRDefault="00000000"/>
    <w:p w:rsidR="00000000" w:rsidRDefault="00000000">
      <w:pPr>
        <w:pStyle w:val="ParaNo"/>
        <w:tabs>
          <w:tab w:val="clear" w:pos="360"/>
          <w:tab w:val="clear" w:pos="737"/>
        </w:tabs>
        <w:rPr>
          <w:kern w:val="20"/>
          <w:lang w:val="en-GB"/>
        </w:rPr>
      </w:pPr>
      <w:r>
        <w:rPr>
          <w:kern w:val="20"/>
          <w:lang w:val="en-GB"/>
        </w:rPr>
        <w:t>In 1973, the National Rabies Prevention Programme (</w:t>
      </w:r>
      <w:r>
        <w:rPr>
          <w:kern w:val="20"/>
          <w:u w:val="single"/>
          <w:lang w:val="en-GB"/>
        </w:rPr>
        <w:t>Programa Nacional de Profilaxia da Raiva</w:t>
      </w:r>
      <w:r>
        <w:rPr>
          <w:kern w:val="20"/>
          <w:lang w:val="en-GB"/>
        </w:rPr>
        <w:t xml:space="preserve">) was established, designed </w:t>
      </w:r>
      <w:r>
        <w:rPr>
          <w:lang w:val="en-GB"/>
        </w:rPr>
        <w:t>to</w:t>
      </w:r>
      <w:r>
        <w:rPr>
          <w:kern w:val="20"/>
          <w:lang w:val="en-GB"/>
        </w:rPr>
        <w:t xml:space="preserve"> eliminate human rabies through controlling canine rabies, which at that time accounted for over 95 per cent of cases of this disease in humans.</w:t>
      </w:r>
    </w:p>
    <w:p w:rsidR="00000000" w:rsidRDefault="00000000"/>
    <w:p w:rsidR="00000000" w:rsidRDefault="00000000">
      <w:pPr>
        <w:pStyle w:val="ParaNo"/>
        <w:tabs>
          <w:tab w:val="clear" w:pos="360"/>
          <w:tab w:val="clear" w:pos="737"/>
        </w:tabs>
        <w:rPr>
          <w:kern w:val="20"/>
          <w:lang w:val="en-GB"/>
        </w:rPr>
      </w:pPr>
      <w:r>
        <w:rPr>
          <w:kern w:val="20"/>
          <w:lang w:val="en-GB"/>
        </w:rPr>
        <w:t>During the 1980s, Brazil recorded an average of 47 cases of human rabies a year, falling to just over 26 cases a year from 1994 through 1998.  Despite this 45 per cent reduction in the number of cases a year, in parallel to technical and scientific advances, the decentralization of activities and the supply of specific immunobiological agents, human rabies still remains a public health problem.  Dogs continue to be the main factor in transmitting rabies to human beings, accounting for 75 per cent of cases since 1986.</w:t>
      </w:r>
    </w:p>
    <w:p w:rsidR="00000000" w:rsidRDefault="00000000"/>
    <w:p w:rsidR="00000000" w:rsidRDefault="00000000">
      <w:pPr>
        <w:pStyle w:val="ParaNo"/>
        <w:tabs>
          <w:tab w:val="clear" w:pos="360"/>
          <w:tab w:val="clear" w:pos="737"/>
        </w:tabs>
        <w:rPr>
          <w:kern w:val="20"/>
          <w:lang w:val="en-GB"/>
        </w:rPr>
      </w:pPr>
      <w:r>
        <w:rPr>
          <w:kern w:val="20"/>
          <w:lang w:val="en-GB"/>
        </w:rPr>
        <w:t>Over the past two years, human rabies has been confirmed mainly in north, north</w:t>
      </w:r>
      <w:r>
        <w:rPr>
          <w:kern w:val="20"/>
          <w:lang w:val="en-GB"/>
        </w:rPr>
        <w:noBreakHyphen/>
        <w:t>east and centre</w:t>
      </w:r>
      <w:r>
        <w:rPr>
          <w:kern w:val="20"/>
          <w:lang w:val="en-GB"/>
        </w:rPr>
        <w:noBreakHyphen/>
        <w:t xml:space="preserve">west Brazil.  The continuation of </w:t>
      </w:r>
      <w:r>
        <w:rPr>
          <w:lang w:val="en-GB"/>
        </w:rPr>
        <w:t>human</w:t>
      </w:r>
      <w:r>
        <w:rPr>
          <w:kern w:val="20"/>
          <w:lang w:val="en-GB"/>
        </w:rPr>
        <w:t xml:space="preserve"> rabies transmitted by domestic animals is quite unjustified, and its elimination in many states and municipal districts confirms the feasibility of this proposal.</w:t>
      </w:r>
    </w:p>
    <w:p w:rsidR="00000000" w:rsidRDefault="00000000"/>
    <w:p w:rsidR="00000000" w:rsidRDefault="00000000">
      <w:pPr>
        <w:pStyle w:val="ParaNo"/>
        <w:tabs>
          <w:tab w:val="clear" w:pos="360"/>
          <w:tab w:val="clear" w:pos="737"/>
        </w:tabs>
        <w:rPr>
          <w:kern w:val="20"/>
          <w:lang w:val="en-GB"/>
        </w:rPr>
      </w:pPr>
      <w:r>
        <w:rPr>
          <w:kern w:val="20"/>
          <w:lang w:val="en-GB"/>
        </w:rPr>
        <w:t xml:space="preserve">Government actions have focused on the following specific objectives:  controlling rabies transmitted by domestic animals; </w:t>
      </w:r>
      <w:r>
        <w:rPr>
          <w:lang w:val="en-GB"/>
        </w:rPr>
        <w:t>providing</w:t>
      </w:r>
      <w:r>
        <w:rPr>
          <w:kern w:val="20"/>
          <w:lang w:val="en-GB"/>
        </w:rPr>
        <w:t xml:space="preserve"> prophylactic treatment for persons exposed to rabies; maintaining epidemiological surveillance activities in order to detect all suspect cases.</w:t>
      </w:r>
    </w:p>
    <w:p w:rsidR="00000000" w:rsidRDefault="00000000"/>
    <w:p w:rsidR="00000000" w:rsidRDefault="00000000">
      <w:pPr>
        <w:pStyle w:val="ParaNo"/>
        <w:tabs>
          <w:tab w:val="clear" w:pos="360"/>
          <w:tab w:val="clear" w:pos="737"/>
        </w:tabs>
        <w:rPr>
          <w:kern w:val="20"/>
          <w:lang w:val="en-GB"/>
        </w:rPr>
      </w:pPr>
      <w:r>
        <w:rPr>
          <w:kern w:val="20"/>
          <w:lang w:val="en-GB"/>
        </w:rPr>
        <w:t>The targets are to:  provide anti</w:t>
      </w:r>
      <w:r>
        <w:rPr>
          <w:kern w:val="20"/>
          <w:lang w:val="en-GB"/>
        </w:rPr>
        <w:noBreakHyphen/>
        <w:t>rabies vaccine coverage for at least 80 per cent of the estimated canine/feline population in each municipal district; provide prophylactic treatment for all persons exposed to this disease; carry out laboratory examinations of 0.2 per cent of samples of the estimated canine/feline population in each municipal district; cordon off all foci of canine and/or feline rabies; carry out laboratory diagnosis for all patients whose death is compatible in either clinical diagnostic or epidemiological terms; reduce the drop rate for anti</w:t>
      </w:r>
      <w:r>
        <w:rPr>
          <w:kern w:val="20"/>
          <w:lang w:val="en-GB"/>
        </w:rPr>
        <w:noBreakHyphen/>
        <w:t>rabies treatment of humans by at least 50 per cent compared with 1998.</w:t>
      </w:r>
    </w:p>
    <w:p w:rsidR="00000000" w:rsidRDefault="00000000"/>
    <w:p w:rsidR="00000000" w:rsidRDefault="00000000">
      <w:pPr>
        <w:pStyle w:val="ParaNo"/>
        <w:tabs>
          <w:tab w:val="clear" w:pos="360"/>
          <w:tab w:val="clear" w:pos="737"/>
        </w:tabs>
        <w:rPr>
          <w:kern w:val="20"/>
          <w:lang w:val="en-GB"/>
        </w:rPr>
      </w:pPr>
      <w:r>
        <w:rPr>
          <w:kern w:val="20"/>
          <w:lang w:val="en-GB"/>
        </w:rPr>
        <w:t>The following strategies have been established in order to achieve these targets:  implementing activities jointly with the Epidemiological Surveillance Coordination Unit (</w:t>
      </w:r>
      <w:r>
        <w:rPr>
          <w:kern w:val="20"/>
          <w:u w:val="single"/>
          <w:lang w:val="en-GB"/>
        </w:rPr>
        <w:t>Coordenação de Vigilância Epidemiológica</w:t>
      </w:r>
      <w:r>
        <w:rPr>
          <w:kern w:val="20"/>
          <w:lang w:val="en-GB"/>
        </w:rPr>
        <w:t>) and the Environmental Surveillance Coordination Unit (</w:t>
      </w:r>
      <w:r>
        <w:rPr>
          <w:kern w:val="20"/>
          <w:u w:val="single"/>
          <w:lang w:val="en-GB"/>
        </w:rPr>
        <w:t>Coordenação de Vigilância Ambiental</w:t>
      </w:r>
      <w:r>
        <w:rPr>
          <w:kern w:val="20"/>
          <w:lang w:val="en-GB"/>
        </w:rPr>
        <w:t>) of CENEPI; standardizing estimates of the canine population by state, based on the vaccine coverage rates for the last two campaigns; review of the technical standards for prophylactic anti</w:t>
      </w:r>
      <w:r>
        <w:rPr>
          <w:kern w:val="20"/>
          <w:lang w:val="en-GB"/>
        </w:rPr>
        <w:noBreakHyphen/>
        <w:t>rabies treatment in human beings; introduction of laboratory diagnosis system in Tocantins, Roraima, Amapá, Rondônia, Rio Grande do Norte, Pernambuco, Sergipe and Alagoas States; capacity</w:t>
      </w:r>
      <w:r>
        <w:rPr>
          <w:kern w:val="20"/>
          <w:lang w:val="en-GB"/>
        </w:rPr>
        <w:noBreakHyphen/>
        <w:t>training for health</w:t>
      </w:r>
      <w:r>
        <w:rPr>
          <w:kern w:val="20"/>
          <w:lang w:val="en-GB"/>
        </w:rPr>
        <w:noBreakHyphen/>
        <w:t>care practitioners in anti</w:t>
      </w:r>
      <w:r>
        <w:rPr>
          <w:kern w:val="20"/>
          <w:lang w:val="en-GB"/>
        </w:rPr>
        <w:noBreakHyphen/>
        <w:t>rabies prophylactic treatment for human beings; dissemination of prophylactic measures for treating rabies at health</w:t>
      </w:r>
      <w:r>
        <w:rPr>
          <w:kern w:val="20"/>
          <w:lang w:val="en-GB"/>
        </w:rPr>
        <w:noBreakHyphen/>
        <w:t>care units in order to care for people attacked by domestic animals; running a nationwide campaign in the mass communications media to advise the population in general of the need to keep domestic animals vaccinated against rabies as a way of achieving the targeted vaccine coverage rates, while supporting routine vaccination; urging municipal districts to disseminate the implementation of anti</w:t>
      </w:r>
      <w:r>
        <w:rPr>
          <w:kern w:val="20"/>
          <w:lang w:val="en-GB"/>
        </w:rPr>
        <w:noBreakHyphen/>
        <w:t xml:space="preserve">rabies vaccine in their routines; disclosure of information on rabies prevention and prophylaxis for the owners of domestic animals through partnerships with specialized trade and industry; carrying out a canine/feline census through the next human census undertaken by the Brazilian Institute of Geography and Statistics (IBGE - </w:t>
      </w:r>
      <w:r>
        <w:rPr>
          <w:kern w:val="20"/>
          <w:u w:val="single"/>
          <w:lang w:val="en-GB"/>
        </w:rPr>
        <w:t>Instituto Brasileiro de Geografia e Estatística</w:t>
      </w:r>
      <w:r>
        <w:rPr>
          <w:kern w:val="20"/>
          <w:lang w:val="en-GB"/>
        </w:rPr>
        <w:t>); identification through viral classification of samples in humans of rabies in the wild and the first case of animal rabies in any specific area over the past six months; phasing</w:t>
      </w:r>
      <w:r>
        <w:rPr>
          <w:kern w:val="20"/>
          <w:lang w:val="en-GB"/>
        </w:rPr>
        <w:noBreakHyphen/>
        <w:t>in of cell culture anti</w:t>
      </w:r>
      <w:r>
        <w:rPr>
          <w:kern w:val="20"/>
          <w:lang w:val="en-GB"/>
        </w:rPr>
        <w:noBreakHyphen/>
        <w:t>rabies vaccine for human beings from 2000 onwards; implementation of the information subsystem in order to chart and monitor human and animal rabies by municipal districts on a monthly basis; cordoning off foci, in parallel to animal population control and forwarding samples to laboratory; support for canine population dynamics surveys; introduction of the canine anti</w:t>
      </w:r>
      <w:r>
        <w:rPr>
          <w:kern w:val="20"/>
          <w:lang w:val="en-GB"/>
        </w:rPr>
        <w:noBreakHyphen/>
        <w:t>rabies vaccine as a routine practice in all municipal districts; running at least two vaccination campaigns a year in municipal districts reporting cases of animal rabies, supported by dissemination in local and regional communications media; strengthening the CCZ (</w:t>
      </w:r>
      <w:r>
        <w:rPr>
          <w:kern w:val="20"/>
          <w:u w:val="single"/>
          <w:lang w:val="en-GB"/>
        </w:rPr>
        <w:t>Centro de Controle de Zoonoses</w:t>
      </w:r>
      <w:r>
        <w:rPr>
          <w:kern w:val="20"/>
          <w:lang w:val="en-GB"/>
        </w:rPr>
        <w:t>) network; technical advisory and supervisory services for the states and municipal districts; organization of technical and scientific events and/or meetings.</w:t>
      </w:r>
    </w:p>
    <w:p w:rsidR="00000000" w:rsidRDefault="00000000"/>
    <w:p w:rsidR="00000000" w:rsidRDefault="00000000">
      <w:pPr>
        <w:pStyle w:val="BodyText"/>
        <w:rPr>
          <w:b/>
        </w:rPr>
      </w:pPr>
      <w:r>
        <w:rPr>
          <w:b/>
        </w:rPr>
        <w:t>Upgrading epidemiological surveillance activities for meningitis</w:t>
      </w:r>
    </w:p>
    <w:p w:rsidR="00000000" w:rsidRDefault="00000000"/>
    <w:p w:rsidR="00000000" w:rsidRDefault="00000000">
      <w:pPr>
        <w:pStyle w:val="ParaNo"/>
        <w:tabs>
          <w:tab w:val="clear" w:pos="360"/>
          <w:tab w:val="clear" w:pos="737"/>
        </w:tabs>
        <w:rPr>
          <w:kern w:val="20"/>
          <w:lang w:val="en-GB"/>
        </w:rPr>
      </w:pPr>
      <w:r>
        <w:rPr>
          <w:kern w:val="20"/>
          <w:lang w:val="en-GB"/>
        </w:rPr>
        <w:t xml:space="preserve">The term meningitis describes an anatomical, physical and pathological state that is characterized by </w:t>
      </w:r>
      <w:r>
        <w:rPr>
          <w:lang w:val="en-GB"/>
        </w:rPr>
        <w:t>inflammation</w:t>
      </w:r>
      <w:r>
        <w:rPr>
          <w:kern w:val="20"/>
          <w:lang w:val="en-GB"/>
        </w:rPr>
        <w:t xml:space="preserve"> of the meninges, the membrane surrounding the anatomical structures that constitute the central nervous system.  In clinical terms, the various types of meningitis run through a series of symptoms that can vary from oligosymptomatic situations through to severe cases that may at times lead to death.</w:t>
      </w:r>
    </w:p>
    <w:p w:rsidR="00000000" w:rsidRDefault="00000000"/>
    <w:p w:rsidR="00000000" w:rsidRDefault="00000000">
      <w:pPr>
        <w:pStyle w:val="ParaNo"/>
        <w:tabs>
          <w:tab w:val="clear" w:pos="360"/>
          <w:tab w:val="clear" w:pos="737"/>
        </w:tabs>
        <w:rPr>
          <w:kern w:val="20"/>
          <w:lang w:val="en-GB"/>
        </w:rPr>
      </w:pPr>
      <w:r>
        <w:rPr>
          <w:kern w:val="20"/>
          <w:lang w:val="en-GB"/>
        </w:rPr>
        <w:t xml:space="preserve">In etiological </w:t>
      </w:r>
      <w:r>
        <w:rPr>
          <w:lang w:val="en-GB"/>
        </w:rPr>
        <w:t>terms</w:t>
      </w:r>
      <w:r>
        <w:rPr>
          <w:kern w:val="20"/>
          <w:lang w:val="en-GB"/>
        </w:rPr>
        <w:t>, the various types of meningitis may be related to a wide variety of agents, not necessarily infectious.  For the public health and particularly the epidemiological surveillance authorities, infectious types of meningitis caused by communicable etiological agents are of much importance.</w:t>
      </w:r>
    </w:p>
    <w:p w:rsidR="00000000" w:rsidRDefault="00000000"/>
    <w:p w:rsidR="00000000" w:rsidRDefault="00000000">
      <w:pPr>
        <w:pStyle w:val="ParaNo"/>
        <w:tabs>
          <w:tab w:val="clear" w:pos="360"/>
          <w:tab w:val="clear" w:pos="737"/>
        </w:tabs>
        <w:rPr>
          <w:kern w:val="20"/>
          <w:lang w:val="en-GB"/>
        </w:rPr>
      </w:pPr>
      <w:r>
        <w:rPr>
          <w:kern w:val="20"/>
          <w:lang w:val="en-GB"/>
        </w:rPr>
        <w:t xml:space="preserve">A wide variety </w:t>
      </w:r>
      <w:r>
        <w:rPr>
          <w:lang w:val="en-GB"/>
        </w:rPr>
        <w:t>of</w:t>
      </w:r>
      <w:r>
        <w:rPr>
          <w:kern w:val="20"/>
          <w:lang w:val="en-GB"/>
        </w:rPr>
        <w:t xml:space="preserve"> infectious agents may be involved in the occurrence of meningitis:  viruses, bacteria, fungi and protozoaria.  The most important are the bacterial and viral types of meningitis, from the public health standpoint, due to the scope of their occurrence, potential for transmission, pathogenetic nature and social significance.  Outstanding among the former are meningococcal meningitis, whose epidemiological agents are the different types of </w:t>
      </w:r>
      <w:r>
        <w:rPr>
          <w:kern w:val="20"/>
          <w:u w:val="single"/>
          <w:lang w:val="en-GB"/>
        </w:rPr>
        <w:t>Neisseria meningitidis</w:t>
      </w:r>
      <w:r>
        <w:rPr>
          <w:kern w:val="20"/>
          <w:lang w:val="en-GB"/>
        </w:rPr>
        <w:t xml:space="preserve"> bacteria, as well as meningitis caused by type B </w:t>
      </w:r>
      <w:r>
        <w:rPr>
          <w:kern w:val="20"/>
          <w:u w:val="single"/>
          <w:lang w:val="en-GB"/>
        </w:rPr>
        <w:t>Haemophilus influenza</w:t>
      </w:r>
      <w:r>
        <w:rPr>
          <w:kern w:val="20"/>
          <w:lang w:val="en-GB"/>
        </w:rPr>
        <w:t>, meningitis caused by pneumococcus (</w:t>
      </w:r>
      <w:r>
        <w:rPr>
          <w:kern w:val="20"/>
          <w:u w:val="single"/>
          <w:lang w:val="en-GB"/>
        </w:rPr>
        <w:t>Streptococcus pneumoniae</w:t>
      </w:r>
      <w:r>
        <w:rPr>
          <w:kern w:val="20"/>
          <w:lang w:val="en-GB"/>
        </w:rPr>
        <w:t>) and tuberculosis meningitis (</w:t>
      </w:r>
      <w:r>
        <w:rPr>
          <w:kern w:val="20"/>
          <w:u w:val="single"/>
          <w:lang w:val="en-GB"/>
        </w:rPr>
        <w:t>Mycobacterium tuberculosis</w:t>
      </w:r>
      <w:r>
        <w:rPr>
          <w:kern w:val="20"/>
          <w:lang w:val="en-GB"/>
        </w:rPr>
        <w:t>).</w:t>
      </w:r>
    </w:p>
    <w:p w:rsidR="00000000" w:rsidRDefault="00000000"/>
    <w:p w:rsidR="00000000" w:rsidRDefault="00000000">
      <w:pPr>
        <w:pStyle w:val="ParaNo"/>
        <w:tabs>
          <w:tab w:val="clear" w:pos="360"/>
          <w:tab w:val="clear" w:pos="737"/>
        </w:tabs>
        <w:rPr>
          <w:kern w:val="20"/>
          <w:lang w:val="en-GB"/>
        </w:rPr>
      </w:pPr>
      <w:r>
        <w:rPr>
          <w:kern w:val="20"/>
          <w:lang w:val="en-GB"/>
        </w:rPr>
        <w:t>Due to its endemic/epidemic epidemiological behaviour, particularly in certain undeveloped parts of the world such as Africa and Latin America, with periodic outbreaks of large</w:t>
      </w:r>
      <w:r>
        <w:rPr>
          <w:kern w:val="20"/>
          <w:lang w:val="en-GB"/>
        </w:rPr>
        <w:noBreakHyphen/>
        <w:t>scale epidemics frequently resulting in large numbers of deaths, the meningococcal types of meningitis are highly relevant in social terms, causing panic and demands for medical and social intervention.</w:t>
      </w:r>
    </w:p>
    <w:p w:rsidR="00000000" w:rsidRDefault="00000000"/>
    <w:p w:rsidR="00000000" w:rsidRDefault="00000000">
      <w:pPr>
        <w:pStyle w:val="ParaNo"/>
        <w:tabs>
          <w:tab w:val="clear" w:pos="360"/>
          <w:tab w:val="clear" w:pos="737"/>
        </w:tabs>
        <w:rPr>
          <w:kern w:val="20"/>
          <w:lang w:val="en-GB"/>
        </w:rPr>
      </w:pPr>
      <w:r>
        <w:rPr>
          <w:kern w:val="20"/>
          <w:lang w:val="en-GB"/>
        </w:rPr>
        <w:t xml:space="preserve">Still well to the fore in the memory of Brazilian society is the massive outbreak of meningococcal meningitis </w:t>
      </w:r>
      <w:r>
        <w:rPr>
          <w:lang w:val="en-GB"/>
        </w:rPr>
        <w:t>during</w:t>
      </w:r>
      <w:r>
        <w:rPr>
          <w:kern w:val="20"/>
          <w:lang w:val="en-GB"/>
        </w:rPr>
        <w:t xml:space="preserve"> the 1970s, whose epicentre was located in São Paulo but which spread nationwide.  The inadequate manner in which the military Government of that time dealt with this issue </w:t>
      </w:r>
      <w:r>
        <w:rPr>
          <w:kern w:val="20"/>
          <w:lang w:val="en-GB"/>
        </w:rPr>
        <w:noBreakHyphen/>
        <w:t xml:space="preserve"> treating the epidemic as a “matter of national security” and preventing its disclosure for several years </w:t>
      </w:r>
      <w:r>
        <w:rPr>
          <w:kern w:val="20"/>
          <w:lang w:val="en-GB"/>
        </w:rPr>
        <w:noBreakHyphen/>
        <w:t xml:space="preserve"> increased the feeling of panic among the population, in addition to strengthening mistrust of government actions.  When it finally acknowledged the occurrence of this epidemic, the military Government implemented a measure that was to produce wide</w:t>
      </w:r>
      <w:r>
        <w:rPr>
          <w:kern w:val="20"/>
          <w:lang w:val="en-GB"/>
        </w:rPr>
        <w:noBreakHyphen/>
        <w:t>ranging effects in both epidemiological and political terms:  it organized a vast nationwide campaign to vaccinate the entire population with French anti</w:t>
      </w:r>
      <w:r>
        <w:rPr>
          <w:kern w:val="20"/>
          <w:lang w:val="en-GB"/>
        </w:rPr>
        <w:noBreakHyphen/>
        <w:t>meningococcal type A + C vaccine which until then had not been used on such a large scale and had not been proven effective.</w:t>
      </w:r>
    </w:p>
    <w:p w:rsidR="00000000" w:rsidRDefault="00000000"/>
    <w:p w:rsidR="00000000" w:rsidRDefault="00000000">
      <w:pPr>
        <w:pStyle w:val="ParaNo"/>
        <w:tabs>
          <w:tab w:val="clear" w:pos="360"/>
          <w:tab w:val="clear" w:pos="737"/>
        </w:tabs>
        <w:rPr>
          <w:kern w:val="20"/>
          <w:lang w:val="en-GB"/>
        </w:rPr>
      </w:pPr>
      <w:r>
        <w:rPr>
          <w:kern w:val="20"/>
          <w:lang w:val="en-GB"/>
        </w:rPr>
        <w:t xml:space="preserve">Possibly due to a </w:t>
      </w:r>
      <w:r>
        <w:rPr>
          <w:lang w:val="en-GB"/>
        </w:rPr>
        <w:t>blend</w:t>
      </w:r>
      <w:r>
        <w:rPr>
          <w:kern w:val="20"/>
          <w:lang w:val="en-GB"/>
        </w:rPr>
        <w:t xml:space="preserve"> of these two factors </w:t>
      </w:r>
      <w:r>
        <w:rPr>
          <w:kern w:val="20"/>
          <w:lang w:val="en-GB"/>
        </w:rPr>
        <w:noBreakHyphen/>
        <w:t xml:space="preserve"> the effect of the vaccine and the expected life</w:t>
      </w:r>
      <w:r>
        <w:rPr>
          <w:kern w:val="20"/>
          <w:lang w:val="en-GB"/>
        </w:rPr>
        <w:noBreakHyphen/>
        <w:t xml:space="preserve">span of the epidemic </w:t>
      </w:r>
      <w:r>
        <w:rPr>
          <w:kern w:val="20"/>
          <w:lang w:val="en-GB"/>
        </w:rPr>
        <w:noBreakHyphen/>
        <w:t xml:space="preserve"> as the number of peo</w:t>
      </w:r>
      <w:r>
        <w:rPr>
          <w:lang w:val="en-GB"/>
        </w:rPr>
        <w:t>ple susceptible to the disease fell, the disease was brought under control shortly after the vacc</w:t>
      </w:r>
      <w:r>
        <w:rPr>
          <w:kern w:val="20"/>
          <w:lang w:val="en-GB"/>
        </w:rPr>
        <w:t>ination campaign.  The apparent “success” of the vaccine was to have serious political and ideological consequences over the longer term in the mind of the Brazilian population, which believed that “meningitis can be fixed with vaccine”, whose repercussions are still felt today, a quarter of a century later.</w:t>
      </w:r>
    </w:p>
    <w:p w:rsidR="00000000" w:rsidRDefault="00000000"/>
    <w:p w:rsidR="00000000" w:rsidRDefault="00000000">
      <w:pPr>
        <w:pStyle w:val="ParaNo"/>
        <w:tabs>
          <w:tab w:val="clear" w:pos="360"/>
          <w:tab w:val="clear" w:pos="737"/>
        </w:tabs>
        <w:rPr>
          <w:kern w:val="20"/>
          <w:lang w:val="en-GB"/>
        </w:rPr>
      </w:pPr>
      <w:r>
        <w:rPr>
          <w:kern w:val="20"/>
          <w:lang w:val="en-GB"/>
        </w:rPr>
        <w:t xml:space="preserve">The 1980s saw the appearance of epidemics of meningococcal disease, although on a smaller scale and with a different characteristic:  this time, the main culprit was a different variant of the </w:t>
      </w:r>
      <w:r>
        <w:rPr>
          <w:kern w:val="20"/>
          <w:u w:val="single"/>
          <w:lang w:val="en-GB"/>
        </w:rPr>
        <w:t>Neisseria meningitidis</w:t>
      </w:r>
      <w:r>
        <w:rPr>
          <w:kern w:val="20"/>
          <w:lang w:val="en-GB"/>
        </w:rPr>
        <w:t xml:space="preserve"> bacteria </w:t>
      </w:r>
      <w:r>
        <w:rPr>
          <w:kern w:val="20"/>
          <w:lang w:val="en-GB"/>
        </w:rPr>
        <w:noBreakHyphen/>
        <w:t xml:space="preserve"> its B </w:t>
      </w:r>
      <w:r>
        <w:rPr>
          <w:lang w:val="en-GB"/>
        </w:rPr>
        <w:t>serum</w:t>
      </w:r>
      <w:r>
        <w:rPr>
          <w:kern w:val="20"/>
          <w:lang w:val="en-GB"/>
        </w:rPr>
        <w:t xml:space="preserve"> group, on which the existing vaccine had no immunogenic effects.</w:t>
      </w:r>
    </w:p>
    <w:p w:rsidR="00000000" w:rsidRDefault="00000000"/>
    <w:p w:rsidR="00000000" w:rsidRDefault="00000000">
      <w:pPr>
        <w:pStyle w:val="ParaNo"/>
        <w:tabs>
          <w:tab w:val="clear" w:pos="360"/>
          <w:tab w:val="clear" w:pos="737"/>
        </w:tabs>
        <w:rPr>
          <w:kern w:val="20"/>
          <w:lang w:val="en-GB"/>
        </w:rPr>
      </w:pPr>
      <w:r>
        <w:rPr>
          <w:kern w:val="20"/>
          <w:lang w:val="en-GB"/>
        </w:rPr>
        <w:t xml:space="preserve">The vaccine controversy reappeared at the end of that decade, with the development of a vaccine produced by a Cuban laboratory that was effective against type B meningococcus.  Although neither its efficacy nor </w:t>
      </w:r>
      <w:r>
        <w:rPr>
          <w:lang w:val="en-GB"/>
        </w:rPr>
        <w:t>its</w:t>
      </w:r>
      <w:r>
        <w:rPr>
          <w:kern w:val="20"/>
          <w:lang w:val="en-GB"/>
        </w:rPr>
        <w:t xml:space="preserve"> effectiveness had been proven, this product was shipped to Brazil, driven by political pressures, and was widely used from 1990 through 1997.  Its effectiveness was not proven in most of the situations in which it was used in Brazil.  Nevertheless, it is still causing controversy even today that extends beyond the borders of technology, spilling over into politics and ideology, and touching on commercial and economic interests.</w:t>
      </w:r>
    </w:p>
    <w:p w:rsidR="00000000" w:rsidRDefault="00000000"/>
    <w:p w:rsidR="00000000" w:rsidRDefault="00000000">
      <w:pPr>
        <w:pStyle w:val="ParaNo"/>
        <w:tabs>
          <w:tab w:val="clear" w:pos="360"/>
          <w:tab w:val="clear" w:pos="737"/>
        </w:tabs>
        <w:rPr>
          <w:kern w:val="20"/>
          <w:lang w:val="en-GB"/>
        </w:rPr>
      </w:pPr>
      <w:r>
        <w:rPr>
          <w:kern w:val="20"/>
          <w:lang w:val="en-GB"/>
        </w:rPr>
        <w:t xml:space="preserve">The various types of </w:t>
      </w:r>
      <w:r>
        <w:rPr>
          <w:lang w:val="en-GB"/>
        </w:rPr>
        <w:t>meningitis</w:t>
      </w:r>
      <w:r>
        <w:rPr>
          <w:kern w:val="20"/>
          <w:lang w:val="en-GB"/>
        </w:rPr>
        <w:t xml:space="preserve"> therefore constitute a complex, multifaceted problem:  these are different diseases that demand different control strategies, although they are generally viewed as a single element.</w:t>
      </w:r>
    </w:p>
    <w:p w:rsidR="00000000" w:rsidRDefault="00000000"/>
    <w:p w:rsidR="00000000" w:rsidRDefault="00000000">
      <w:pPr>
        <w:pStyle w:val="ParaNo"/>
        <w:tabs>
          <w:tab w:val="clear" w:pos="360"/>
          <w:tab w:val="clear" w:pos="737"/>
        </w:tabs>
        <w:rPr>
          <w:kern w:val="20"/>
          <w:lang w:val="en-GB"/>
        </w:rPr>
      </w:pPr>
      <w:r>
        <w:rPr>
          <w:kern w:val="20"/>
          <w:lang w:val="en-GB"/>
        </w:rPr>
        <w:t xml:space="preserve">Surveillance and control </w:t>
      </w:r>
      <w:r>
        <w:rPr>
          <w:lang w:val="en-GB"/>
        </w:rPr>
        <w:t>actions</w:t>
      </w:r>
      <w:r>
        <w:rPr>
          <w:kern w:val="20"/>
          <w:lang w:val="en-GB"/>
        </w:rPr>
        <w:t xml:space="preserve"> basically depend on the ability to reach an etiological diagnosis.  To do so, all the components in this system must function smoothly:  medical care, public health laboratories, and the surveillance and control units.</w:t>
      </w:r>
    </w:p>
    <w:p w:rsidR="00000000" w:rsidRDefault="00000000"/>
    <w:p w:rsidR="00000000" w:rsidRDefault="00000000">
      <w:pPr>
        <w:pStyle w:val="ParaNo"/>
        <w:tabs>
          <w:tab w:val="clear" w:pos="360"/>
          <w:tab w:val="clear" w:pos="737"/>
        </w:tabs>
        <w:rPr>
          <w:kern w:val="20"/>
          <w:lang w:val="en-GB"/>
        </w:rPr>
      </w:pPr>
      <w:r>
        <w:rPr>
          <w:kern w:val="20"/>
          <w:lang w:val="en-GB"/>
        </w:rPr>
        <w:t xml:space="preserve">The current situation is </w:t>
      </w:r>
      <w:r>
        <w:rPr>
          <w:lang w:val="en-GB"/>
        </w:rPr>
        <w:t>somewhat</w:t>
      </w:r>
      <w:r>
        <w:rPr>
          <w:kern w:val="20"/>
          <w:lang w:val="en-GB"/>
        </w:rPr>
        <w:t xml:space="preserve"> bleak.  Medical care is precarious, particularly in the more remote parts of inland Brazil.  Diagnoses are frequently not made because the physicians lack the capacity to carry out a spinal tap to collect fluid.  Even when lumbar puncture is possible, at times it is difficult to forward this material under proper conditions to the central laboratory.  And even if all these difficulties are overcome, at times the case notification (generally handled by the hospital networks) or the results of the examination are slow to be transmitted, curtailing the effectiveness of the control measures that could be adopted.  As a result of all these bottlenecks, most cases of bacterial meningitis in Brazil lack etiological diagnosis.  Even in the best equipped states, the proportion of cases of bacterial meningitis with etiological diagnoses reached through cultures barely tops 40 per cent.  Several states, particularly in northern Brazil, do not issue even one etiological diagnosis of meningitis in the course of an entire year.  In parallel, the demands for meningitis vaccine continues to rise, urged by mayors, town councils, legislative assemblies, and even the judiciary.</w:t>
      </w:r>
    </w:p>
    <w:p w:rsidR="00000000" w:rsidRDefault="00000000"/>
    <w:p w:rsidR="00000000" w:rsidRDefault="00000000">
      <w:pPr>
        <w:pStyle w:val="ParaNo"/>
        <w:tabs>
          <w:tab w:val="clear" w:pos="360"/>
          <w:tab w:val="clear" w:pos="737"/>
        </w:tabs>
        <w:rPr>
          <w:kern w:val="20"/>
          <w:lang w:val="en-GB"/>
        </w:rPr>
      </w:pPr>
      <w:r>
        <w:rPr>
          <w:kern w:val="20"/>
          <w:lang w:val="en-GB"/>
        </w:rPr>
        <w:t xml:space="preserve">Finally, in 1999 a vaccine was </w:t>
      </w:r>
      <w:r>
        <w:rPr>
          <w:lang w:val="en-GB"/>
        </w:rPr>
        <w:t>introduced</w:t>
      </w:r>
      <w:r>
        <w:rPr>
          <w:kern w:val="20"/>
          <w:lang w:val="en-GB"/>
        </w:rPr>
        <w:t xml:space="preserve"> against type B </w:t>
      </w:r>
      <w:r>
        <w:rPr>
          <w:kern w:val="20"/>
          <w:u w:val="single"/>
          <w:lang w:val="en-GB"/>
        </w:rPr>
        <w:t>Haemophilus influenzae</w:t>
      </w:r>
      <w:r>
        <w:rPr>
          <w:kern w:val="20"/>
          <w:lang w:val="en-GB"/>
        </w:rPr>
        <w:t xml:space="preserve"> for the basic vaccination scheme for infants under the age of one year.  It is now necessary to assess the effects of this measure on the incidence of cases of meningitis caused by this bacteria.</w:t>
      </w:r>
    </w:p>
    <w:p w:rsidR="00000000" w:rsidRDefault="00000000"/>
    <w:p w:rsidR="00000000" w:rsidRDefault="00000000">
      <w:pPr>
        <w:pStyle w:val="ParaNo"/>
        <w:tabs>
          <w:tab w:val="clear" w:pos="360"/>
          <w:tab w:val="clear" w:pos="737"/>
        </w:tabs>
        <w:rPr>
          <w:kern w:val="20"/>
          <w:lang w:val="en-GB"/>
        </w:rPr>
      </w:pPr>
      <w:r>
        <w:rPr>
          <w:kern w:val="20"/>
          <w:lang w:val="en-GB"/>
        </w:rPr>
        <w:t xml:space="preserve">The specific objectives are to:  upgrade the quality of medical care for meningitis patients; improve laboratory diagnostic </w:t>
      </w:r>
      <w:r>
        <w:rPr>
          <w:lang w:val="en-GB"/>
        </w:rPr>
        <w:t>techniques</w:t>
      </w:r>
      <w:r>
        <w:rPr>
          <w:kern w:val="20"/>
          <w:lang w:val="en-GB"/>
        </w:rPr>
        <w:t xml:space="preserve"> for meningitis; upgrade epidemiological investigation of cases of meningitis, ensuring the timely implementation of control measures; and draft a national policy on research and use of vaccine products used against </w:t>
      </w:r>
      <w:r>
        <w:rPr>
          <w:kern w:val="20"/>
          <w:u w:val="single"/>
          <w:lang w:val="en-GB"/>
        </w:rPr>
        <w:t>Neisseria meningitidis</w:t>
      </w:r>
      <w:r>
        <w:rPr>
          <w:kern w:val="20"/>
          <w:lang w:val="en-GB"/>
        </w:rPr>
        <w:t>.</w:t>
      </w:r>
    </w:p>
    <w:p w:rsidR="00000000" w:rsidRDefault="00000000"/>
    <w:p w:rsidR="00000000" w:rsidRDefault="00000000">
      <w:pPr>
        <w:pStyle w:val="ParaNo"/>
        <w:tabs>
          <w:tab w:val="clear" w:pos="360"/>
          <w:tab w:val="clear" w:pos="737"/>
        </w:tabs>
        <w:rPr>
          <w:kern w:val="20"/>
          <w:lang w:val="en-GB"/>
        </w:rPr>
      </w:pPr>
      <w:r>
        <w:rPr>
          <w:kern w:val="20"/>
          <w:lang w:val="en-GB"/>
        </w:rPr>
        <w:t xml:space="preserve">The following targets have been established:  organize joint technical advisory visits to the states involving surveillance and epidemiological actions, medical care and laboratory diagnosis; encourage the integration between the fields of </w:t>
      </w:r>
      <w:r>
        <w:rPr>
          <w:lang w:val="en-GB"/>
        </w:rPr>
        <w:t>medical</w:t>
      </w:r>
      <w:r>
        <w:rPr>
          <w:kern w:val="20"/>
          <w:lang w:val="en-GB"/>
        </w:rPr>
        <w:t xml:space="preserve"> care, epidemiological surveillance and laboratory diagnostics; increase to 80 per cent the proportion of bacterial meningitis cases diagnosed through culture; define a national policy for vaccines against </w:t>
      </w:r>
      <w:r>
        <w:rPr>
          <w:kern w:val="20"/>
          <w:u w:val="single"/>
          <w:lang w:val="en-GB"/>
        </w:rPr>
        <w:t>Neisseria meningitidis</w:t>
      </w:r>
      <w:r>
        <w:rPr>
          <w:kern w:val="20"/>
          <w:lang w:val="en-GB"/>
        </w:rPr>
        <w:t>.</w:t>
      </w:r>
    </w:p>
    <w:p w:rsidR="00000000" w:rsidRDefault="00000000"/>
    <w:p w:rsidR="00000000" w:rsidRDefault="00000000">
      <w:pPr>
        <w:pStyle w:val="ParaNo"/>
        <w:tabs>
          <w:tab w:val="clear" w:pos="360"/>
          <w:tab w:val="clear" w:pos="737"/>
        </w:tabs>
        <w:rPr>
          <w:kern w:val="20"/>
          <w:lang w:val="en-GB"/>
        </w:rPr>
      </w:pPr>
      <w:r>
        <w:rPr>
          <w:kern w:val="20"/>
          <w:lang w:val="en-GB"/>
        </w:rPr>
        <w:t xml:space="preserve">The established strategies focus on the following:  technical advisory visits to the states; reactivating the Technical Meningitis Advisory Committee; organizing the meetings of this Committee; reviewing the </w:t>
      </w:r>
      <w:r>
        <w:rPr>
          <w:lang w:val="en-GB"/>
        </w:rPr>
        <w:t>technical</w:t>
      </w:r>
      <w:r>
        <w:rPr>
          <w:kern w:val="20"/>
          <w:lang w:val="en-GB"/>
        </w:rPr>
        <w:t xml:space="preserve"> epidemiological surveillance standards for meningitis; upgrading information on the occurrence of meningitis; encouraging integration among the areas providing medical care, laboratory diagnostics and epidemiological surveillance facilities; encouraging surveys on the use of vaccines for controlling meningitis; assessing the impact of introducing the vaccine against type B </w:t>
      </w:r>
      <w:r>
        <w:rPr>
          <w:kern w:val="20"/>
          <w:u w:val="single"/>
          <w:lang w:val="en-GB"/>
        </w:rPr>
        <w:t>Haemophilus influenzae</w:t>
      </w:r>
      <w:r>
        <w:rPr>
          <w:kern w:val="20"/>
          <w:lang w:val="en-GB"/>
        </w:rPr>
        <w:t xml:space="preserve"> on the incidence of meningitis; hiring a consultant to run the databases containing the historical series on meningitis; organizing activities involving journalists in order to expand press coverage of meningitis and the demand for vaccines; reorganizing health</w:t>
      </w:r>
      <w:r>
        <w:rPr>
          <w:kern w:val="20"/>
          <w:lang w:val="en-GB"/>
        </w:rPr>
        <w:noBreakHyphen/>
        <w:t>care education actions focused on meningitis in order to clear away myths about the role of vaccines in preventing this disease, offering an overview of the complexity of and differences among the various types of meningitis.</w:t>
      </w:r>
    </w:p>
    <w:p w:rsidR="00000000" w:rsidRDefault="00000000"/>
    <w:p w:rsidR="00000000" w:rsidRDefault="00000000">
      <w:pPr>
        <w:pStyle w:val="Heading3"/>
        <w:rPr>
          <w:kern w:val="20"/>
        </w:rPr>
      </w:pPr>
      <w:r>
        <w:rPr>
          <w:kern w:val="20"/>
        </w:rPr>
        <w:t>Cholera control</w:t>
      </w:r>
    </w:p>
    <w:p w:rsidR="00000000" w:rsidRDefault="00000000"/>
    <w:p w:rsidR="00000000" w:rsidRDefault="00000000">
      <w:pPr>
        <w:pStyle w:val="ParaNo"/>
        <w:tabs>
          <w:tab w:val="clear" w:pos="360"/>
          <w:tab w:val="clear" w:pos="737"/>
        </w:tabs>
        <w:rPr>
          <w:kern w:val="20"/>
          <w:lang w:val="en-GB"/>
        </w:rPr>
      </w:pPr>
      <w:r>
        <w:rPr>
          <w:kern w:val="20"/>
          <w:lang w:val="en-GB"/>
        </w:rPr>
        <w:t>Cholera reappeared in Brazil in 1991 in the Amazon region, after it was introduced in South America through Peru.  During the three subsequent years, this disease spread to other parts of the country, particularly the north</w:t>
      </w:r>
      <w:r>
        <w:rPr>
          <w:kern w:val="20"/>
          <w:lang w:val="en-GB"/>
        </w:rPr>
        <w:noBreakHyphen/>
        <w:t>east.  This epidemic peaked in 1993 with 60,340 confirmed cases, over 90 per cent of them in the north</w:t>
      </w:r>
      <w:r>
        <w:rPr>
          <w:kern w:val="20"/>
          <w:lang w:val="en-GB"/>
        </w:rPr>
        <w:noBreakHyphen/>
        <w:t xml:space="preserve">east.  From 1995, a significant drop was noted in the number of cases detected, which were clustered solely in </w:t>
      </w:r>
      <w:r>
        <w:rPr>
          <w:lang w:val="en-GB"/>
        </w:rPr>
        <w:t>certain</w:t>
      </w:r>
      <w:r>
        <w:rPr>
          <w:kern w:val="20"/>
          <w:lang w:val="en-GB"/>
        </w:rPr>
        <w:t xml:space="preserve"> states in north</w:t>
      </w:r>
      <w:r>
        <w:rPr>
          <w:kern w:val="20"/>
          <w:lang w:val="en-GB"/>
        </w:rPr>
        <w:noBreakHyphen/>
        <w:t>east Brazil.  However, cholera reappeared in Brazil in 1999, with 4,484 cases confirmed by October.  The occurrence of two outbreaks outside the north</w:t>
      </w:r>
      <w:r>
        <w:rPr>
          <w:kern w:val="20"/>
          <w:lang w:val="en-GB"/>
        </w:rPr>
        <w:noBreakHyphen/>
        <w:t>east was also noted, one in Paranaguá, Paraná State, in April and May with 467 cases, and the other in Pedra Azul, Minas Gerais State, with 8 cases.</w:t>
      </w:r>
    </w:p>
    <w:p w:rsidR="00000000" w:rsidRDefault="00000000"/>
    <w:p w:rsidR="00000000" w:rsidRDefault="00000000">
      <w:pPr>
        <w:pStyle w:val="ParaNo"/>
        <w:tabs>
          <w:tab w:val="clear" w:pos="360"/>
          <w:tab w:val="clear" w:pos="737"/>
        </w:tabs>
        <w:rPr>
          <w:kern w:val="20"/>
          <w:lang w:val="en-GB"/>
        </w:rPr>
      </w:pPr>
      <w:r>
        <w:rPr>
          <w:kern w:val="20"/>
          <w:lang w:val="en-GB"/>
        </w:rPr>
        <w:t>Cholera became endemic in north</w:t>
      </w:r>
      <w:r>
        <w:rPr>
          <w:kern w:val="20"/>
          <w:lang w:val="en-GB"/>
        </w:rPr>
        <w:noBreakHyphen/>
        <w:t xml:space="preserve">east Brazil due to the precarious living conditions of much of its population.  The possible </w:t>
      </w:r>
      <w:r>
        <w:rPr>
          <w:lang w:val="en-GB"/>
        </w:rPr>
        <w:t>reasons</w:t>
      </w:r>
      <w:r>
        <w:rPr>
          <w:kern w:val="20"/>
          <w:lang w:val="en-GB"/>
        </w:rPr>
        <w:t xml:space="preserve"> for the reappearance of this disease may well include the drought that hampers access to decent</w:t>
      </w:r>
      <w:r>
        <w:rPr>
          <w:kern w:val="20"/>
          <w:lang w:val="en-GB"/>
        </w:rPr>
        <w:noBreakHyphen/>
        <w:t>quality drinking water, as well as the build</w:t>
      </w:r>
      <w:r>
        <w:rPr>
          <w:kern w:val="20"/>
          <w:lang w:val="en-GB"/>
        </w:rPr>
        <w:noBreakHyphen/>
        <w:t>up of the population susceptible to this disease, due to the reduction in immunity conferred by earlier epidemics.  The outbreak in Paranaguá was explosive but was brought rapidly under control, as it did not spread to other nearby municipal districts and was possibly related to the consumption of raw seafood.  The outbreak at Pedra Azul was minor.</w:t>
      </w:r>
    </w:p>
    <w:p w:rsidR="00000000" w:rsidRDefault="00000000"/>
    <w:p w:rsidR="00000000" w:rsidRDefault="00000000">
      <w:pPr>
        <w:pStyle w:val="ParaNo"/>
        <w:tabs>
          <w:tab w:val="clear" w:pos="360"/>
          <w:tab w:val="clear" w:pos="737"/>
        </w:tabs>
        <w:rPr>
          <w:kern w:val="20"/>
          <w:lang w:val="en-GB"/>
        </w:rPr>
      </w:pPr>
      <w:r>
        <w:rPr>
          <w:kern w:val="20"/>
          <w:lang w:val="en-GB"/>
        </w:rPr>
        <w:t xml:space="preserve">In view of the impossibility of solving basic sanitation problems over the short term, it is vital to introduce integrated </w:t>
      </w:r>
      <w:r>
        <w:rPr>
          <w:lang w:val="en-GB"/>
        </w:rPr>
        <w:t>epidemiological</w:t>
      </w:r>
      <w:r>
        <w:rPr>
          <w:kern w:val="20"/>
          <w:lang w:val="en-GB"/>
        </w:rPr>
        <w:t>, environmental and sanitary surveillance actions, as well as early diagnosis and treatment facilities, in parallel to health education, all designed to reduce the effects of cholera in terms of morbidity, mortality and death rates, as well as its economic and social repercussions.</w:t>
      </w:r>
    </w:p>
    <w:p w:rsidR="00000000" w:rsidRDefault="00000000"/>
    <w:p w:rsidR="00000000" w:rsidRDefault="00000000">
      <w:pPr>
        <w:pStyle w:val="ParaNo"/>
        <w:tabs>
          <w:tab w:val="clear" w:pos="360"/>
          <w:tab w:val="clear" w:pos="737"/>
        </w:tabs>
        <w:rPr>
          <w:kern w:val="20"/>
          <w:lang w:val="en-GB"/>
        </w:rPr>
      </w:pPr>
      <w:r>
        <w:rPr>
          <w:kern w:val="20"/>
          <w:lang w:val="en-GB"/>
        </w:rPr>
        <w:t xml:space="preserve">The objectives are the following:  detect alterations in the epidemiological conduct of diseases involving acute diarrhoea, in order to introduce cholera control measures in a timely manner; prompt detection of the </w:t>
      </w:r>
      <w:r>
        <w:rPr>
          <w:lang w:val="en-GB"/>
        </w:rPr>
        <w:t>appearance</w:t>
      </w:r>
      <w:r>
        <w:rPr>
          <w:kern w:val="20"/>
          <w:lang w:val="en-GB"/>
        </w:rPr>
        <w:t xml:space="preserve"> of the </w:t>
      </w:r>
      <w:r>
        <w:rPr>
          <w:kern w:val="20"/>
          <w:u w:val="single"/>
          <w:lang w:val="en-GB"/>
        </w:rPr>
        <w:t>Vibrio cholerae</w:t>
      </w:r>
      <w:r>
        <w:rPr>
          <w:kern w:val="20"/>
          <w:lang w:val="en-GB"/>
        </w:rPr>
        <w:t xml:space="preserve"> in water bodies, in order to implement emergency cholera prevention and control measures; encourage integrated action involving epidemiological, environmental and sanitary surveillance activities, as well as laboratory diagnostics; involve the health education areas in order to control the dissemination of this disease, reducing its incidence and mortality rates.</w:t>
      </w:r>
    </w:p>
    <w:p w:rsidR="00000000" w:rsidRDefault="00000000"/>
    <w:p w:rsidR="00000000" w:rsidRDefault="00000000">
      <w:pPr>
        <w:pStyle w:val="ParaNo"/>
        <w:tabs>
          <w:tab w:val="clear" w:pos="360"/>
          <w:tab w:val="clear" w:pos="737"/>
        </w:tabs>
        <w:rPr>
          <w:kern w:val="20"/>
          <w:lang w:val="en-GB"/>
        </w:rPr>
      </w:pPr>
      <w:r>
        <w:rPr>
          <w:kern w:val="20"/>
          <w:lang w:val="en-GB"/>
        </w:rPr>
        <w:t xml:space="preserve">The established targets include:  implementing the Acute Diarrhoeal Diseases Monitoring Programme (MDDA </w:t>
      </w:r>
      <w:r>
        <w:rPr>
          <w:kern w:val="20"/>
          <w:lang w:val="en-GB"/>
        </w:rPr>
        <w:noBreakHyphen/>
        <w:t xml:space="preserve"> </w:t>
      </w:r>
      <w:r>
        <w:rPr>
          <w:kern w:val="20"/>
          <w:u w:val="single"/>
          <w:lang w:val="en-GB"/>
        </w:rPr>
        <w:t>Programa de Monitorização das Doenças Diarréicas Agudas</w:t>
      </w:r>
      <w:r>
        <w:rPr>
          <w:kern w:val="20"/>
          <w:lang w:val="en-GB"/>
        </w:rPr>
        <w:t>) in all 27 states of Brazil, assigning top priority to the north and north</w:t>
      </w:r>
      <w:r>
        <w:rPr>
          <w:kern w:val="20"/>
          <w:lang w:val="en-GB"/>
        </w:rPr>
        <w:noBreakHyphen/>
        <w:t>east, as well as high</w:t>
      </w:r>
      <w:r>
        <w:rPr>
          <w:kern w:val="20"/>
          <w:lang w:val="en-GB"/>
        </w:rPr>
        <w:noBreakHyphen/>
        <w:t xml:space="preserve">risk areas in other parts of </w:t>
      </w:r>
      <w:r>
        <w:rPr>
          <w:lang w:val="en-GB"/>
        </w:rPr>
        <w:t>the</w:t>
      </w:r>
      <w:r>
        <w:rPr>
          <w:kern w:val="20"/>
          <w:lang w:val="en-GB"/>
        </w:rPr>
        <w:t xml:space="preserve"> country; ensure rapid detection and adequate investigation of all outbreaks of cholera; detect the appearance of the </w:t>
      </w:r>
      <w:r>
        <w:rPr>
          <w:kern w:val="20"/>
          <w:u w:val="single"/>
          <w:lang w:val="en-GB"/>
        </w:rPr>
        <w:t>V. cholerae</w:t>
      </w:r>
      <w:r>
        <w:rPr>
          <w:kern w:val="20"/>
          <w:lang w:val="en-GB"/>
        </w:rPr>
        <w:t xml:space="preserve"> in the environment through environmental surveillance and checking the quality of the water intended for human consumption.</w:t>
      </w:r>
    </w:p>
    <w:p w:rsidR="00000000" w:rsidRDefault="00000000"/>
    <w:p w:rsidR="00000000" w:rsidRDefault="00000000">
      <w:pPr>
        <w:pStyle w:val="ParaNo"/>
        <w:tabs>
          <w:tab w:val="clear" w:pos="360"/>
          <w:tab w:val="clear" w:pos="737"/>
        </w:tabs>
        <w:rPr>
          <w:kern w:val="20"/>
          <w:lang w:val="en-GB"/>
        </w:rPr>
      </w:pPr>
      <w:r>
        <w:rPr>
          <w:kern w:val="20"/>
          <w:lang w:val="en-GB"/>
        </w:rPr>
        <w:t>The strategies include capacity</w:t>
      </w:r>
      <w:r>
        <w:rPr>
          <w:kern w:val="20"/>
          <w:lang w:val="en-GB"/>
        </w:rPr>
        <w:noBreakHyphen/>
        <w:t xml:space="preserve">building for human resources in the states and municipalities for implementing the Acute Diarrhoeal Diseases Monitoring Programme (MDDA); providing direct technical </w:t>
      </w:r>
      <w:r>
        <w:rPr>
          <w:lang w:val="en-GB"/>
        </w:rPr>
        <w:t>support</w:t>
      </w:r>
      <w:r>
        <w:rPr>
          <w:kern w:val="20"/>
          <w:lang w:val="en-GB"/>
        </w:rPr>
        <w:t xml:space="preserve"> for states and municipal districts to investigate outbreaks of cholera; revising the Integrated Cholera Control and Prevention Handbook (</w:t>
      </w:r>
      <w:r>
        <w:rPr>
          <w:kern w:val="20"/>
          <w:u w:val="single"/>
          <w:lang w:val="en-GB"/>
        </w:rPr>
        <w:t>Manual Integrado de Prevenção e Controle da Cólera</w:t>
      </w:r>
      <w:r>
        <w:rPr>
          <w:kern w:val="20"/>
          <w:lang w:val="en-GB"/>
        </w:rPr>
        <w:t>); reviewing the instruction materials for capacity</w:t>
      </w:r>
      <w:r>
        <w:rPr>
          <w:kern w:val="20"/>
          <w:lang w:val="en-GB"/>
        </w:rPr>
        <w:noBreakHyphen/>
        <w:t>building in monitoring acute diarrhoeal diseases; the transfer of funds under agreements with the State Health Bureaux in north</w:t>
      </w:r>
      <w:r>
        <w:rPr>
          <w:kern w:val="20"/>
          <w:lang w:val="en-GB"/>
        </w:rPr>
        <w:noBreakHyphen/>
        <w:t>east Brazil, underwriting the implementation of activities under the Emergency Cholera Control and Prevention Plan for north</w:t>
      </w:r>
      <w:r>
        <w:rPr>
          <w:kern w:val="20"/>
          <w:lang w:val="en-GB"/>
        </w:rPr>
        <w:noBreakHyphen/>
        <w:t>east Brazil (</w:t>
      </w:r>
      <w:r>
        <w:rPr>
          <w:kern w:val="20"/>
          <w:u w:val="single"/>
          <w:lang w:val="en-GB"/>
        </w:rPr>
        <w:t>Plano Emergencial de Prevenção e Controle da Cólera no NORTHEAST</w:t>
      </w:r>
      <w:r>
        <w:rPr>
          <w:kern w:val="20"/>
          <w:lang w:val="en-GB"/>
        </w:rPr>
        <w:t>); the transfer of funds under agreements for implementing actions under the Emergency Cholera Control and Prevention Plan in Paraná (</w:t>
      </w:r>
      <w:r>
        <w:rPr>
          <w:kern w:val="20"/>
          <w:u w:val="single"/>
          <w:lang w:val="en-GB"/>
        </w:rPr>
        <w:t>Plano Emergencial de Prevenção e Controle da Cólera no Paraná</w:t>
      </w:r>
      <w:r>
        <w:rPr>
          <w:kern w:val="20"/>
          <w:lang w:val="en-GB"/>
        </w:rPr>
        <w:t>); preparation of educational material and organization of the capacity</w:t>
      </w:r>
      <w:r>
        <w:rPr>
          <w:kern w:val="20"/>
          <w:lang w:val="en-GB"/>
        </w:rPr>
        <w:noBreakHyphen/>
        <w:t>training course for the multiplicatory agents of the Acute Diarrhoeal Diseases Monitoring Programme in indigenous areas; scheduling the distribution of sodium hypochlorite to 2.5 per cent of the 27 states in Brazil, handled by CODAMED/Ministry of Health; ensuring capacity</w:t>
      </w:r>
      <w:r>
        <w:rPr>
          <w:kern w:val="20"/>
          <w:lang w:val="en-GB"/>
        </w:rPr>
        <w:noBreakHyphen/>
        <w:t>building for all states through the Public Health Laboratories, in order to undertake etiological diagnoses of outbreaks of acute diarrhoeal diseases; more intensive dissemination of existing tools in regional and local communications media in municipal districts tagged as high</w:t>
      </w:r>
      <w:r>
        <w:rPr>
          <w:kern w:val="20"/>
          <w:lang w:val="en-GB"/>
        </w:rPr>
        <w:noBreakHyphen/>
        <w:t>priority under the Emergency Cholera Control and Prevention Plan for north</w:t>
      </w:r>
      <w:r>
        <w:rPr>
          <w:kern w:val="20"/>
          <w:lang w:val="en-GB"/>
        </w:rPr>
        <w:noBreakHyphen/>
        <w:t>east Brazil; more intensive health education activities in municipal districts ranked as high priority under the Emergency Cholera Control and Prevention Plan for north</w:t>
      </w:r>
      <w:r>
        <w:rPr>
          <w:kern w:val="20"/>
          <w:lang w:val="en-GB"/>
        </w:rPr>
        <w:noBreakHyphen/>
        <w:t>east Brazil; more intensive dissemination of cholera prevention measures through the Family Health</w:t>
      </w:r>
      <w:r>
        <w:rPr>
          <w:kern w:val="20"/>
          <w:lang w:val="en-GB"/>
        </w:rPr>
        <w:noBreakHyphen/>
        <w:t>Care Programme, Community Health</w:t>
      </w:r>
      <w:r>
        <w:rPr>
          <w:kern w:val="20"/>
          <w:lang w:val="en-GB"/>
        </w:rPr>
        <w:noBreakHyphen/>
        <w:t xml:space="preserve">Care Agents and agents working for the </w:t>
      </w:r>
    </w:p>
    <w:p w:rsidR="00000000" w:rsidRDefault="00000000">
      <w:pPr>
        <w:rPr>
          <w:kern w:val="20"/>
        </w:rPr>
      </w:pPr>
      <w:r>
        <w:rPr>
          <w:kern w:val="20"/>
        </w:rPr>
        <w:br w:type="page"/>
        <w:t>Children’s Pastoral Movement (</w:t>
      </w:r>
      <w:r>
        <w:rPr>
          <w:kern w:val="20"/>
          <w:u w:val="single"/>
        </w:rPr>
        <w:t>Pastoral da Criança</w:t>
      </w:r>
      <w:r>
        <w:rPr>
          <w:kern w:val="20"/>
        </w:rPr>
        <w:t>); fine</w:t>
      </w:r>
      <w:r>
        <w:rPr>
          <w:kern w:val="20"/>
        </w:rPr>
        <w:noBreakHyphen/>
        <w:t>tuning cholera prevention dissemination activities organized by passenger transportation companies; disclosure of cholera identification and diagnosis measures through the health</w:t>
      </w:r>
      <w:r>
        <w:rPr>
          <w:kern w:val="20"/>
        </w:rPr>
        <w:noBreakHyphen/>
        <w:t>care network in order to ensure prompt detection of this disease.</w:t>
      </w:r>
    </w:p>
    <w:p w:rsidR="00000000" w:rsidRDefault="00000000"/>
    <w:p w:rsidR="00000000" w:rsidRDefault="00000000">
      <w:pPr>
        <w:pStyle w:val="Heading3"/>
        <w:rPr>
          <w:kern w:val="20"/>
        </w:rPr>
      </w:pPr>
      <w:r>
        <w:rPr>
          <w:kern w:val="20"/>
        </w:rPr>
        <w:t>Epidemiological surveillance of diseases transmitted by food</w:t>
      </w:r>
    </w:p>
    <w:p w:rsidR="00000000" w:rsidRDefault="00000000"/>
    <w:p w:rsidR="00000000" w:rsidRDefault="00000000">
      <w:pPr>
        <w:pStyle w:val="ParaNo"/>
        <w:tabs>
          <w:tab w:val="clear" w:pos="360"/>
          <w:tab w:val="clear" w:pos="737"/>
        </w:tabs>
        <w:rPr>
          <w:kern w:val="20"/>
          <w:lang w:val="en-GB"/>
        </w:rPr>
      </w:pPr>
      <w:r>
        <w:rPr>
          <w:kern w:val="20"/>
          <w:lang w:val="en-GB"/>
        </w:rPr>
        <w:t>A significant increase has been noted worldwide in recent years in the occurrence of diseases transmitted by food.  Countless factors are involved in this increase, including expanding population in parallel with rapid urbanization, particularly in the developing countries, resulting in the need to boost agricultural output, in particular by more intensive pesticides despite the lack of effective controls; the trend among the urban population to opt for ready</w:t>
      </w:r>
      <w:r>
        <w:rPr>
          <w:kern w:val="20"/>
          <w:lang w:val="en-GB"/>
        </w:rPr>
        <w:noBreakHyphen/>
        <w:t>to</w:t>
      </w:r>
      <w:r>
        <w:rPr>
          <w:kern w:val="20"/>
          <w:lang w:val="en-GB"/>
        </w:rPr>
        <w:noBreakHyphen/>
        <w:t xml:space="preserve">eat foods (fast foods); expanding use of </w:t>
      </w:r>
      <w:r>
        <w:rPr>
          <w:lang w:val="en-GB"/>
        </w:rPr>
        <w:t>places</w:t>
      </w:r>
      <w:r>
        <w:rPr>
          <w:kern w:val="20"/>
          <w:lang w:val="en-GB"/>
        </w:rPr>
        <w:t xml:space="preserve"> providing mass eating facilities; rising consumption of food items on the street.  All these factors are behind the increase in the consumption of processed food with greater use of additives, the consumption of fresh foods (leafy and root vegetables, as well as fruits) without the necessary hygienic handling and disinfection, and globalization and streamlined international trade facilities that allow the rapid distribution of food to a wide variety of destinations.</w:t>
      </w:r>
    </w:p>
    <w:p w:rsidR="00000000" w:rsidRDefault="00000000"/>
    <w:p w:rsidR="00000000" w:rsidRDefault="00000000">
      <w:pPr>
        <w:pStyle w:val="ParaNo"/>
        <w:tabs>
          <w:tab w:val="clear" w:pos="360"/>
          <w:tab w:val="clear" w:pos="737"/>
        </w:tabs>
        <w:rPr>
          <w:kern w:val="20"/>
          <w:lang w:val="en-GB"/>
        </w:rPr>
      </w:pPr>
      <w:r>
        <w:rPr>
          <w:kern w:val="20"/>
          <w:lang w:val="en-GB"/>
        </w:rPr>
        <w:t xml:space="preserve">Countries equipped with epidemiological surveillance systems for diseases transmitted by foods have been </w:t>
      </w:r>
      <w:r>
        <w:rPr>
          <w:lang w:val="en-GB"/>
        </w:rPr>
        <w:t>detecting</w:t>
      </w:r>
      <w:r>
        <w:rPr>
          <w:kern w:val="20"/>
          <w:lang w:val="en-GB"/>
        </w:rPr>
        <w:t xml:space="preserve"> an increasingly large number of outbreaks that are affecting rising numbers of people.  An increasing number of micro</w:t>
      </w:r>
      <w:r>
        <w:rPr>
          <w:kern w:val="20"/>
          <w:lang w:val="en-GB"/>
        </w:rPr>
        <w:noBreakHyphen/>
        <w:t>organisms and chemical contaminants are involved in diseases transmitted by food.  To an increasing extent, these outbreaks of diseases transmitted by food are moving away from the type popularly known as “wedding</w:t>
      </w:r>
      <w:r>
        <w:rPr>
          <w:kern w:val="20"/>
          <w:lang w:val="en-GB"/>
        </w:rPr>
        <w:noBreakHyphen/>
        <w:t>party potato salad”, instead featuring clinical situations that are relatively non</w:t>
      </w:r>
      <w:r>
        <w:rPr>
          <w:kern w:val="20"/>
          <w:lang w:val="en-GB"/>
        </w:rPr>
        <w:noBreakHyphen/>
        <w:t>specific, affecting a large number of people in different towns or even countries.  This is a problem that is growing increasingly more complex, requiring investigation and control strategies that are also more sophisticated and broader</w:t>
      </w:r>
      <w:r>
        <w:rPr>
          <w:kern w:val="20"/>
          <w:lang w:val="en-GB"/>
        </w:rPr>
        <w:noBreakHyphen/>
        <w:t>ranging.</w:t>
      </w:r>
    </w:p>
    <w:p w:rsidR="00000000" w:rsidRDefault="00000000"/>
    <w:p w:rsidR="00000000" w:rsidRDefault="00000000">
      <w:pPr>
        <w:pStyle w:val="ParaNo"/>
        <w:tabs>
          <w:tab w:val="clear" w:pos="360"/>
          <w:tab w:val="clear" w:pos="737"/>
        </w:tabs>
        <w:rPr>
          <w:kern w:val="20"/>
          <w:lang w:val="en-GB"/>
        </w:rPr>
      </w:pPr>
      <w:r>
        <w:rPr>
          <w:kern w:val="20"/>
          <w:lang w:val="en-GB"/>
        </w:rPr>
        <w:t xml:space="preserve">Before this initiative, implemented by CENEPI/National Health Foundation (FUNASA), Brazil had no nationwide epidemiological surveillance system for diseases transmitted by food.  The objectives of this initiative are:  to reduce the incidence of diseases transmitted by food in Brazil; to understand the epidemiological conduct of diseases transmitted by food among the Brazilian population; to identify food shipping and production practices and technologies, as well as food services that </w:t>
      </w:r>
      <w:r>
        <w:rPr>
          <w:lang w:val="en-GB"/>
        </w:rPr>
        <w:t>offer</w:t>
      </w:r>
      <w:r>
        <w:rPr>
          <w:kern w:val="20"/>
          <w:lang w:val="en-GB"/>
        </w:rPr>
        <w:t xml:space="preserve"> higher risks of diseases transmitted by food; to identify the places, foods and etiological agents more likely to be involved with outbreaks of diseases transmitted by food; to provide feedback for the preparation and implementation of proposals designed to prevent and control diseases transmitted by food; to introduce ongoing education activities for health</w:t>
      </w:r>
      <w:r>
        <w:rPr>
          <w:kern w:val="20"/>
          <w:lang w:val="en-GB"/>
        </w:rPr>
        <w:noBreakHyphen/>
        <w:t>care practitioners, as well as food producers and service</w:t>
      </w:r>
      <w:r>
        <w:rPr>
          <w:kern w:val="20"/>
          <w:lang w:val="en-GB"/>
        </w:rPr>
        <w:noBreakHyphen/>
        <w:t>providers, in addition to consumers, ushering in good food storage, handling and preparation practices.</w:t>
      </w:r>
    </w:p>
    <w:p w:rsidR="00000000" w:rsidRDefault="00000000"/>
    <w:p w:rsidR="00000000" w:rsidRDefault="00000000">
      <w:pPr>
        <w:pStyle w:val="ParaNo"/>
        <w:tabs>
          <w:tab w:val="clear" w:pos="360"/>
          <w:tab w:val="clear" w:pos="737"/>
        </w:tabs>
        <w:rPr>
          <w:kern w:val="20"/>
          <w:lang w:val="en-GB"/>
        </w:rPr>
      </w:pPr>
      <w:r>
        <w:rPr>
          <w:kern w:val="20"/>
          <w:lang w:val="en-GB"/>
        </w:rPr>
        <w:t>The targets established are:  to prepare and disseminate the epidemiological surveillance standards and guidelines for diseases transmitted by food; to provide capacity</w:t>
      </w:r>
      <w:r>
        <w:rPr>
          <w:kern w:val="20"/>
          <w:lang w:val="en-GB"/>
        </w:rPr>
        <w:noBreakHyphen/>
        <w:t xml:space="preserve">building facilities for epidemiological surveillance professionals and key laboratories in state capitals, municipal </w:t>
      </w:r>
    </w:p>
    <w:p w:rsidR="00000000" w:rsidRDefault="00000000">
      <w:pPr>
        <w:rPr>
          <w:kern w:val="20"/>
        </w:rPr>
      </w:pPr>
      <w:r>
        <w:rPr>
          <w:kern w:val="20"/>
        </w:rPr>
        <w:br w:type="page"/>
        <w:t>districts and the states themselves in order to implement the epidemiological surveillance facilities for diseases transmitted by food; to heighten awareness among health</w:t>
      </w:r>
      <w:r>
        <w:rPr>
          <w:kern w:val="20"/>
        </w:rPr>
        <w:noBreakHyphen/>
        <w:t>care providers and the population of the importance of notifying outbreaks of diseases transmitted by food; to structure a National Botulism Reference Centre.</w:t>
      </w:r>
    </w:p>
    <w:p w:rsidR="00000000" w:rsidRDefault="00000000"/>
    <w:p w:rsidR="00000000" w:rsidRDefault="00000000">
      <w:pPr>
        <w:pStyle w:val="ParaNo"/>
        <w:tabs>
          <w:tab w:val="clear" w:pos="360"/>
          <w:tab w:val="clear" w:pos="737"/>
        </w:tabs>
        <w:rPr>
          <w:kern w:val="20"/>
          <w:lang w:val="en-GB"/>
        </w:rPr>
      </w:pPr>
      <w:r>
        <w:rPr>
          <w:kern w:val="20"/>
          <w:lang w:val="en-GB"/>
        </w:rPr>
        <w:t xml:space="preserve">To accomplish </w:t>
      </w:r>
      <w:r>
        <w:rPr>
          <w:lang w:val="en-GB"/>
        </w:rPr>
        <w:t>these</w:t>
      </w:r>
      <w:r>
        <w:rPr>
          <w:kern w:val="20"/>
          <w:lang w:val="en-GB"/>
        </w:rPr>
        <w:t xml:space="preserve"> tasks, the following strategies were established:  to prepare the Integrated Prevention and Control Handbook for Diseases Transmitted by Food (</w:t>
      </w:r>
      <w:r>
        <w:rPr>
          <w:kern w:val="20"/>
          <w:u w:val="single"/>
          <w:lang w:val="en-GB"/>
        </w:rPr>
        <w:t>Manual Integrado de Prevenção e Controle das DTA</w:t>
      </w:r>
      <w:r>
        <w:rPr>
          <w:kern w:val="20"/>
          <w:lang w:val="en-GB"/>
        </w:rPr>
        <w:t>); to organize annual nationwide seminars on epidemiological surveillance practices for diseases transmitted by food; to organize staff capacity</w:t>
      </w:r>
      <w:r>
        <w:rPr>
          <w:kern w:val="20"/>
          <w:lang w:val="en-GB"/>
        </w:rPr>
        <w:noBreakHyphen/>
        <w:t>building courses in epidemiological surveillance for diseases transmitted by food; to publicize the epidemiological surveillance practices for diseases transmitted by food at universities and nutrition colleges in Brazil; to encourage partnerships with consumer protection entities as a way of keeping the population informed about diseases transmitted by food; to introduce permanent mechanisms for advising travellers about diseases transmitted by food; to disclose preventive measures for dealing with diseases transmitted by food among specific sectors (industrial canteens, supermarkets, cooking programmes aired on television, school lunch preparation staff and others); implementation of the epidemiological surveillance project for diseases transmitted by food at all state Health Bureaux and Municipal Health Bureaux in state capitals; capacity</w:t>
      </w:r>
      <w:r>
        <w:rPr>
          <w:kern w:val="20"/>
          <w:lang w:val="en-GB"/>
        </w:rPr>
        <w:noBreakHyphen/>
        <w:t>building at key laboratories for carrying out human etiological diagnoses for diseases transmitted by food and the bromatological analyses required to investigate diseases transmitted by food.</w:t>
      </w:r>
    </w:p>
    <w:p w:rsidR="00000000" w:rsidRDefault="00000000"/>
    <w:p w:rsidR="00000000" w:rsidRDefault="00000000">
      <w:pPr>
        <w:pStyle w:val="Heading3"/>
        <w:rPr>
          <w:kern w:val="20"/>
        </w:rPr>
      </w:pPr>
      <w:r>
        <w:rPr>
          <w:kern w:val="20"/>
        </w:rPr>
        <w:t>Introduction of vaccine against type B Haemophilus influenzae (HIB)</w:t>
      </w:r>
    </w:p>
    <w:p w:rsidR="00000000" w:rsidRDefault="00000000"/>
    <w:p w:rsidR="00000000" w:rsidRDefault="00000000">
      <w:pPr>
        <w:pStyle w:val="ParaNo"/>
        <w:tabs>
          <w:tab w:val="clear" w:pos="360"/>
          <w:tab w:val="clear" w:pos="737"/>
        </w:tabs>
        <w:rPr>
          <w:kern w:val="20"/>
          <w:lang w:val="en-GB"/>
        </w:rPr>
      </w:pPr>
      <w:r>
        <w:rPr>
          <w:kern w:val="20"/>
          <w:lang w:val="en-GB"/>
        </w:rPr>
        <w:t>For</w:t>
      </w:r>
      <w:r>
        <w:rPr>
          <w:lang w:val="en-GB"/>
        </w:rPr>
        <w:t>g</w:t>
      </w:r>
      <w:r>
        <w:rPr>
          <w:kern w:val="20"/>
          <w:lang w:val="en-GB"/>
        </w:rPr>
        <w:t xml:space="preserve">ing ahead with its policy of extending universal access to immunization, Brazil’s National </w:t>
      </w:r>
      <w:r>
        <w:rPr>
          <w:lang w:val="en-GB"/>
        </w:rPr>
        <w:t>Immunization</w:t>
      </w:r>
      <w:r>
        <w:rPr>
          <w:kern w:val="20"/>
          <w:lang w:val="en-GB"/>
        </w:rPr>
        <w:t xml:space="preserve"> Programme (</w:t>
      </w:r>
      <w:r>
        <w:rPr>
          <w:kern w:val="20"/>
          <w:u w:val="single"/>
          <w:lang w:val="en-GB"/>
        </w:rPr>
        <w:t>Programa Nacional de Imunizações</w:t>
      </w:r>
      <w:r>
        <w:rPr>
          <w:kern w:val="20"/>
          <w:lang w:val="en-GB"/>
        </w:rPr>
        <w:t xml:space="preserve">) also introduced the vaccine against type B </w:t>
      </w:r>
      <w:r>
        <w:rPr>
          <w:kern w:val="20"/>
          <w:u w:val="single"/>
          <w:lang w:val="en-GB"/>
        </w:rPr>
        <w:t>Haemophilus influenzae</w:t>
      </w:r>
      <w:r>
        <w:rPr>
          <w:kern w:val="20"/>
          <w:lang w:val="en-GB"/>
        </w:rPr>
        <w:t xml:space="preserve"> from 1999 to 2000, for the population under two years of age.</w:t>
      </w:r>
    </w:p>
    <w:p w:rsidR="00000000" w:rsidRDefault="00000000"/>
    <w:p w:rsidR="00000000" w:rsidRDefault="00000000">
      <w:pPr>
        <w:pStyle w:val="ParaNo"/>
        <w:tabs>
          <w:tab w:val="clear" w:pos="360"/>
          <w:tab w:val="clear" w:pos="737"/>
        </w:tabs>
        <w:rPr>
          <w:kern w:val="20"/>
          <w:lang w:val="en-GB"/>
        </w:rPr>
      </w:pPr>
      <w:r>
        <w:rPr>
          <w:kern w:val="20"/>
          <w:lang w:val="en-GB"/>
        </w:rPr>
        <w:t xml:space="preserve">Several international bibliographies indicate that some two thirds of severe illnesses caused by type B </w:t>
      </w:r>
      <w:r>
        <w:rPr>
          <w:kern w:val="20"/>
          <w:u w:val="single"/>
          <w:lang w:val="en-GB"/>
        </w:rPr>
        <w:t>Haemophilus influenzae</w:t>
      </w:r>
      <w:r>
        <w:rPr>
          <w:kern w:val="20"/>
          <w:lang w:val="en-GB"/>
        </w:rPr>
        <w:t xml:space="preserve"> occur in infants under the age of 18 months.  In the developed countries, prior to vaccination, the incidence of invasive infection was 40</w:t>
      </w:r>
      <w:r>
        <w:rPr>
          <w:kern w:val="20"/>
          <w:lang w:val="en-GB"/>
        </w:rPr>
        <w:noBreakHyphen/>
        <w:t xml:space="preserve">130 per 100,000 children under the age of five years.  Since the 1980s, type B </w:t>
      </w:r>
      <w:r>
        <w:rPr>
          <w:kern w:val="20"/>
          <w:u w:val="single"/>
          <w:lang w:val="en-GB"/>
        </w:rPr>
        <w:t>Haemophilus influenzae</w:t>
      </w:r>
      <w:r>
        <w:rPr>
          <w:kern w:val="20"/>
          <w:lang w:val="en-GB"/>
        </w:rPr>
        <w:t xml:space="preserve"> has become the main cause of meningitis among children in this age group, peaking between six and nine months, and can be foreseen in more predisposed groups.  These types of meningitis have a mortality rate of 1</w:t>
      </w:r>
      <w:r>
        <w:rPr>
          <w:kern w:val="20"/>
          <w:lang w:val="en-GB"/>
        </w:rPr>
        <w:noBreakHyphen/>
        <w:t>5 per cent in the developed countries, with 15</w:t>
      </w:r>
      <w:r>
        <w:rPr>
          <w:kern w:val="20"/>
          <w:lang w:val="en-GB"/>
        </w:rPr>
        <w:noBreakHyphen/>
        <w:t>30 per cent of the survivors developing permanent neurological after</w:t>
      </w:r>
      <w:r>
        <w:rPr>
          <w:kern w:val="20"/>
          <w:lang w:val="en-GB"/>
        </w:rPr>
        <w:noBreakHyphen/>
        <w:t>effects such as convulsions and mental retardation.</w:t>
      </w:r>
    </w:p>
    <w:p w:rsidR="00000000" w:rsidRDefault="00000000"/>
    <w:p w:rsidR="00000000" w:rsidRDefault="00000000">
      <w:pPr>
        <w:pStyle w:val="ParaNo"/>
        <w:tabs>
          <w:tab w:val="clear" w:pos="360"/>
          <w:tab w:val="clear" w:pos="737"/>
        </w:tabs>
        <w:rPr>
          <w:kern w:val="20"/>
          <w:lang w:val="en-GB"/>
        </w:rPr>
      </w:pPr>
      <w:r>
        <w:rPr>
          <w:kern w:val="20"/>
          <w:lang w:val="en-GB"/>
        </w:rPr>
        <w:t xml:space="preserve">Analysing the data supplied in May 1999 by COVEPI from the National Epidemiology Centre/National Health Foundation/Ministry of Health, 15,927 cases of meningitis caused by type B </w:t>
      </w:r>
      <w:r>
        <w:rPr>
          <w:kern w:val="20"/>
          <w:u w:val="single"/>
          <w:lang w:val="en-GB"/>
        </w:rPr>
        <w:t>Haemophilus influenzae</w:t>
      </w:r>
      <w:r>
        <w:rPr>
          <w:kern w:val="20"/>
          <w:lang w:val="en-GB"/>
        </w:rPr>
        <w:t xml:space="preserve"> were notified in Brazil from 1983 through 1996 within an overall total of 326,022 cases of meningitis, of which 7,607 (47.8 per cent) affected infants aged under one year and 14,243 cases (89.43 per cent) affected children aged under five years.  Meningitis caused by type B </w:t>
      </w:r>
      <w:r>
        <w:rPr>
          <w:kern w:val="20"/>
          <w:u w:val="single"/>
          <w:lang w:val="en-GB"/>
        </w:rPr>
        <w:t>Haemophilus influenzae</w:t>
      </w:r>
      <w:r>
        <w:rPr>
          <w:kern w:val="20"/>
          <w:lang w:val="en-GB"/>
        </w:rPr>
        <w:t xml:space="preserve"> in Brazil is endemic nationwide, with variations in incidence when assessed by state.</w:t>
      </w:r>
    </w:p>
    <w:p w:rsidR="00000000" w:rsidRDefault="00000000"/>
    <w:p w:rsidR="00000000" w:rsidRDefault="00000000">
      <w:pPr>
        <w:pStyle w:val="ParaNo"/>
        <w:tabs>
          <w:tab w:val="clear" w:pos="360"/>
          <w:tab w:val="clear" w:pos="737"/>
        </w:tabs>
        <w:rPr>
          <w:kern w:val="20"/>
          <w:lang w:val="en-GB"/>
        </w:rPr>
      </w:pPr>
      <w:r>
        <w:rPr>
          <w:kern w:val="20"/>
          <w:lang w:val="en-GB"/>
        </w:rPr>
        <w:t xml:space="preserve">The vaccine purchased and distributed in Brazil consists of blended capsular polysaccharides, </w:t>
      </w:r>
      <w:r>
        <w:rPr>
          <w:lang w:val="en-GB"/>
        </w:rPr>
        <w:t>which</w:t>
      </w:r>
      <w:r>
        <w:rPr>
          <w:kern w:val="20"/>
          <w:lang w:val="en-GB"/>
        </w:rPr>
        <w:t xml:space="preserve"> ensures good immunogenetics for the age group to be vaccinated.</w:t>
      </w:r>
    </w:p>
    <w:p w:rsidR="00000000" w:rsidRDefault="00000000"/>
    <w:p w:rsidR="00000000" w:rsidRDefault="00000000">
      <w:pPr>
        <w:pStyle w:val="ParaNo"/>
        <w:tabs>
          <w:tab w:val="clear" w:pos="360"/>
          <w:tab w:val="clear" w:pos="737"/>
        </w:tabs>
        <w:rPr>
          <w:kern w:val="20"/>
          <w:lang w:val="en-GB"/>
        </w:rPr>
      </w:pPr>
      <w:r>
        <w:rPr>
          <w:kern w:val="20"/>
          <w:lang w:val="en-GB"/>
        </w:rPr>
        <w:t xml:space="preserve">In 1999, all states in Brazil implemented vaccination as a routine procedure, with the exception of Acre, Mato Grosso do Sul and Maranhão.  This vaccine was very well accepted, and it is believed </w:t>
      </w:r>
      <w:r>
        <w:rPr>
          <w:lang w:val="en-GB"/>
        </w:rPr>
        <w:t>that</w:t>
      </w:r>
      <w:r>
        <w:rPr>
          <w:kern w:val="20"/>
          <w:lang w:val="en-GB"/>
        </w:rPr>
        <w:t xml:space="preserve"> it may prompt an update of the basic schemes covering the infant population, as its dosage timing coincides with the DTP (diphtheria/tetanus/polio) vaccine.  This means that its coverage could benefit, with a consequent reduction in the drop</w:t>
      </w:r>
      <w:r>
        <w:rPr>
          <w:kern w:val="20"/>
          <w:lang w:val="en-GB"/>
        </w:rPr>
        <w:noBreakHyphen/>
        <w:t>out rate.  This implementation drive will take place in Brazil during 2000, when epidemiological impact studies are also planned.</w:t>
      </w:r>
    </w:p>
    <w:p w:rsidR="00000000" w:rsidRDefault="00000000"/>
    <w:p w:rsidR="00000000" w:rsidRDefault="00000000">
      <w:pPr>
        <w:pStyle w:val="ParaNo"/>
        <w:tabs>
          <w:tab w:val="clear" w:pos="360"/>
          <w:tab w:val="clear" w:pos="737"/>
        </w:tabs>
        <w:rPr>
          <w:lang w:val="en-GB"/>
        </w:rPr>
      </w:pPr>
      <w:r>
        <w:rPr>
          <w:lang w:val="en-GB"/>
        </w:rPr>
        <w:t xml:space="preserve">Continuation of routine vaccinations after its introduction in each state should be addressed to infants under the age of one year.  </w:t>
      </w:r>
    </w:p>
    <w:p w:rsidR="00000000" w:rsidRDefault="00000000"/>
    <w:p w:rsidR="00000000" w:rsidRDefault="00000000">
      <w:pPr>
        <w:pStyle w:val="ParaNo"/>
        <w:tabs>
          <w:tab w:val="clear" w:pos="360"/>
          <w:tab w:val="clear" w:pos="737"/>
        </w:tabs>
        <w:ind w:left="0" w:firstLine="0"/>
        <w:rPr>
          <w:lang w:val="en-GB"/>
        </w:rPr>
      </w:pPr>
      <w:r>
        <w:rPr>
          <w:lang w:val="en-GB"/>
        </w:rPr>
        <w:t>This product is offered free of charge during routine vaccination at the state referral centres for individuals with special clinical conditions:  children aged 2 months to 18 years with functional or anatomical asplenia; children with congenital or acquired immunodeficiency, including symptomatic or asymptomatic AIDS; children under the age of 5 years with cardiovascular disease or severe chronic pneumopathy; as well as bone-marrow transplantees.</w:t>
      </w:r>
    </w:p>
    <w:p w:rsidR="00000000" w:rsidRDefault="00000000"/>
    <w:p w:rsidR="00000000" w:rsidRDefault="00000000">
      <w:pPr>
        <w:pStyle w:val="ParaNo"/>
        <w:tabs>
          <w:tab w:val="clear" w:pos="360"/>
          <w:tab w:val="clear" w:pos="737"/>
        </w:tabs>
        <w:ind w:left="0" w:firstLine="0"/>
        <w:rPr>
          <w:lang w:val="en-GB"/>
        </w:rPr>
      </w:pPr>
      <w:r>
        <w:rPr>
          <w:lang w:val="en-GB"/>
        </w:rPr>
        <w:t xml:space="preserve">In the course of 1999, some 4.5 million Brazilian children were vaccinated, leaving some 2 million children still to be vaccinated all over the country under the age of two years, with immunization scheduled for 2000.  The three Brazilian states that did not introduce vaccination against type B </w:t>
      </w:r>
      <w:r>
        <w:rPr>
          <w:u w:val="single"/>
          <w:lang w:val="en-GB"/>
        </w:rPr>
        <w:t>Haemophilus influenzae</w:t>
      </w:r>
      <w:r>
        <w:rPr>
          <w:lang w:val="en-GB"/>
        </w:rPr>
        <w:t xml:space="preserve"> during 1999 (Acre, Maranhão and Mato Grosso do Sul) will be doing so from January 2000 onwards.  </w:t>
      </w:r>
    </w:p>
    <w:p w:rsidR="00000000" w:rsidRDefault="00000000"/>
    <w:p w:rsidR="00000000" w:rsidRDefault="00000000">
      <w:pPr>
        <w:pStyle w:val="ParaNo"/>
        <w:tabs>
          <w:tab w:val="clear" w:pos="360"/>
          <w:tab w:val="clear" w:pos="737"/>
        </w:tabs>
        <w:ind w:left="0" w:firstLine="0"/>
        <w:rPr>
          <w:lang w:val="en-GB"/>
        </w:rPr>
      </w:pPr>
      <w:r>
        <w:rPr>
          <w:lang w:val="en-GB"/>
        </w:rPr>
        <w:t xml:space="preserve">During the course of 2000, COPNI/CENEPI will be assessing the epidemiological effects of this vaccine in Brazil.  The overall objective is to reduce infant morbidity and mortality rates due to infections caused by type B </w:t>
      </w:r>
      <w:r>
        <w:rPr>
          <w:u w:val="single"/>
          <w:lang w:val="en-GB"/>
        </w:rPr>
        <w:t>Haemophilus influenzae</w:t>
      </w:r>
      <w:r>
        <w:rPr>
          <w:lang w:val="en-GB"/>
        </w:rPr>
        <w:t>, through the introduction of the relevant vaccine nationwide for infants under the age of two years, consequently upgrading the quality of life of the Brazilian population in this age group.</w:t>
      </w:r>
    </w:p>
    <w:p w:rsidR="00000000" w:rsidRDefault="00000000"/>
    <w:p w:rsidR="00000000" w:rsidRDefault="00000000">
      <w:pPr>
        <w:pStyle w:val="ParaNo"/>
        <w:tabs>
          <w:tab w:val="clear" w:pos="360"/>
          <w:tab w:val="clear" w:pos="737"/>
        </w:tabs>
        <w:ind w:left="0" w:firstLine="0"/>
        <w:rPr>
          <w:lang w:val="en-GB"/>
        </w:rPr>
      </w:pPr>
      <w:r>
        <w:rPr>
          <w:lang w:val="en-GB"/>
        </w:rPr>
        <w:t xml:space="preserve">More specific objectives include:  expanding the supply of vaccines and ensuring control over infections caused type B </w:t>
      </w:r>
      <w:r>
        <w:rPr>
          <w:u w:val="single"/>
          <w:lang w:val="en-GB"/>
        </w:rPr>
        <w:t>Haemophilus influenzae</w:t>
      </w:r>
      <w:r>
        <w:rPr>
          <w:lang w:val="en-GB"/>
        </w:rPr>
        <w:t xml:space="preserve"> during early childhood; vaccinating the entire population under two years of age with type B </w:t>
      </w:r>
      <w:r>
        <w:rPr>
          <w:u w:val="single"/>
          <w:lang w:val="en-GB"/>
        </w:rPr>
        <w:t>Haemophilus influenzae</w:t>
      </w:r>
      <w:r>
        <w:rPr>
          <w:lang w:val="en-GB"/>
        </w:rPr>
        <w:t xml:space="preserve"> vaccine during 1999 and 2000, continuing to vaccinate infants under one year of age after implementation; achieving and maintaining high, even vaccination coverage rates; updating the vaccination status of the population under two years of age by providing doses of vaccine against type B </w:t>
      </w:r>
      <w:r>
        <w:rPr>
          <w:u w:val="single"/>
          <w:lang w:val="en-GB"/>
        </w:rPr>
        <w:t>Haemophilus influenzae</w:t>
      </w:r>
      <w:r>
        <w:rPr>
          <w:lang w:val="en-GB"/>
        </w:rPr>
        <w:t>, and more specifically vaccines against poliomyelitis and DTP; supporting surveys focused on related topics, and more specifically encouraging studies of the epidemiological effects of the vaccine in Brazil.</w:t>
      </w:r>
    </w:p>
    <w:p w:rsidR="00000000" w:rsidRDefault="00000000"/>
    <w:p w:rsidR="00000000" w:rsidRDefault="00000000">
      <w:pPr>
        <w:pStyle w:val="ParaNo"/>
        <w:tabs>
          <w:tab w:val="clear" w:pos="360"/>
          <w:tab w:val="clear" w:pos="737"/>
        </w:tabs>
        <w:ind w:left="0" w:firstLine="0"/>
        <w:rPr>
          <w:lang w:val="en-GB"/>
        </w:rPr>
      </w:pPr>
      <w:r>
        <w:rPr>
          <w:lang w:val="en-GB"/>
        </w:rPr>
        <w:t xml:space="preserve">The targets are focused on vaccinating against type B </w:t>
      </w:r>
      <w:r>
        <w:rPr>
          <w:u w:val="single"/>
          <w:lang w:val="en-GB"/>
        </w:rPr>
        <w:t>Haemophilus influenzae</w:t>
      </w:r>
      <w:r>
        <w:rPr>
          <w:lang w:val="en-GB"/>
        </w:rPr>
        <w:t xml:space="preserve">, with the support of the State and Municipal Health Bureaux, covering the entire population under two years of age during the vaccine implementation phase (1999–2000) in all municipal districts throughout Brazil, complying with the indications stipulated in the standards issued by the PNI.  </w:t>
      </w:r>
    </w:p>
    <w:p w:rsidR="00000000" w:rsidRDefault="00000000">
      <w:r>
        <w:br w:type="page"/>
        <w:t xml:space="preserve">To do this, the following strategies have been established:  guaranteeing vaccine acquisition and supplies in order to ensure full coverage of the target population; discussion with immunization coordinators and the operationalization and staff update for the introduction of this vaccine (December 1998); requesting the states to forward their implementation projects; ensuring the feasibility of capacity-training courses in vaccination rooms in order to ensure team efficiency; feedback to the states through a technical report on the new vaccine; advice and assistance for the states encountering greater difficulties in the implementation process; encouraging studies assessing the impacts of this vaccine in Brazil; disclosure through the mass communications media of the availability of vaccination against type B </w:t>
      </w:r>
      <w:r>
        <w:rPr>
          <w:u w:val="single"/>
        </w:rPr>
        <w:t>Haemophilus influenzae</w:t>
      </w:r>
      <w:r>
        <w:t xml:space="preserve"> during the multivaccination campaign.</w:t>
      </w:r>
    </w:p>
    <w:p w:rsidR="00000000" w:rsidRDefault="00000000"/>
    <w:p w:rsidR="00000000" w:rsidRDefault="00000000">
      <w:pPr>
        <w:pStyle w:val="Heading3"/>
      </w:pPr>
      <w:r>
        <w:t>Introduction of the influenza vaccine</w:t>
      </w:r>
    </w:p>
    <w:p w:rsidR="00000000" w:rsidRDefault="00000000"/>
    <w:p w:rsidR="00000000" w:rsidRDefault="00000000">
      <w:pPr>
        <w:pStyle w:val="ParaNo"/>
        <w:tabs>
          <w:tab w:val="clear" w:pos="360"/>
          <w:tab w:val="clear" w:pos="737"/>
        </w:tabs>
        <w:ind w:left="0" w:firstLine="0"/>
        <w:rPr>
          <w:lang w:val="en-GB"/>
        </w:rPr>
      </w:pPr>
      <w:r>
        <w:rPr>
          <w:lang w:val="en-GB"/>
        </w:rPr>
        <w:t xml:space="preserve">Over the past few decades, sweeping changes have been noted in Brazil’s nosological situation - which is a new aspect of public health in Brazil - through the systematic introduction of immunization drives targeting the younger sectors of the population.  That these actions have helped control, eliminate and/or eradicate diseases that can be prevented through immunization is reflected in the dropping morbidity and mortality rates for these diseases in the relevant age groups.  </w:t>
      </w:r>
    </w:p>
    <w:p w:rsidR="00000000" w:rsidRDefault="00000000"/>
    <w:p w:rsidR="00000000" w:rsidRDefault="00000000">
      <w:pPr>
        <w:pStyle w:val="ParaNo"/>
        <w:tabs>
          <w:tab w:val="clear" w:pos="360"/>
          <w:tab w:val="clear" w:pos="737"/>
        </w:tabs>
        <w:ind w:left="0" w:firstLine="0"/>
        <w:rPr>
          <w:lang w:val="en-GB"/>
        </w:rPr>
      </w:pPr>
      <w:r>
        <w:rPr>
          <w:lang w:val="en-GB"/>
        </w:rPr>
        <w:t>A good example is the National Immunization Programme (</w:t>
      </w:r>
      <w:r>
        <w:rPr>
          <w:u w:val="single"/>
          <w:lang w:val="en-GB"/>
        </w:rPr>
        <w:t>Programa Nacional de Imunizações</w:t>
      </w:r>
      <w:r>
        <w:rPr>
          <w:lang w:val="en-GB"/>
        </w:rPr>
        <w:t xml:space="preserve">) run during 1999 and 2000, which is now dealing with a fresh challenge:  extending its activities to include senior citizens, forging ahead with the process of providing services for the entire Brazilian population.  </w:t>
      </w:r>
    </w:p>
    <w:p w:rsidR="00000000" w:rsidRDefault="00000000"/>
    <w:p w:rsidR="00000000" w:rsidRDefault="00000000">
      <w:pPr>
        <w:pStyle w:val="ParaNo"/>
        <w:tabs>
          <w:tab w:val="clear" w:pos="360"/>
          <w:tab w:val="clear" w:pos="737"/>
        </w:tabs>
        <w:ind w:left="0" w:firstLine="0"/>
        <w:rPr>
          <w:lang w:val="en-GB"/>
        </w:rPr>
      </w:pPr>
      <w:r>
        <w:rPr>
          <w:lang w:val="en-GB"/>
        </w:rPr>
        <w:t xml:space="preserve">Timed to coincide with the launch of “Senior Citizens’ Year” by the Ministry of Health in 1999, investments were channelled to providing influenza vaccinations for this age group where this disease has been rising appreciably, according to information released by the Brazilian Institute of Geography and Statistics (IBGE - </w:t>
      </w:r>
      <w:r>
        <w:rPr>
          <w:u w:val="single"/>
          <w:lang w:val="en-GB"/>
        </w:rPr>
        <w:t>Instituto Brasileiro de Geografia e Estatística</w:t>
      </w:r>
      <w:r>
        <w:rPr>
          <w:lang w:val="en-GB"/>
        </w:rPr>
        <w:t xml:space="preserve">):  for people aged over 60 years, an increase of 18 per cent took place in the five years from 1992 to 1997.  </w:t>
      </w:r>
    </w:p>
    <w:p w:rsidR="00000000" w:rsidRDefault="00000000"/>
    <w:p w:rsidR="00000000" w:rsidRDefault="00000000">
      <w:pPr>
        <w:pStyle w:val="ParaNo"/>
        <w:tabs>
          <w:tab w:val="clear" w:pos="360"/>
          <w:tab w:val="clear" w:pos="737"/>
        </w:tabs>
        <w:ind w:left="0" w:firstLine="0"/>
        <w:rPr>
          <w:lang w:val="en-GB"/>
        </w:rPr>
      </w:pPr>
      <w:r>
        <w:rPr>
          <w:lang w:val="en-GB"/>
        </w:rPr>
        <w:t xml:space="preserve">The number of infections caused by the influenza virus clearly becomes more significant as the population includes larger numbers of elderly citizens.  Older people and those suffering from chronic diseases run higher risks of post-infection complications.  Influenza is significant in particular because of the speed with which epidemics occur, the high morbidity rates and the possibility of severe complications in older citizens.  According to studies carried out in countries where it has already been introduced, the influenza vaccine may reduce the need for hospitalization by up to 70 per cent and deaths by up to 85 per cent among senior citizens not living in institutions.  </w:t>
      </w:r>
    </w:p>
    <w:p w:rsidR="00000000" w:rsidRDefault="00000000"/>
    <w:p w:rsidR="00000000" w:rsidRDefault="00000000">
      <w:pPr>
        <w:pStyle w:val="ParaNo"/>
        <w:tabs>
          <w:tab w:val="clear" w:pos="360"/>
          <w:tab w:val="clear" w:pos="737"/>
        </w:tabs>
        <w:ind w:left="0" w:firstLine="0"/>
        <w:rPr>
          <w:lang w:val="en-GB"/>
        </w:rPr>
      </w:pPr>
      <w:r>
        <w:rPr>
          <w:lang w:val="en-GB"/>
        </w:rPr>
        <w:t xml:space="preserve">The composition of the influenza vaccines purchased and distributed in Brazil complied with the recommendations issued by WHO and were produced from the predominant viral strain circulating in the northern and southern hemispheres each year.  </w:t>
      </w:r>
    </w:p>
    <w:p w:rsidR="00000000" w:rsidRDefault="00000000"/>
    <w:p w:rsidR="00000000" w:rsidRDefault="00000000">
      <w:pPr>
        <w:pStyle w:val="ParaNo"/>
        <w:tabs>
          <w:tab w:val="clear" w:pos="360"/>
          <w:tab w:val="clear" w:pos="737"/>
        </w:tabs>
        <w:ind w:left="0" w:firstLine="0"/>
        <w:rPr>
          <w:lang w:val="en-GB"/>
        </w:rPr>
      </w:pPr>
      <w:r>
        <w:rPr>
          <w:lang w:val="en-GB"/>
        </w:rPr>
        <w:br w:type="page"/>
        <w:t>The period from March to August has been indicated by the epidemiological surveillance authorities in Brazil as the most vulnerable time for this virus.  Consequently, the vaccination campaign was run from 12–30 April 1999, covering citizens aged over 65 at the same time their diphtheria and tetanus vaccinations were brought up to date (accidental tetanus has been shifting to higher age groups over the past few years), as well as offering vaccination against pneumococcus for hospitalized patients, people living in shelters and geriatric homes, patients suffering from chronic pneumopathies, cardiopathies and nephropathies, neoplasias and metabolic disturbances, and immunodepressed patients.</w:t>
      </w:r>
    </w:p>
    <w:p w:rsidR="00000000" w:rsidRDefault="00000000"/>
    <w:p w:rsidR="00000000" w:rsidRDefault="00000000">
      <w:pPr>
        <w:pStyle w:val="ParaNo"/>
        <w:tabs>
          <w:tab w:val="clear" w:pos="360"/>
          <w:tab w:val="clear" w:pos="737"/>
        </w:tabs>
        <w:ind w:left="0" w:firstLine="0"/>
        <w:rPr>
          <w:lang w:val="en-GB"/>
        </w:rPr>
      </w:pPr>
      <w:r>
        <w:rPr>
          <w:lang w:val="en-GB"/>
        </w:rPr>
        <w:t xml:space="preserve">The pneumococcus is an important cause of death, with high mortality rates among the elderly suffering from debilitating diseases or whose immune systems are adversely affected.  This is even more serious in lower social and economic groups.  A high and rising resistance to antibiotic treatment has been noted worldwide and is occurring more frequently, confirming vaccination as the best option.  A study of the planned and epidemiological effect of influenza vaccination is schedule for 2000, targeting the population aged over 60.  </w:t>
      </w:r>
    </w:p>
    <w:p w:rsidR="00000000" w:rsidRDefault="00000000"/>
    <w:p w:rsidR="00000000" w:rsidRDefault="00000000">
      <w:pPr>
        <w:pStyle w:val="ParaNo"/>
        <w:tabs>
          <w:tab w:val="clear" w:pos="360"/>
          <w:tab w:val="clear" w:pos="737"/>
        </w:tabs>
        <w:ind w:left="0" w:firstLine="0"/>
        <w:rPr>
          <w:lang w:val="en-GB"/>
        </w:rPr>
      </w:pPr>
      <w:r>
        <w:rPr>
          <w:lang w:val="en-GB"/>
        </w:rPr>
        <w:t>It is important to note that during routine vaccination, the public health</w:t>
      </w:r>
      <w:r>
        <w:rPr>
          <w:lang w:val="en-GB"/>
        </w:rPr>
        <w:noBreakHyphen/>
        <w:t xml:space="preserve">care network offers influenza vaccines free of charge, as well as vaccination against pneumococcus at the state referral centres for persons with special clinical conditions:  influenza vaccine for individuals with chronic cardiopathies and pneumopathies, mucoviscidosis, Down’s syndrome with at least two episodes of pneumonia and who are HIV-positive; pneumococcus vaccine for adults and children aged over 2 years with anatomical or functional asplenia, hepatic cirrhosis, congenital or acquired immunodeficiency, liquorous fistula, bone-marrow transplants, patients suffering from chronic pulmonary or cardiovascular diseases, and insulin-dependent diabetes mellitus patients.  </w:t>
      </w:r>
    </w:p>
    <w:p w:rsidR="00000000" w:rsidRDefault="00000000"/>
    <w:p w:rsidR="00000000" w:rsidRDefault="00000000">
      <w:pPr>
        <w:pStyle w:val="ParaNo"/>
        <w:tabs>
          <w:tab w:val="clear" w:pos="360"/>
          <w:tab w:val="clear" w:pos="737"/>
        </w:tabs>
        <w:ind w:left="0" w:firstLine="0"/>
        <w:rPr>
          <w:lang w:val="en-GB"/>
        </w:rPr>
      </w:pPr>
      <w:r>
        <w:rPr>
          <w:lang w:val="en-GB"/>
        </w:rPr>
        <w:t>In 1999, the influenza vaccination campaign achieved a coverage rate in Brazil of 87.3 per cent of the population aged 65 years and over (corresponding to 5.32 per cent of the total Brazilian population) vaccinating 7,519,114 senior citizens and proving the good receptiveness of this new product.  Among the municipal districts, 88.43 per cent met their vaccination coverage targets by achieving rates of 70 per cent or more (northern Brazil 83.52 per cent; north</w:t>
      </w:r>
      <w:r>
        <w:rPr>
          <w:lang w:val="en-GB"/>
        </w:rPr>
        <w:noBreakHyphen/>
        <w:t>east 80.19 per cent; south</w:t>
      </w:r>
      <w:r>
        <w:rPr>
          <w:lang w:val="en-GB"/>
        </w:rPr>
        <w:noBreakHyphen/>
        <w:t>east 91.66 per cent; south 97.58 per cent and centre-west 90.58 per cent).</w:t>
      </w:r>
    </w:p>
    <w:p w:rsidR="00000000" w:rsidRDefault="00000000"/>
    <w:p w:rsidR="00000000" w:rsidRDefault="00000000">
      <w:pPr>
        <w:pStyle w:val="ParaNo"/>
        <w:tabs>
          <w:tab w:val="clear" w:pos="360"/>
          <w:tab w:val="clear" w:pos="737"/>
        </w:tabs>
        <w:ind w:left="0" w:firstLine="0"/>
        <w:rPr>
          <w:lang w:val="en-GB"/>
        </w:rPr>
      </w:pPr>
      <w:r>
        <w:rPr>
          <w:lang w:val="en-GB"/>
        </w:rPr>
        <w:t>Vaccination against pneumococcus, given at the same time as the influenza vaccine, reached 871,913 senior citizens (data subject to review) in clinical situations that predisposed them to infections and subsequent complications, living in hospitals, geriatric homes and shelters.</w:t>
      </w:r>
    </w:p>
    <w:p w:rsidR="00000000" w:rsidRDefault="00000000"/>
    <w:p w:rsidR="00000000" w:rsidRDefault="00000000">
      <w:pPr>
        <w:pStyle w:val="ParaNo"/>
        <w:tabs>
          <w:tab w:val="clear" w:pos="360"/>
          <w:tab w:val="clear" w:pos="737"/>
        </w:tabs>
        <w:ind w:left="0" w:firstLine="0"/>
        <w:rPr>
          <w:lang w:val="en-GB"/>
        </w:rPr>
      </w:pPr>
      <w:r>
        <w:rPr>
          <w:lang w:val="en-GB"/>
        </w:rPr>
        <w:t>In 2000, the Senior Citizens Vaccination Campaign (</w:t>
      </w:r>
      <w:r>
        <w:rPr>
          <w:u w:val="single"/>
          <w:lang w:val="en-GB"/>
        </w:rPr>
        <w:t>Campanha de Vacinação dos Idosos</w:t>
      </w:r>
      <w:r>
        <w:rPr>
          <w:lang w:val="en-GB"/>
        </w:rPr>
        <w:t xml:space="preserve">) extended the use of these same immunobiological products to the population aged 60 years and over.  From 17–29 April a fresh campaign should be run offering a single annual dose of the influenza vaccine to this entire population, as well as a dose of the pneumococcus vaccine for hospital patients or residents of shelters and geriatric homes who did not receive this vaccine in 1999.  The pneumococcus vaccination consists of a single dose, with a booster shot every five years.  </w:t>
      </w:r>
    </w:p>
    <w:p w:rsidR="00000000" w:rsidRDefault="00000000"/>
    <w:p w:rsidR="00000000" w:rsidRDefault="00000000">
      <w:pPr>
        <w:pStyle w:val="ParaNo"/>
        <w:tabs>
          <w:tab w:val="clear" w:pos="360"/>
          <w:tab w:val="clear" w:pos="737"/>
        </w:tabs>
        <w:ind w:left="0" w:firstLine="0"/>
        <w:rPr>
          <w:lang w:val="en-GB"/>
        </w:rPr>
      </w:pPr>
      <w:r>
        <w:rPr>
          <w:lang w:val="en-GB"/>
        </w:rPr>
        <w:t>The reduction in the morbidity and mortality rates among the elderly caused by influenza and pneumonia will help upgrade the quality of life among the population in this age group.  The specific objectives of the campaign planned by the Government include expanding the supply of vaccines to ensure wide-ranging coverage of the elderly population; an influenza vaccination campaign covering the entire elderly population in 1999 aged 65 years and over, extending this to 60 years and over in 2000; vaccination in parallel to the influenza vaccination campaign for the elderly in the same age group who are hospitalized or living in shelters and geriatric homes; updating the vaccination situation of the elderly population in terms of diphtheria and tetanus vaccines; boosting the self</w:t>
      </w:r>
      <w:r>
        <w:rPr>
          <w:lang w:val="en-GB"/>
        </w:rPr>
        <w:noBreakHyphen/>
        <w:t>esteem and responsibility for their own health among the elderly sector of the population; encouraging the family to seek protection at vaccination units for all biological age groups; support for carrying out surveys and research into related topics, more particularly undertaking a study of the epidemiological effects of this vaccine in Brazil.</w:t>
      </w:r>
    </w:p>
    <w:p w:rsidR="00000000" w:rsidRDefault="00000000"/>
    <w:p w:rsidR="00000000" w:rsidRDefault="00000000">
      <w:pPr>
        <w:pStyle w:val="ParaNo"/>
        <w:tabs>
          <w:tab w:val="clear" w:pos="360"/>
          <w:tab w:val="clear" w:pos="737"/>
        </w:tabs>
        <w:ind w:left="0" w:firstLine="0"/>
        <w:rPr>
          <w:lang w:val="en-GB"/>
        </w:rPr>
      </w:pPr>
      <w:r>
        <w:rPr>
          <w:lang w:val="en-GB"/>
        </w:rPr>
        <w:t>In 1999 and 2000, these targets included vaccination through a single annual dose against influenza covering 70 per cent of the population aged 60 years and over, with single-dose vaccination against pneumococcus also given to the entire population 60 years and over who were hospitalized or living in shelters and geriatric homes who had not been vaccinated in the past five years; updating the vaccine situation of 70 per cent of the population aged 65 years and over against diphtheria and tetanus; and ensuring that these minimum coverage rates will be achieved in all municipal districts.</w:t>
      </w:r>
    </w:p>
    <w:p w:rsidR="00000000" w:rsidRDefault="00000000"/>
    <w:p w:rsidR="00000000" w:rsidRDefault="00000000">
      <w:pPr>
        <w:pStyle w:val="ParaNo"/>
        <w:tabs>
          <w:tab w:val="clear" w:pos="360"/>
          <w:tab w:val="clear" w:pos="737"/>
        </w:tabs>
        <w:ind w:left="0" w:firstLine="0"/>
        <w:rPr>
          <w:lang w:val="en-GB"/>
        </w:rPr>
      </w:pPr>
      <w:r>
        <w:rPr>
          <w:lang w:val="en-GB"/>
        </w:rPr>
        <w:t>The strategies outlined for this purpose include:  guaranteed acquisition and supply of the vaccine in order to ensure full service of the target population; ensuring the feasibility of capacity-building courses in vaccination rooms in order to ensure the efficiency of the vaccination teams when applying the new product; feedback for the teams involved with immunization in the public sector in order to ensure the efficiency and efficacy of these services; organization of meetings with the Senior Citizens Coordination Unit (</w:t>
      </w:r>
      <w:r>
        <w:rPr>
          <w:u w:val="single"/>
          <w:lang w:val="en-GB"/>
        </w:rPr>
        <w:t>Coordenação do Idoso</w:t>
      </w:r>
      <w:r>
        <w:rPr>
          <w:lang w:val="en-GB"/>
        </w:rPr>
        <w:t>) under the Ministry of Health to discuss this vaccination campaign; establishment of Senior Citizens Vaccination Campaign dissemination and mobilization and dissemination at various levels of government (federal, state and municipal), as well as the use of the adult vaccination card; heightened awareness among the communications media (radio, television, magazines, newspapers, etc.) in order to publicize this new vaccination scheme for senior citizens aged 60 years and over; organization of a nationwide campaign in the mass communications media to publicize vaccination for senior citizens; organization of two nationwide meetings to plan and assess the campaign; requesting the states to forward their vaccination implementation projects; feedback to the states through preparing a technical report on the new vaccine; advisory services and assistance for states encountering greater difficulty in implementing the vaccination campaign; encouragement of studies assessing the epidemiological impact of the introduction of the vaccine, reflected in lower rates of complications caused by influenza and pneumonia.</w:t>
      </w:r>
    </w:p>
    <w:p w:rsidR="00000000" w:rsidRDefault="00000000"/>
    <w:p w:rsidR="00000000" w:rsidRDefault="00000000">
      <w:pPr>
        <w:pStyle w:val="Heading3"/>
      </w:pPr>
      <w:r>
        <w:t>Homogeneity of the vaccine coverage rates in all municipal districts</w:t>
      </w:r>
    </w:p>
    <w:p w:rsidR="00000000" w:rsidRDefault="00000000"/>
    <w:p w:rsidR="00000000" w:rsidRDefault="00000000">
      <w:pPr>
        <w:pStyle w:val="ParaNo"/>
        <w:tabs>
          <w:tab w:val="clear" w:pos="360"/>
          <w:tab w:val="clear" w:pos="737"/>
        </w:tabs>
        <w:ind w:left="0" w:firstLine="0"/>
        <w:rPr>
          <w:lang w:val="en-GB"/>
        </w:rPr>
      </w:pPr>
      <w:r>
        <w:rPr>
          <w:lang w:val="en-GB"/>
        </w:rPr>
        <w:t xml:space="preserve">Global progress achieved during the 1990s in the fields of immunology and epidemiology, particularly with regard to the control of diseases that can be prevented through immunization, has been monitored by Brazil, and is clearly reflected in the sharp drop in the </w:t>
      </w:r>
    </w:p>
    <w:p w:rsidR="00000000" w:rsidRDefault="00000000">
      <w:r>
        <w:br w:type="page"/>
        <w:t xml:space="preserve">relevant morbidity and mortality rates.  Owing to the support to and strengthening of the epidemiological surveillance services for these diseases in Brazil, immunization activities have continued to ensure the ongoing eradication of poliomyelitis, strive to eradicate measles and eliminate neonatal tetanus by the year 2000, as well as control diphtheria, whooping cough and accidental tetanus, in addition to severe forms of tuberculosis, hepatitis B, yellow fever, congenital rubella syndrome, infections caused by type B </w:t>
      </w:r>
      <w:r>
        <w:rPr>
          <w:u w:val="single"/>
        </w:rPr>
        <w:t>Haemophilus influenzae</w:t>
      </w:r>
      <w:r>
        <w:t xml:space="preserve"> and chickenpox, through routine vaccination at the health</w:t>
      </w:r>
      <w:r>
        <w:noBreakHyphen/>
        <w:t xml:space="preserve">care units in the public health network covering the entire Brazilian population according to the Basic Calendar.  Furthermore, Brazil’s National Immunizations Programme (PNI - </w:t>
      </w:r>
      <w:r>
        <w:rPr>
          <w:u w:val="single"/>
        </w:rPr>
        <w:t>Programa Nacional de Imunizações</w:t>
      </w:r>
      <w:r>
        <w:t>) makes special immunobiological products available through the Public Health-Care Network at the state referral centres for the portion of the population unable to enjoy the benefits of the basic routine vaccinations at the public health</w:t>
      </w:r>
      <w:r>
        <w:noBreakHyphen/>
        <w:t>care units due to clinical conditions constituting counterindication.</w:t>
      </w:r>
    </w:p>
    <w:p w:rsidR="00000000" w:rsidRDefault="00000000"/>
    <w:p w:rsidR="00000000" w:rsidRDefault="00000000">
      <w:pPr>
        <w:pStyle w:val="ParaNo"/>
        <w:tabs>
          <w:tab w:val="clear" w:pos="360"/>
          <w:tab w:val="clear" w:pos="737"/>
        </w:tabs>
        <w:ind w:left="0" w:firstLine="0"/>
        <w:rPr>
          <w:lang w:val="en-GB"/>
        </w:rPr>
      </w:pPr>
      <w:r>
        <w:rPr>
          <w:lang w:val="en-GB"/>
        </w:rPr>
        <w:t xml:space="preserve">The main task that is currently being handled by the National Immunizations Programme Coordination Unit consists of inviting the representatives of the Municipal Health Councillors to join in discussions during the decentralization phase in order to ensure the technical and managerial conditions needed to implement the immunization activities properly.  </w:t>
      </w:r>
    </w:p>
    <w:p w:rsidR="00000000" w:rsidRDefault="00000000"/>
    <w:p w:rsidR="00000000" w:rsidRDefault="00000000">
      <w:pPr>
        <w:pStyle w:val="ParaNo"/>
        <w:tabs>
          <w:tab w:val="clear" w:pos="360"/>
          <w:tab w:val="clear" w:pos="737"/>
        </w:tabs>
        <w:ind w:left="0" w:firstLine="0"/>
        <w:rPr>
          <w:lang w:val="en-GB"/>
        </w:rPr>
      </w:pPr>
      <w:r>
        <w:rPr>
          <w:lang w:val="en-GB"/>
        </w:rPr>
        <w:t>The percentage values for the vaccination coverage rates over the past few years have increased on average nationwide, although in a very uneven way, when analysed at the municipal level.  This represents an epidemiological vulnerability that could foster the formation and expansion of susceptible groups.  In view of this risk, and in accordance with Brazil’s 1988 Constitution which establishes the principles of universal access, full facilities and fair treatment for the actions undertaken by the Single Health-Care System, the National Immunizations Programme is investing in and ensuring actions designed to encourage and provide full support for decentralization, building up managerial capacities at all levels in order to ensure the effective deployment of immunization activities; seeking out and firming up major partnerships; providing support for vaccination coverage rate surveys; and supporting the policy of publicizing the services offered.</w:t>
      </w:r>
    </w:p>
    <w:p w:rsidR="00000000" w:rsidRDefault="00000000"/>
    <w:p w:rsidR="00000000" w:rsidRDefault="00000000">
      <w:pPr>
        <w:pStyle w:val="ParaNo"/>
        <w:tabs>
          <w:tab w:val="clear" w:pos="360"/>
          <w:tab w:val="clear" w:pos="737"/>
        </w:tabs>
        <w:ind w:left="0" w:firstLine="0"/>
        <w:rPr>
          <w:lang w:val="en-GB"/>
        </w:rPr>
      </w:pPr>
      <w:r>
        <w:rPr>
          <w:lang w:val="en-GB"/>
        </w:rPr>
        <w:t>The National Immunizations Programme has organized forums on the decentralization of immunization activities that are attended by the State Immunizations Coordination Units representing the national, state and municipal health</w:t>
      </w:r>
      <w:r>
        <w:rPr>
          <w:lang w:val="en-GB"/>
        </w:rPr>
        <w:noBreakHyphen/>
        <w:t>care councils, as well as by many different segments of society, in order to conduct this process in the best possible manner.  In 1999, discussions focused on redefining the roles of the directors at the national, state and municipal levels, in order to decentralize the activities of the National Immunizations Programme.</w:t>
      </w:r>
    </w:p>
    <w:p w:rsidR="00000000" w:rsidRDefault="00000000"/>
    <w:p w:rsidR="00000000" w:rsidRDefault="00000000">
      <w:pPr>
        <w:pStyle w:val="ParaNo"/>
        <w:tabs>
          <w:tab w:val="clear" w:pos="360"/>
          <w:tab w:val="clear" w:pos="737"/>
        </w:tabs>
        <w:ind w:left="0" w:firstLine="0"/>
        <w:rPr>
          <w:lang w:val="en-GB"/>
        </w:rPr>
      </w:pPr>
      <w:r>
        <w:rPr>
          <w:lang w:val="en-GB"/>
        </w:rPr>
        <w:t>The same year, intensive efforts took place among the State Immunization Coordination Units and the representatives of the COSEMS in order to decentralize the actions carried out under the aegis of this programme.  From 1992 to 1999, an increase of some 28 per cent was noted in the municipal districts with coverage rates equal to or greater than the recommended levels.  During the second nationwide campaign against poliomyelitis the coverage rate was 90 per cent (55.0 per cent in 1992, and 83.0 per cent in 1999).</w:t>
      </w:r>
    </w:p>
    <w:p w:rsidR="00000000" w:rsidRDefault="00000000"/>
    <w:p w:rsidR="00000000" w:rsidRDefault="00000000">
      <w:pPr>
        <w:pStyle w:val="ParaNo"/>
        <w:tabs>
          <w:tab w:val="clear" w:pos="360"/>
          <w:tab w:val="clear" w:pos="737"/>
        </w:tabs>
        <w:ind w:left="0" w:firstLine="0"/>
        <w:rPr>
          <w:lang w:val="en-GB"/>
        </w:rPr>
      </w:pPr>
      <w:r>
        <w:rPr>
          <w:lang w:val="en-GB"/>
        </w:rPr>
        <w:br w:type="page"/>
        <w:t>88.43 per cent of Brazilian municipal districts achieved the target vaccination coverage rate of at least 70 per cent for influenza vaccinations during the campaign targeting senior citizens in April 1999 (northern Brazil 83.52 per cent; north</w:t>
      </w:r>
      <w:r>
        <w:rPr>
          <w:lang w:val="en-GB"/>
        </w:rPr>
        <w:noBreakHyphen/>
        <w:t>east 80.19 per cent; south</w:t>
      </w:r>
      <w:r>
        <w:rPr>
          <w:lang w:val="en-GB"/>
        </w:rPr>
        <w:noBreakHyphen/>
        <w:t xml:space="preserve">east 91.66 per cent; south 97.58 per cent; and centre-west 90.58 per cent).  </w:t>
      </w:r>
    </w:p>
    <w:p w:rsidR="00000000" w:rsidRDefault="00000000"/>
    <w:p w:rsidR="00000000" w:rsidRDefault="00000000">
      <w:pPr>
        <w:pStyle w:val="ParaNo"/>
        <w:tabs>
          <w:tab w:val="clear" w:pos="360"/>
          <w:tab w:val="clear" w:pos="737"/>
        </w:tabs>
        <w:ind w:left="0" w:firstLine="0"/>
        <w:rPr>
          <w:lang w:val="en-GB"/>
        </w:rPr>
      </w:pPr>
      <w:r>
        <w:rPr>
          <w:lang w:val="en-GB"/>
        </w:rPr>
        <w:t>Based on the Agreed Integrated Scheduling (</w:t>
      </w:r>
      <w:r>
        <w:rPr>
          <w:u w:val="single"/>
          <w:lang w:val="en-GB"/>
        </w:rPr>
        <w:t>Programação Pactuada Integrada</w:t>
      </w:r>
      <w:r>
        <w:rPr>
          <w:lang w:val="en-GB"/>
        </w:rPr>
        <w:t>), this decentralization process was fine-tuned during 2000; this is vital for achieving the recommended vaccination coverage rates by municipal districts in an evenly distributed manner nationwide.</w:t>
      </w:r>
    </w:p>
    <w:p w:rsidR="00000000" w:rsidRDefault="00000000"/>
    <w:p w:rsidR="00000000" w:rsidRDefault="00000000">
      <w:pPr>
        <w:pStyle w:val="ParaNo"/>
        <w:tabs>
          <w:tab w:val="clear" w:pos="360"/>
          <w:tab w:val="clear" w:pos="737"/>
        </w:tabs>
        <w:ind w:left="0" w:firstLine="0"/>
        <w:rPr>
          <w:lang w:val="en-GB"/>
        </w:rPr>
      </w:pPr>
      <w:r>
        <w:rPr>
          <w:lang w:val="en-GB"/>
        </w:rPr>
        <w:t>The objectives of this upgrade drive are:  to achieve and maintain adequate vaccination coverage rates for all products listed in the Basic Calendar, complying with the targets defined by the National Immunizations Programme in all municipal districts throughout Brazil, thereby ensuring individual and community protection for the Brazilian population; to achieve high, even vaccination coverage rates during the vaccination campaigns run by the National Epidemiology Centre/National Health Foundation (FUNASA)/Ministry of Health in order to ensure control over the diseases that can be prevented by immunization covered by this measure.</w:t>
      </w:r>
    </w:p>
    <w:p w:rsidR="00000000" w:rsidRDefault="00000000"/>
    <w:p w:rsidR="00000000" w:rsidRDefault="00000000">
      <w:pPr>
        <w:pStyle w:val="ParaNo"/>
        <w:tabs>
          <w:tab w:val="clear" w:pos="360"/>
          <w:tab w:val="clear" w:pos="737"/>
        </w:tabs>
        <w:ind w:left="0" w:firstLine="0"/>
        <w:rPr>
          <w:lang w:val="en-GB"/>
        </w:rPr>
      </w:pPr>
      <w:r>
        <w:rPr>
          <w:lang w:val="en-GB"/>
        </w:rPr>
        <w:t>The targets are designed to cover at least 90 per cent of Brazil’s 5,507 municipal districts with adequate vaccination coverage rates, by state, for all the vaccines under the National Immunization Programme, either through routine vaccinations or during campaigns.  To do this, the following strategies have been drawn up:  guaranteed domestic acquisition and supply of the immunobiological product stipulated in the Basic Calendar in order to ensure full coverage of the target population, as well as vaccine products for use in campaigns; encouraging discussions among the State Immunization Coordinators, ensuring that the adequate homogeneity coverage levels are monitored and assessed in each state with guaranteed participation by the municipal entities; computerization of the process at the nationwide level; preparation of a document to guide the decentralization of activities carried out under the aegis of the National Immunizations Programme; identification of states with low homogenous coverage ratings, monitored through an advisory and supervisory group consisting of the technical experts appointed by the National Immunizations Programme; broad-ranging participation for governmental and non</w:t>
      </w:r>
      <w:r>
        <w:rPr>
          <w:lang w:val="en-GB"/>
        </w:rPr>
        <w:noBreakHyphen/>
        <w:t>governmental organizations as well as organized civil society; seeking alliances and partnerships and implementing the supervision tool in Brazil; guaranteed assessments and decision-taking for problems related to the supervision tool coming from each state; implementation of the Post</w:t>
      </w:r>
      <w:r>
        <w:rPr>
          <w:lang w:val="en-GB"/>
        </w:rPr>
        <w:noBreakHyphen/>
        <w:t>Vaccination Adverse Events Surveillance System (</w:t>
      </w:r>
      <w:r>
        <w:rPr>
          <w:u w:val="single"/>
          <w:lang w:val="en-GB"/>
        </w:rPr>
        <w:t>Sistema de Vigilância de Eventos Adversos Pós-Vacinais</w:t>
      </w:r>
      <w:r>
        <w:rPr>
          <w:lang w:val="en-GB"/>
        </w:rPr>
        <w:t xml:space="preserve">) in Brazil; heightened awareness among the communications media (radio, television, magazines, newspapers, etc.) of the importance of publicizing routine vaccination activities on the Basic Calendar recommended by the Ministry of Health, as well as other immunization activity servicing the population; heightening awareness among the state secretaries of health and town councillors of the importance of vaccination coverage in their municipal districts, stressing the Basic Calendar and routine vaccination for children, adolescents and senior citizens; encouraging scientific studies that could pave the way towards reaching the established targets, including analyses of vaccination coverage rates, coverage surveys, studies of missed vaccination opportunities, etc.  </w:t>
      </w:r>
    </w:p>
    <w:p w:rsidR="00000000" w:rsidRDefault="00000000"/>
    <w:p w:rsidR="00000000" w:rsidRDefault="00000000">
      <w:pPr>
        <w:pStyle w:val="ParaNo"/>
        <w:tabs>
          <w:tab w:val="clear" w:pos="360"/>
          <w:tab w:val="clear" w:pos="737"/>
        </w:tabs>
        <w:ind w:left="0" w:firstLine="0"/>
        <w:rPr>
          <w:lang w:val="en-GB"/>
        </w:rPr>
      </w:pPr>
      <w:r>
        <w:rPr>
          <w:lang w:val="en-GB"/>
        </w:rPr>
        <w:br w:type="page"/>
        <w:t xml:space="preserve">The dissemination of the rights stipulated in article 12 of the International Covenant on Economic, Social and Cultural Rights was handled through countless mechanisms.  The Brazilian Government highlights one of these mechanism:  the </w:t>
      </w:r>
      <w:r>
        <w:rPr>
          <w:u w:val="single"/>
          <w:lang w:val="en-GB"/>
        </w:rPr>
        <w:t>Canal Saúde</w:t>
      </w:r>
      <w:r>
        <w:rPr>
          <w:lang w:val="en-GB"/>
        </w:rPr>
        <w:t xml:space="preserve"> health</w:t>
      </w:r>
      <w:r>
        <w:rPr>
          <w:lang w:val="en-GB"/>
        </w:rPr>
        <w:noBreakHyphen/>
        <w:t>care channel that has been disseminating information nationwide for the past six years, following global guidelines that assign high priority to promoting health as the process of capacity-building empowering the community to upgrade its own quality of life.  Its introduction was a response to the decision taken by the National Health-Care Conferences that identified information, education and communication as strategic tools for implementing the Single Health-Care System, as well as vital aspects for achieving full citizenship.  Expanding access to high-quality information is the main function.</w:t>
      </w:r>
    </w:p>
    <w:p w:rsidR="00000000" w:rsidRDefault="00000000"/>
    <w:p w:rsidR="00000000" w:rsidRDefault="00000000">
      <w:pPr>
        <w:pStyle w:val="ParaNo"/>
        <w:tabs>
          <w:tab w:val="clear" w:pos="360"/>
          <w:tab w:val="clear" w:pos="737"/>
        </w:tabs>
        <w:ind w:left="0" w:firstLine="0"/>
        <w:rPr>
          <w:lang w:val="en-GB"/>
        </w:rPr>
      </w:pPr>
      <w:r>
        <w:rPr>
          <w:lang w:val="en-GB"/>
        </w:rPr>
        <w:t>Redeeming the concept of health, and expanding it to include quality of life has been a major challenge.  In order to deal effectively with this challenge, programmes have been designed with many different formats, targeting different sectors of the population.  Some of the more outstanding are listed below:</w:t>
      </w:r>
    </w:p>
    <w:p w:rsidR="00000000" w:rsidRDefault="00000000"/>
    <w:p w:rsidR="00000000" w:rsidRDefault="00000000">
      <w:pPr>
        <w:ind w:left="720" w:hanging="720"/>
      </w:pPr>
      <w:r>
        <w:tab/>
      </w:r>
      <w:r>
        <w:rPr>
          <w:u w:val="single"/>
        </w:rPr>
        <w:t>Canal Saúde/TVE</w:t>
      </w:r>
      <w:r>
        <w:t>:  social, political, economic and cultural issues are discussed, highlighting their relevance to the field of health;</w:t>
      </w:r>
    </w:p>
    <w:p w:rsidR="00000000" w:rsidRDefault="00000000"/>
    <w:p w:rsidR="00000000" w:rsidRDefault="00000000">
      <w:r>
        <w:tab/>
      </w:r>
      <w:r>
        <w:rPr>
          <w:u w:val="single"/>
        </w:rPr>
        <w:t>Acervo</w:t>
      </w:r>
      <w:r>
        <w:t>:  featuring videos produced all over Brazil;</w:t>
      </w:r>
    </w:p>
    <w:p w:rsidR="00000000" w:rsidRDefault="00000000"/>
    <w:p w:rsidR="00000000" w:rsidRDefault="00000000">
      <w:r>
        <w:tab/>
      </w:r>
      <w:r>
        <w:rPr>
          <w:u w:val="single"/>
        </w:rPr>
        <w:t>Bate-Papo</w:t>
      </w:r>
      <w:r>
        <w:t>:  talk show with interviews related to government health</w:t>
      </w:r>
      <w:r>
        <w:noBreakHyphen/>
        <w:t>care policies;</w:t>
      </w:r>
    </w:p>
    <w:p w:rsidR="00000000" w:rsidRDefault="00000000"/>
    <w:p w:rsidR="00000000" w:rsidRDefault="00000000">
      <w:pPr>
        <w:ind w:left="720" w:hanging="720"/>
      </w:pPr>
      <w:r>
        <w:tab/>
      </w:r>
      <w:r>
        <w:rPr>
          <w:u w:val="single"/>
        </w:rPr>
        <w:t>Canal Aberto</w:t>
      </w:r>
      <w:r>
        <w:t>:  coverage of conferences, congresses, seminars and other events of interest to the field of health care;</w:t>
      </w:r>
    </w:p>
    <w:p w:rsidR="00000000" w:rsidRDefault="00000000"/>
    <w:p w:rsidR="00000000" w:rsidRDefault="00000000">
      <w:pPr>
        <w:ind w:left="720" w:hanging="720"/>
      </w:pPr>
      <w:r>
        <w:tab/>
      </w:r>
      <w:r>
        <w:rPr>
          <w:u w:val="single"/>
        </w:rPr>
        <w:t>Comunidade em Cena</w:t>
      </w:r>
      <w:r>
        <w:t>:  documentaries portraying successful experiments and experiences, produced in partnership with community television stations;</w:t>
      </w:r>
    </w:p>
    <w:p w:rsidR="00000000" w:rsidRDefault="00000000"/>
    <w:p w:rsidR="00000000" w:rsidRDefault="00000000">
      <w:pPr>
        <w:ind w:left="720" w:hanging="720"/>
      </w:pPr>
      <w:r>
        <w:tab/>
      </w:r>
      <w:r>
        <w:rPr>
          <w:u w:val="single"/>
        </w:rPr>
        <w:t>É Com Você Cidadão</w:t>
      </w:r>
      <w:r>
        <w:t>:  fostering citizenship and heightening awareness of rights and duties;</w:t>
      </w:r>
    </w:p>
    <w:p w:rsidR="00000000" w:rsidRDefault="00000000"/>
    <w:p w:rsidR="00000000" w:rsidRDefault="00000000">
      <w:r>
        <w:tab/>
      </w:r>
      <w:r>
        <w:rPr>
          <w:u w:val="single"/>
        </w:rPr>
        <w:t>Ligado em Saúde</w:t>
      </w:r>
      <w:r>
        <w:t>:  replies to questions sent in by viewers all over Brazil;</w:t>
      </w:r>
    </w:p>
    <w:p w:rsidR="00000000" w:rsidRDefault="00000000"/>
    <w:p w:rsidR="00000000" w:rsidRDefault="00000000">
      <w:pPr>
        <w:ind w:left="720" w:hanging="720"/>
      </w:pPr>
      <w:r>
        <w:tab/>
      </w:r>
      <w:r>
        <w:rPr>
          <w:u w:val="single"/>
        </w:rPr>
        <w:t>Mesa-Redonda</w:t>
      </w:r>
      <w:r>
        <w:t>:  round-table discussions with leading practitioners in the field of sexually transmitted diseases/AIDS about successful experiences that could be reproduced throughout the country;</w:t>
      </w:r>
    </w:p>
    <w:p w:rsidR="00000000" w:rsidRDefault="00000000"/>
    <w:p w:rsidR="00000000" w:rsidRDefault="00000000">
      <w:r>
        <w:tab/>
      </w:r>
      <w:r>
        <w:rPr>
          <w:u w:val="single"/>
        </w:rPr>
        <w:t>Papo Saudável</w:t>
      </w:r>
      <w:r>
        <w:t>:  teenagers and their views on many different issues in the field of health;</w:t>
      </w:r>
    </w:p>
    <w:p w:rsidR="00000000" w:rsidRDefault="00000000"/>
    <w:p w:rsidR="00000000" w:rsidRDefault="00000000">
      <w:pPr>
        <w:ind w:left="720" w:hanging="720"/>
      </w:pPr>
      <w:r>
        <w:tab/>
      </w:r>
      <w:r>
        <w:rPr>
          <w:u w:val="single"/>
        </w:rPr>
        <w:t>Se Liga</w:t>
      </w:r>
      <w:r>
        <w:t>:  videos made by a wide variety of producers focusing on issues of interest for the prevention and combat of sexually transmitted diseases and AIDS; sexuality, drugs and violence;</w:t>
      </w:r>
    </w:p>
    <w:p w:rsidR="00000000" w:rsidRDefault="00000000"/>
    <w:p w:rsidR="00000000" w:rsidRDefault="00000000">
      <w:pPr>
        <w:ind w:left="720" w:hanging="720"/>
      </w:pPr>
      <w:r>
        <w:tab/>
      </w:r>
    </w:p>
    <w:p w:rsidR="00000000" w:rsidRDefault="00000000">
      <w:pPr>
        <w:ind w:left="720" w:hanging="720"/>
      </w:pPr>
      <w:r>
        <w:br w:type="page"/>
      </w:r>
      <w:r>
        <w:tab/>
      </w:r>
      <w:r>
        <w:rPr>
          <w:u w:val="single"/>
        </w:rPr>
        <w:t>Teleconferência</w:t>
      </w:r>
      <w:r>
        <w:t>:  headed by a mediator, discussants explain how nationwide projects and policies are drawn up in Brazil, clearing up doubts put forward by viewers and practitioners in auditoriums all over Brazil, broadcast live;</w:t>
      </w:r>
    </w:p>
    <w:p w:rsidR="00000000" w:rsidRDefault="00000000">
      <w:pPr>
        <w:ind w:left="720" w:hanging="720"/>
      </w:pPr>
      <w:r>
        <w:tab/>
      </w:r>
    </w:p>
    <w:p w:rsidR="00000000" w:rsidRDefault="00000000">
      <w:pPr>
        <w:ind w:left="720" w:hanging="720"/>
      </w:pPr>
      <w:r>
        <w:tab/>
      </w:r>
      <w:r>
        <w:rPr>
          <w:u w:val="single"/>
        </w:rPr>
        <w:t>Telelab</w:t>
      </w:r>
      <w:r>
        <w:t>:  distance education programme run by the STD/AIDS National Coordination Unit for practitioners working in laboratories;</w:t>
      </w:r>
    </w:p>
    <w:p w:rsidR="00000000" w:rsidRDefault="00000000"/>
    <w:p w:rsidR="00000000" w:rsidRDefault="00000000">
      <w:pPr>
        <w:ind w:left="720" w:hanging="720"/>
      </w:pPr>
      <w:r>
        <w:tab/>
      </w:r>
      <w:r>
        <w:rPr>
          <w:u w:val="single"/>
        </w:rPr>
        <w:t>Uni-Diversidade</w:t>
      </w:r>
      <w:r>
        <w:t>:  based on the opinions and statements of university students, this programme offers an overview of the lines of thought of future practitioners in Brazil.</w:t>
      </w:r>
    </w:p>
    <w:p w:rsidR="00000000" w:rsidRDefault="00000000"/>
    <w:p w:rsidR="00000000" w:rsidRDefault="00000000">
      <w:pPr>
        <w:pStyle w:val="ParaNo"/>
        <w:tabs>
          <w:tab w:val="clear" w:pos="360"/>
          <w:tab w:val="clear" w:pos="737"/>
        </w:tabs>
        <w:ind w:left="0" w:firstLine="0"/>
        <w:rPr>
          <w:lang w:val="en-GB"/>
        </w:rPr>
      </w:pPr>
      <w:r>
        <w:rPr>
          <w:lang w:val="en-GB"/>
        </w:rPr>
        <w:t xml:space="preserve">During 2000, 304 videos (programmes) are scheduled for production, to be aired by the </w:t>
      </w:r>
      <w:r>
        <w:rPr>
          <w:u w:val="single"/>
          <w:lang w:val="en-GB"/>
        </w:rPr>
        <w:t>Canal Saúde</w:t>
      </w:r>
      <w:r>
        <w:rPr>
          <w:lang w:val="en-GB"/>
        </w:rPr>
        <w:t xml:space="preserve"> health</w:t>
      </w:r>
      <w:r>
        <w:rPr>
          <w:lang w:val="en-GB"/>
        </w:rPr>
        <w:noBreakHyphen/>
        <w:t>care channel, each lasting one hour, for release over open-channel and cable television, as well as 1,160 one-hour programmes for closed-channel (satellite) release.</w:t>
      </w:r>
    </w:p>
    <w:p w:rsidR="00000000" w:rsidRDefault="00000000"/>
    <w:p w:rsidR="00000000" w:rsidRDefault="00000000">
      <w:pPr>
        <w:pStyle w:val="ParaNo"/>
        <w:tabs>
          <w:tab w:val="clear" w:pos="360"/>
          <w:tab w:val="clear" w:pos="737"/>
        </w:tabs>
        <w:ind w:left="0" w:firstLine="0"/>
        <w:rPr>
          <w:lang w:val="en-GB"/>
        </w:rPr>
      </w:pPr>
      <w:r>
        <w:rPr>
          <w:lang w:val="en-GB"/>
        </w:rPr>
        <w:t xml:space="preserve">The </w:t>
      </w:r>
      <w:r>
        <w:rPr>
          <w:u w:val="single"/>
          <w:lang w:val="en-GB"/>
        </w:rPr>
        <w:t>Canal Saúde</w:t>
      </w:r>
      <w:r>
        <w:rPr>
          <w:lang w:val="en-GB"/>
        </w:rPr>
        <w:t xml:space="preserve"> health</w:t>
      </w:r>
      <w:r>
        <w:rPr>
          <w:lang w:val="en-GB"/>
        </w:rPr>
        <w:noBreakHyphen/>
        <w:t>care channel is broadcast through the National Educational Television Network (</w:t>
      </w:r>
      <w:r>
        <w:rPr>
          <w:u w:val="single"/>
          <w:lang w:val="en-GB"/>
        </w:rPr>
        <w:t>Rede Nacional de TVs Educativas</w:t>
      </w:r>
      <w:r>
        <w:rPr>
          <w:lang w:val="en-GB"/>
        </w:rPr>
        <w:t>) with 800 broadcasting and relay stations all over Brazil; the Executive Channel of Embratel; the Amazon Television Network (AMAZON SAT); the NET subscription television system that airs the TVE Educational Channel in Rio de Janeiro; the SKY system which airs the TVE Educational Channel in Rio de Janeiro; UTV (University Television in Rio de Janeiro); University Television in Viçosa, Minas Gerais State, and NBR </w:t>
      </w:r>
      <w:r>
        <w:rPr>
          <w:lang w:val="en-GB"/>
        </w:rPr>
        <w:noBreakHyphen/>
        <w:t xml:space="preserve"> Radiobrás in Brasília.  Strong coordination links have been built up between the United Nations Drug Control Programme (UNDCP) and the STD/AIDS National Coordination Unit under the Ministry of Health, in order to produce and air these features.</w:t>
      </w:r>
    </w:p>
    <w:p w:rsidR="00000000" w:rsidRDefault="00000000"/>
    <w:p w:rsidR="00000000" w:rsidRDefault="00000000">
      <w:pPr>
        <w:pStyle w:val="ParaNo"/>
        <w:tabs>
          <w:tab w:val="clear" w:pos="360"/>
          <w:tab w:val="clear" w:pos="737"/>
        </w:tabs>
        <w:ind w:left="0" w:firstLine="0"/>
        <w:rPr>
          <w:lang w:val="en-GB"/>
        </w:rPr>
      </w:pPr>
      <w:r>
        <w:rPr>
          <w:lang w:val="en-GB"/>
        </w:rPr>
        <w:t>With regard to international assistance in the field of health care, the following table lists the projects financed with foreign funding that focus on basic health care.</w:t>
      </w:r>
    </w:p>
    <w:p w:rsidR="00000000" w:rsidRDefault="00000000">
      <w:pPr>
        <w:pStyle w:val="Heading1"/>
        <w:tabs>
          <w:tab w:val="left" w:pos="1560"/>
          <w:tab w:val="left" w:pos="2694"/>
        </w:tabs>
      </w:pPr>
    </w:p>
    <w:p w:rsidR="00000000" w:rsidRDefault="00000000">
      <w:pPr>
        <w:pStyle w:val="Heading1"/>
        <w:tabs>
          <w:tab w:val="left" w:pos="1560"/>
          <w:tab w:val="left" w:pos="2694"/>
        </w:tabs>
      </w:pPr>
      <w:r>
        <w:t>Table 85</w:t>
      </w:r>
    </w:p>
    <w:p w:rsidR="00000000" w:rsidRDefault="00000000">
      <w:pPr>
        <w:pStyle w:val="Heading1"/>
        <w:tabs>
          <w:tab w:val="left" w:pos="1560"/>
          <w:tab w:val="left" w:pos="2694"/>
        </w:tabs>
        <w:jc w:val="left"/>
      </w:pPr>
    </w:p>
    <w:p w:rsidR="00000000" w:rsidRDefault="00000000">
      <w:pPr>
        <w:pStyle w:val="Heading1"/>
        <w:tabs>
          <w:tab w:val="left" w:pos="1560"/>
          <w:tab w:val="left" w:pos="2694"/>
        </w:tabs>
      </w:pPr>
      <w:r>
        <w:t>Health projects run by the Ministry of Health with</w:t>
      </w:r>
    </w:p>
    <w:p w:rsidR="00000000" w:rsidRDefault="00000000">
      <w:pPr>
        <w:pStyle w:val="Heading1"/>
        <w:tabs>
          <w:tab w:val="left" w:pos="1560"/>
          <w:tab w:val="left" w:pos="2694"/>
        </w:tabs>
      </w:pPr>
      <w:r>
        <w:t>foreign financing (completed and active)</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985"/>
        <w:gridCol w:w="3968"/>
        <w:gridCol w:w="1702"/>
        <w:gridCol w:w="1701"/>
      </w:tblGrid>
      <w:tr w:rsidR="00000000">
        <w:trPr>
          <w:cantSplit/>
          <w:tblHeader/>
        </w:trPr>
        <w:tc>
          <w:tcPr>
            <w:tcW w:w="1985" w:type="dxa"/>
          </w:tcPr>
          <w:p w:rsidR="00000000" w:rsidRDefault="00000000">
            <w:pPr>
              <w:jc w:val="center"/>
            </w:pPr>
            <w:r>
              <w:t>Funding agency</w:t>
            </w:r>
          </w:p>
        </w:tc>
        <w:tc>
          <w:tcPr>
            <w:tcW w:w="3968" w:type="dxa"/>
          </w:tcPr>
          <w:p w:rsidR="00000000" w:rsidRDefault="00000000">
            <w:pPr>
              <w:jc w:val="center"/>
            </w:pPr>
            <w:r>
              <w:t>Project</w:t>
            </w:r>
          </w:p>
        </w:tc>
        <w:tc>
          <w:tcPr>
            <w:tcW w:w="1702" w:type="dxa"/>
          </w:tcPr>
          <w:p w:rsidR="00000000" w:rsidRDefault="00000000">
            <w:pPr>
              <w:jc w:val="center"/>
            </w:pPr>
            <w:r>
              <w:t>Amount</w:t>
            </w:r>
          </w:p>
          <w:p w:rsidR="00000000" w:rsidRDefault="00000000">
            <w:pPr>
              <w:jc w:val="center"/>
            </w:pPr>
            <w:r>
              <w:t>(US$ million)</w:t>
            </w:r>
          </w:p>
        </w:tc>
        <w:tc>
          <w:tcPr>
            <w:tcW w:w="1701" w:type="dxa"/>
          </w:tcPr>
          <w:p w:rsidR="00000000" w:rsidRDefault="00000000">
            <w:pPr>
              <w:jc w:val="center"/>
            </w:pPr>
            <w:r>
              <w:t>Status</w:t>
            </w:r>
          </w:p>
        </w:tc>
      </w:tr>
      <w:tr w:rsidR="00000000">
        <w:tc>
          <w:tcPr>
            <w:tcW w:w="1985" w:type="dxa"/>
            <w:tcBorders>
              <w:bottom w:val="nil"/>
            </w:tcBorders>
          </w:tcPr>
          <w:p w:rsidR="00000000" w:rsidRDefault="00000000">
            <w:r>
              <w:t>World Bank</w:t>
            </w:r>
          </w:p>
        </w:tc>
        <w:tc>
          <w:tcPr>
            <w:tcW w:w="3968" w:type="dxa"/>
            <w:tcBorders>
              <w:bottom w:val="nil"/>
            </w:tcBorders>
          </w:tcPr>
          <w:p w:rsidR="00000000" w:rsidRDefault="00000000">
            <w:r>
              <w:t>Basic health care in north</w:t>
            </w:r>
            <w:r>
              <w:noBreakHyphen/>
              <w:t>east </w:t>
            </w:r>
            <w:r>
              <w:noBreakHyphen/>
              <w:t> North</w:t>
            </w:r>
            <w:r>
              <w:noBreakHyphen/>
              <w:t>East I</w:t>
            </w:r>
          </w:p>
        </w:tc>
        <w:tc>
          <w:tcPr>
            <w:tcW w:w="1702" w:type="dxa"/>
            <w:tcBorders>
              <w:bottom w:val="nil"/>
            </w:tcBorders>
          </w:tcPr>
          <w:p w:rsidR="00000000" w:rsidRDefault="00000000">
            <w:pPr>
              <w:ind w:right="317"/>
              <w:jc w:val="right"/>
            </w:pPr>
            <w:r>
              <w:t>59.5</w:t>
            </w:r>
          </w:p>
        </w:tc>
        <w:tc>
          <w:tcPr>
            <w:tcW w:w="1701" w:type="dxa"/>
            <w:tcBorders>
              <w:bottom w:val="nil"/>
            </w:tcBorders>
          </w:tcPr>
          <w:p w:rsidR="00000000" w:rsidRDefault="00000000">
            <w:r>
              <w:t>Completed</w:t>
            </w:r>
          </w:p>
        </w:tc>
      </w:tr>
      <w:tr w:rsidR="00000000">
        <w:tc>
          <w:tcPr>
            <w:tcW w:w="1985" w:type="dxa"/>
            <w:tcBorders>
              <w:top w:val="nil"/>
              <w:bottom w:val="nil"/>
            </w:tcBorders>
          </w:tcPr>
          <w:p w:rsidR="00000000" w:rsidRDefault="00000000">
            <w:r>
              <w:t>World Bank</w:t>
            </w:r>
          </w:p>
        </w:tc>
        <w:tc>
          <w:tcPr>
            <w:tcW w:w="3968" w:type="dxa"/>
            <w:tcBorders>
              <w:top w:val="nil"/>
              <w:bottom w:val="nil"/>
            </w:tcBorders>
          </w:tcPr>
          <w:p w:rsidR="00000000" w:rsidRDefault="00000000">
            <w:r>
              <w:t>North-East II</w:t>
            </w:r>
          </w:p>
        </w:tc>
        <w:tc>
          <w:tcPr>
            <w:tcW w:w="1702" w:type="dxa"/>
            <w:tcBorders>
              <w:top w:val="nil"/>
              <w:bottom w:val="nil"/>
            </w:tcBorders>
          </w:tcPr>
          <w:p w:rsidR="00000000" w:rsidRDefault="00000000">
            <w:pPr>
              <w:ind w:right="317"/>
              <w:jc w:val="right"/>
            </w:pPr>
            <w:r>
              <w:t>217</w:t>
            </w:r>
          </w:p>
        </w:tc>
        <w:tc>
          <w:tcPr>
            <w:tcW w:w="1701" w:type="dxa"/>
            <w:tcBorders>
              <w:top w:val="nil"/>
              <w:bottom w:val="nil"/>
            </w:tcBorders>
          </w:tcPr>
          <w:p w:rsidR="00000000" w:rsidRDefault="00000000">
            <w:r>
              <w:t>Completed</w:t>
            </w:r>
          </w:p>
        </w:tc>
      </w:tr>
      <w:tr w:rsidR="00000000">
        <w:tc>
          <w:tcPr>
            <w:tcW w:w="1985" w:type="dxa"/>
            <w:tcBorders>
              <w:top w:val="nil"/>
              <w:bottom w:val="nil"/>
            </w:tcBorders>
          </w:tcPr>
          <w:p w:rsidR="00000000" w:rsidRDefault="00000000">
            <w:r>
              <w:t>World Bank</w:t>
            </w:r>
          </w:p>
        </w:tc>
        <w:tc>
          <w:tcPr>
            <w:tcW w:w="3968" w:type="dxa"/>
            <w:tcBorders>
              <w:top w:val="nil"/>
              <w:bottom w:val="nil"/>
            </w:tcBorders>
          </w:tcPr>
          <w:p w:rsidR="00000000" w:rsidRDefault="00000000">
            <w:r>
              <w:t>Malaria control in the Amazon Basin - PCMAM</w:t>
            </w:r>
          </w:p>
        </w:tc>
        <w:tc>
          <w:tcPr>
            <w:tcW w:w="1702" w:type="dxa"/>
            <w:tcBorders>
              <w:top w:val="nil"/>
              <w:bottom w:val="nil"/>
            </w:tcBorders>
          </w:tcPr>
          <w:p w:rsidR="00000000" w:rsidRDefault="00000000">
            <w:pPr>
              <w:ind w:right="317"/>
              <w:jc w:val="right"/>
            </w:pPr>
            <w:r>
              <w:t>72.9</w:t>
            </w:r>
          </w:p>
        </w:tc>
        <w:tc>
          <w:tcPr>
            <w:tcW w:w="1701" w:type="dxa"/>
            <w:tcBorders>
              <w:top w:val="nil"/>
              <w:bottom w:val="nil"/>
            </w:tcBorders>
          </w:tcPr>
          <w:p w:rsidR="00000000" w:rsidRDefault="00000000">
            <w:r>
              <w:t>Completed</w:t>
            </w:r>
          </w:p>
        </w:tc>
      </w:tr>
      <w:tr w:rsidR="00000000">
        <w:tc>
          <w:tcPr>
            <w:tcW w:w="1985" w:type="dxa"/>
            <w:tcBorders>
              <w:top w:val="nil"/>
              <w:bottom w:val="nil"/>
            </w:tcBorders>
          </w:tcPr>
          <w:p w:rsidR="00000000" w:rsidRDefault="00000000">
            <w:r>
              <w:t>World Bank</w:t>
            </w:r>
          </w:p>
        </w:tc>
        <w:tc>
          <w:tcPr>
            <w:tcW w:w="3968" w:type="dxa"/>
            <w:tcBorders>
              <w:top w:val="nil"/>
              <w:bottom w:val="nil"/>
            </w:tcBorders>
          </w:tcPr>
          <w:p w:rsidR="00000000" w:rsidRDefault="00000000">
            <w:r>
              <w:t>Endemic disease control in the north</w:t>
            </w:r>
            <w:r>
              <w:noBreakHyphen/>
              <w:t>east - PCDEN</w:t>
            </w:r>
          </w:p>
        </w:tc>
        <w:tc>
          <w:tcPr>
            <w:tcW w:w="1702" w:type="dxa"/>
            <w:tcBorders>
              <w:top w:val="nil"/>
              <w:bottom w:val="nil"/>
            </w:tcBorders>
          </w:tcPr>
          <w:p w:rsidR="00000000" w:rsidRDefault="00000000">
            <w:pPr>
              <w:ind w:right="317"/>
              <w:jc w:val="right"/>
            </w:pPr>
            <w:r>
              <w:t>82</w:t>
            </w:r>
          </w:p>
        </w:tc>
        <w:tc>
          <w:tcPr>
            <w:tcW w:w="1701" w:type="dxa"/>
            <w:tcBorders>
              <w:top w:val="nil"/>
              <w:bottom w:val="nil"/>
            </w:tcBorders>
          </w:tcPr>
          <w:p w:rsidR="00000000" w:rsidRDefault="00000000">
            <w:r>
              <w:t>Completed</w:t>
            </w:r>
          </w:p>
        </w:tc>
      </w:tr>
      <w:tr w:rsidR="00000000">
        <w:tc>
          <w:tcPr>
            <w:tcW w:w="1985" w:type="dxa"/>
            <w:tcBorders>
              <w:top w:val="nil"/>
              <w:bottom w:val="nil"/>
            </w:tcBorders>
          </w:tcPr>
          <w:p w:rsidR="00000000" w:rsidRDefault="00000000">
            <w:r>
              <w:t>World Bank</w:t>
            </w:r>
          </w:p>
        </w:tc>
        <w:tc>
          <w:tcPr>
            <w:tcW w:w="3968" w:type="dxa"/>
            <w:tcBorders>
              <w:top w:val="nil"/>
              <w:bottom w:val="nil"/>
            </w:tcBorders>
          </w:tcPr>
          <w:p w:rsidR="00000000" w:rsidRDefault="00000000">
            <w:r>
              <w:t>Control of STD/AIDS I</w:t>
            </w:r>
          </w:p>
        </w:tc>
        <w:tc>
          <w:tcPr>
            <w:tcW w:w="1702" w:type="dxa"/>
            <w:tcBorders>
              <w:top w:val="nil"/>
              <w:bottom w:val="nil"/>
            </w:tcBorders>
          </w:tcPr>
          <w:p w:rsidR="00000000" w:rsidRDefault="00000000">
            <w:pPr>
              <w:ind w:right="317"/>
              <w:jc w:val="right"/>
            </w:pPr>
            <w:r>
              <w:t>160</w:t>
            </w:r>
          </w:p>
        </w:tc>
        <w:tc>
          <w:tcPr>
            <w:tcW w:w="1701" w:type="dxa"/>
            <w:tcBorders>
              <w:top w:val="nil"/>
              <w:bottom w:val="nil"/>
            </w:tcBorders>
          </w:tcPr>
          <w:p w:rsidR="00000000" w:rsidRDefault="00000000">
            <w:r>
              <w:t>Completed</w:t>
            </w:r>
          </w:p>
        </w:tc>
      </w:tr>
      <w:tr w:rsidR="00000000">
        <w:tc>
          <w:tcPr>
            <w:tcW w:w="1985" w:type="dxa"/>
            <w:tcBorders>
              <w:top w:val="nil"/>
              <w:bottom w:val="single" w:sz="4" w:space="0" w:color="auto"/>
            </w:tcBorders>
          </w:tcPr>
          <w:p w:rsidR="00000000" w:rsidRDefault="00000000">
            <w:r>
              <w:t>World Bank</w:t>
            </w:r>
          </w:p>
        </w:tc>
        <w:tc>
          <w:tcPr>
            <w:tcW w:w="3968" w:type="dxa"/>
            <w:tcBorders>
              <w:top w:val="nil"/>
              <w:bottom w:val="single" w:sz="4" w:space="0" w:color="auto"/>
            </w:tcBorders>
          </w:tcPr>
          <w:p w:rsidR="00000000" w:rsidRDefault="00000000">
            <w:r>
              <w:t>Control of STD/AIDS II</w:t>
            </w:r>
          </w:p>
        </w:tc>
        <w:tc>
          <w:tcPr>
            <w:tcW w:w="1702" w:type="dxa"/>
            <w:tcBorders>
              <w:top w:val="nil"/>
              <w:bottom w:val="single" w:sz="4" w:space="0" w:color="auto"/>
            </w:tcBorders>
          </w:tcPr>
          <w:p w:rsidR="00000000" w:rsidRDefault="00000000">
            <w:pPr>
              <w:ind w:right="317"/>
              <w:jc w:val="right"/>
            </w:pPr>
            <w:r>
              <w:t>165</w:t>
            </w:r>
          </w:p>
        </w:tc>
        <w:tc>
          <w:tcPr>
            <w:tcW w:w="1701" w:type="dxa"/>
            <w:tcBorders>
              <w:top w:val="nil"/>
              <w:bottom w:val="single" w:sz="4" w:space="0" w:color="auto"/>
            </w:tcBorders>
          </w:tcPr>
          <w:p w:rsidR="00000000" w:rsidRDefault="00000000">
            <w:r>
              <w:t>Under way</w:t>
            </w:r>
          </w:p>
        </w:tc>
      </w:tr>
    </w:tbl>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985"/>
        <w:gridCol w:w="3968"/>
        <w:gridCol w:w="1702"/>
        <w:gridCol w:w="1701"/>
      </w:tblGrid>
      <w:tr w:rsidR="00000000">
        <w:trPr>
          <w:cantSplit/>
        </w:trPr>
        <w:tc>
          <w:tcPr>
            <w:tcW w:w="9356" w:type="dxa"/>
            <w:gridSpan w:val="4"/>
            <w:tcBorders>
              <w:top w:val="nil"/>
              <w:left w:val="nil"/>
              <w:bottom w:val="nil"/>
              <w:right w:val="nil"/>
            </w:tcBorders>
          </w:tcPr>
          <w:p w:rsidR="00000000" w:rsidRDefault="00000000">
            <w:pPr>
              <w:pStyle w:val="Heading1"/>
              <w:tabs>
                <w:tab w:val="left" w:pos="1560"/>
                <w:tab w:val="left" w:pos="2694"/>
              </w:tabs>
            </w:pPr>
            <w:r>
              <w:t>Table 85 (</w:t>
            </w:r>
            <w:r>
              <w:rPr>
                <w:u w:val="single"/>
              </w:rPr>
              <w:t>continued</w:t>
            </w:r>
            <w:r>
              <w:t xml:space="preserve">) </w:t>
            </w:r>
          </w:p>
          <w:p w:rsidR="00000000" w:rsidRDefault="00000000">
            <w:pPr>
              <w:jc w:val="center"/>
            </w:pPr>
          </w:p>
        </w:tc>
      </w:tr>
      <w:tr w:rsidR="00000000">
        <w:trPr>
          <w:cantSplit/>
          <w:tblHeader/>
        </w:trPr>
        <w:tc>
          <w:tcPr>
            <w:tcW w:w="1985" w:type="dxa"/>
          </w:tcPr>
          <w:p w:rsidR="00000000" w:rsidRDefault="00000000">
            <w:pPr>
              <w:jc w:val="center"/>
            </w:pPr>
            <w:r>
              <w:t>Funding agency</w:t>
            </w:r>
          </w:p>
        </w:tc>
        <w:tc>
          <w:tcPr>
            <w:tcW w:w="3968" w:type="dxa"/>
          </w:tcPr>
          <w:p w:rsidR="00000000" w:rsidRDefault="00000000">
            <w:pPr>
              <w:jc w:val="center"/>
            </w:pPr>
            <w:r>
              <w:t>Project</w:t>
            </w:r>
          </w:p>
        </w:tc>
        <w:tc>
          <w:tcPr>
            <w:tcW w:w="1702" w:type="dxa"/>
          </w:tcPr>
          <w:p w:rsidR="00000000" w:rsidRDefault="00000000">
            <w:pPr>
              <w:jc w:val="center"/>
            </w:pPr>
            <w:r>
              <w:t>Amount</w:t>
            </w:r>
          </w:p>
          <w:p w:rsidR="00000000" w:rsidRDefault="00000000">
            <w:pPr>
              <w:jc w:val="center"/>
            </w:pPr>
            <w:r>
              <w:t>(US$ million)</w:t>
            </w:r>
          </w:p>
        </w:tc>
        <w:tc>
          <w:tcPr>
            <w:tcW w:w="1701" w:type="dxa"/>
          </w:tcPr>
          <w:p w:rsidR="00000000" w:rsidRDefault="00000000">
            <w:pPr>
              <w:jc w:val="center"/>
            </w:pPr>
            <w:r>
              <w:t>Status</w:t>
            </w:r>
          </w:p>
        </w:tc>
      </w:tr>
      <w:tr w:rsidR="00000000">
        <w:tc>
          <w:tcPr>
            <w:tcW w:w="1985" w:type="dxa"/>
            <w:tcBorders>
              <w:top w:val="nil"/>
              <w:bottom w:val="nil"/>
            </w:tcBorders>
          </w:tcPr>
          <w:p w:rsidR="00000000" w:rsidRDefault="00000000">
            <w:r>
              <w:t>World Bank</w:t>
            </w:r>
          </w:p>
          <w:p w:rsidR="00000000" w:rsidRDefault="00000000"/>
          <w:p w:rsidR="00000000" w:rsidRDefault="00000000">
            <w:r>
              <w:t>IDB</w:t>
            </w:r>
          </w:p>
        </w:tc>
        <w:tc>
          <w:tcPr>
            <w:tcW w:w="3968" w:type="dxa"/>
            <w:tcBorders>
              <w:top w:val="nil"/>
              <w:bottom w:val="nil"/>
            </w:tcBorders>
          </w:tcPr>
          <w:p w:rsidR="00000000" w:rsidRDefault="00000000">
            <w:r>
              <w:t>Support for reorganization of the Single Health-Care System (SUS) - REFORSUS</w:t>
            </w:r>
          </w:p>
        </w:tc>
        <w:tc>
          <w:tcPr>
            <w:tcW w:w="1702" w:type="dxa"/>
            <w:tcBorders>
              <w:top w:val="nil"/>
              <w:bottom w:val="nil"/>
            </w:tcBorders>
          </w:tcPr>
          <w:p w:rsidR="00000000" w:rsidRDefault="00000000">
            <w:pPr>
              <w:ind w:right="317"/>
              <w:jc w:val="right"/>
            </w:pPr>
            <w:r>
              <w:t>300</w:t>
            </w:r>
          </w:p>
          <w:p w:rsidR="00000000" w:rsidRDefault="00000000">
            <w:pPr>
              <w:ind w:right="317"/>
              <w:jc w:val="right"/>
            </w:pPr>
          </w:p>
          <w:p w:rsidR="00000000" w:rsidRDefault="00000000">
            <w:pPr>
              <w:ind w:right="317"/>
              <w:jc w:val="right"/>
            </w:pPr>
            <w:r>
              <w:t>350</w:t>
            </w:r>
          </w:p>
        </w:tc>
        <w:tc>
          <w:tcPr>
            <w:tcW w:w="1701" w:type="dxa"/>
            <w:tcBorders>
              <w:top w:val="nil"/>
              <w:bottom w:val="nil"/>
            </w:tcBorders>
          </w:tcPr>
          <w:p w:rsidR="00000000" w:rsidRDefault="00000000">
            <w:r>
              <w:t>Under way</w:t>
            </w:r>
          </w:p>
        </w:tc>
      </w:tr>
      <w:tr w:rsidR="00000000">
        <w:tc>
          <w:tcPr>
            <w:tcW w:w="1985" w:type="dxa"/>
            <w:tcBorders>
              <w:top w:val="nil"/>
              <w:bottom w:val="nil"/>
            </w:tcBorders>
          </w:tcPr>
          <w:p w:rsidR="00000000" w:rsidRDefault="00000000">
            <w:r>
              <w:t>World Bank</w:t>
            </w:r>
          </w:p>
        </w:tc>
        <w:tc>
          <w:tcPr>
            <w:tcW w:w="3968" w:type="dxa"/>
            <w:tcBorders>
              <w:top w:val="nil"/>
              <w:bottom w:val="nil"/>
            </w:tcBorders>
          </w:tcPr>
          <w:p w:rsidR="00000000" w:rsidRDefault="00000000">
            <w:r>
              <w:t>National Health-Care Surveillance System - VIGISUS</w:t>
            </w:r>
          </w:p>
        </w:tc>
        <w:tc>
          <w:tcPr>
            <w:tcW w:w="1702" w:type="dxa"/>
            <w:tcBorders>
              <w:top w:val="nil"/>
              <w:bottom w:val="nil"/>
            </w:tcBorders>
          </w:tcPr>
          <w:p w:rsidR="00000000" w:rsidRDefault="00000000">
            <w:pPr>
              <w:ind w:right="317"/>
              <w:jc w:val="right"/>
            </w:pPr>
            <w:r>
              <w:t>100</w:t>
            </w:r>
          </w:p>
        </w:tc>
        <w:tc>
          <w:tcPr>
            <w:tcW w:w="1701" w:type="dxa"/>
            <w:tcBorders>
              <w:top w:val="nil"/>
              <w:bottom w:val="nil"/>
            </w:tcBorders>
          </w:tcPr>
          <w:p w:rsidR="00000000" w:rsidRDefault="00000000">
            <w:r>
              <w:t>Under way</w:t>
            </w:r>
          </w:p>
        </w:tc>
      </w:tr>
      <w:tr w:rsidR="00000000">
        <w:tc>
          <w:tcPr>
            <w:tcW w:w="1985" w:type="dxa"/>
            <w:tcBorders>
              <w:top w:val="nil"/>
              <w:bottom w:val="nil"/>
            </w:tcBorders>
          </w:tcPr>
          <w:p w:rsidR="00000000" w:rsidRDefault="00000000">
            <w:r>
              <w:t>KfW</w:t>
            </w:r>
          </w:p>
        </w:tc>
        <w:tc>
          <w:tcPr>
            <w:tcW w:w="3968" w:type="dxa"/>
            <w:tcBorders>
              <w:top w:val="nil"/>
              <w:bottom w:val="nil"/>
            </w:tcBorders>
          </w:tcPr>
          <w:p w:rsidR="00000000" w:rsidRDefault="00000000">
            <w:r>
              <w:t>Basic Health Care - Ceará State</w:t>
            </w:r>
          </w:p>
        </w:tc>
        <w:tc>
          <w:tcPr>
            <w:tcW w:w="1702" w:type="dxa"/>
            <w:tcBorders>
              <w:top w:val="nil"/>
              <w:bottom w:val="nil"/>
            </w:tcBorders>
          </w:tcPr>
          <w:p w:rsidR="00000000" w:rsidRDefault="00000000">
            <w:pPr>
              <w:ind w:right="317"/>
              <w:jc w:val="right"/>
            </w:pPr>
            <w:r>
              <w:t>8.020</w:t>
            </w:r>
          </w:p>
        </w:tc>
        <w:tc>
          <w:tcPr>
            <w:tcW w:w="1701" w:type="dxa"/>
            <w:tcBorders>
              <w:top w:val="nil"/>
              <w:bottom w:val="nil"/>
            </w:tcBorders>
          </w:tcPr>
          <w:p w:rsidR="00000000" w:rsidRDefault="00000000">
            <w:r>
              <w:t>Under way</w:t>
            </w:r>
          </w:p>
        </w:tc>
      </w:tr>
      <w:tr w:rsidR="00000000">
        <w:tc>
          <w:tcPr>
            <w:tcW w:w="1985" w:type="dxa"/>
            <w:tcBorders>
              <w:top w:val="nil"/>
              <w:bottom w:val="nil"/>
            </w:tcBorders>
          </w:tcPr>
          <w:p w:rsidR="00000000" w:rsidRDefault="00000000">
            <w:r>
              <w:t>KfW</w:t>
            </w:r>
          </w:p>
        </w:tc>
        <w:tc>
          <w:tcPr>
            <w:tcW w:w="3968" w:type="dxa"/>
            <w:tcBorders>
              <w:top w:val="nil"/>
              <w:bottom w:val="nil"/>
            </w:tcBorders>
          </w:tcPr>
          <w:p w:rsidR="00000000" w:rsidRDefault="00000000">
            <w:r>
              <w:t>Health care and sanitation in rural areas of Piauí State</w:t>
            </w:r>
          </w:p>
        </w:tc>
        <w:tc>
          <w:tcPr>
            <w:tcW w:w="1702" w:type="dxa"/>
            <w:tcBorders>
              <w:top w:val="nil"/>
              <w:bottom w:val="nil"/>
            </w:tcBorders>
          </w:tcPr>
          <w:p w:rsidR="00000000" w:rsidRDefault="00000000">
            <w:pPr>
              <w:ind w:right="317"/>
              <w:jc w:val="right"/>
            </w:pPr>
            <w:r>
              <w:t>10.025</w:t>
            </w:r>
          </w:p>
        </w:tc>
        <w:tc>
          <w:tcPr>
            <w:tcW w:w="1701" w:type="dxa"/>
            <w:tcBorders>
              <w:top w:val="nil"/>
              <w:bottom w:val="nil"/>
            </w:tcBorders>
          </w:tcPr>
          <w:p w:rsidR="00000000" w:rsidRDefault="00000000">
            <w:r>
              <w:t>Under way</w:t>
            </w:r>
          </w:p>
        </w:tc>
      </w:tr>
      <w:tr w:rsidR="00000000">
        <w:tc>
          <w:tcPr>
            <w:tcW w:w="1985" w:type="dxa"/>
            <w:tcBorders>
              <w:top w:val="nil"/>
              <w:bottom w:val="single" w:sz="4" w:space="0" w:color="auto"/>
            </w:tcBorders>
          </w:tcPr>
          <w:p w:rsidR="00000000" w:rsidRDefault="00000000">
            <w:r>
              <w:t>IDB</w:t>
            </w:r>
          </w:p>
        </w:tc>
        <w:tc>
          <w:tcPr>
            <w:tcW w:w="3968" w:type="dxa"/>
            <w:tcBorders>
              <w:top w:val="nil"/>
              <w:bottom w:val="single" w:sz="4" w:space="0" w:color="auto"/>
            </w:tcBorders>
          </w:tcPr>
          <w:p w:rsidR="00000000" w:rsidRDefault="00000000">
            <w:r>
              <w:t>Vocational training project for nursing staff - PROFAE</w:t>
            </w:r>
          </w:p>
        </w:tc>
        <w:tc>
          <w:tcPr>
            <w:tcW w:w="1702" w:type="dxa"/>
            <w:tcBorders>
              <w:top w:val="nil"/>
              <w:bottom w:val="single" w:sz="4" w:space="0" w:color="auto"/>
            </w:tcBorders>
          </w:tcPr>
          <w:p w:rsidR="00000000" w:rsidRDefault="00000000">
            <w:pPr>
              <w:ind w:right="317"/>
              <w:jc w:val="right"/>
            </w:pPr>
            <w:r>
              <w:t>85</w:t>
            </w:r>
          </w:p>
        </w:tc>
        <w:tc>
          <w:tcPr>
            <w:tcW w:w="1701" w:type="dxa"/>
            <w:tcBorders>
              <w:top w:val="nil"/>
              <w:bottom w:val="single" w:sz="4" w:space="0" w:color="auto"/>
            </w:tcBorders>
          </w:tcPr>
          <w:p w:rsidR="00000000" w:rsidRDefault="00000000">
            <w:r>
              <w:t>Signature stage</w:t>
            </w:r>
          </w:p>
        </w:tc>
      </w:tr>
      <w:tr w:rsidR="00000000">
        <w:tc>
          <w:tcPr>
            <w:tcW w:w="1985" w:type="dxa"/>
            <w:tcBorders>
              <w:top w:val="single" w:sz="4" w:space="0" w:color="auto"/>
            </w:tcBorders>
          </w:tcPr>
          <w:p w:rsidR="00000000" w:rsidRDefault="00000000">
            <w:r>
              <w:tab/>
              <w:t>Total</w:t>
            </w:r>
          </w:p>
        </w:tc>
        <w:tc>
          <w:tcPr>
            <w:tcW w:w="3968" w:type="dxa"/>
            <w:tcBorders>
              <w:top w:val="single" w:sz="4" w:space="0" w:color="auto"/>
            </w:tcBorders>
          </w:tcPr>
          <w:p w:rsidR="00000000" w:rsidRDefault="00000000"/>
        </w:tc>
        <w:tc>
          <w:tcPr>
            <w:tcW w:w="1702" w:type="dxa"/>
            <w:tcBorders>
              <w:top w:val="single" w:sz="4" w:space="0" w:color="auto"/>
            </w:tcBorders>
          </w:tcPr>
          <w:p w:rsidR="00000000" w:rsidRDefault="00000000">
            <w:pPr>
              <w:ind w:right="317"/>
              <w:jc w:val="right"/>
            </w:pPr>
            <w:r>
              <w:t>1 609 445</w:t>
            </w:r>
          </w:p>
        </w:tc>
        <w:tc>
          <w:tcPr>
            <w:tcW w:w="1701" w:type="dxa"/>
            <w:tcBorders>
              <w:top w:val="single" w:sz="4" w:space="0" w:color="auto"/>
            </w:tcBorders>
          </w:tcPr>
          <w:p w:rsidR="00000000" w:rsidRDefault="00000000"/>
        </w:tc>
      </w:tr>
    </w:tbl>
    <w:p w:rsidR="00000000" w:rsidRDefault="00000000">
      <w:pPr>
        <w:pStyle w:val="Heading1"/>
        <w:keepNext w:val="0"/>
      </w:pPr>
    </w:p>
    <w:p w:rsidR="00000000" w:rsidRDefault="00000000">
      <w:pPr>
        <w:pStyle w:val="Heading1"/>
        <w:keepNext w:val="0"/>
      </w:pPr>
      <w:r>
        <w:t>Articles 13 and 14</w:t>
      </w:r>
    </w:p>
    <w:p w:rsidR="00000000" w:rsidRDefault="00000000"/>
    <w:p w:rsidR="00000000" w:rsidRDefault="00000000">
      <w:pPr>
        <w:pStyle w:val="ParaNo"/>
        <w:tabs>
          <w:tab w:val="clear" w:pos="360"/>
          <w:tab w:val="clear" w:pos="737"/>
        </w:tabs>
        <w:rPr>
          <w:lang w:val="en-GB"/>
        </w:rPr>
      </w:pPr>
      <w:r>
        <w:rPr>
          <w:lang w:val="en-GB"/>
        </w:rPr>
        <w:t>Articles 13 and 14 of the International Covenant on Economic, Social and Cultural Rights cover the issue of education.  The Brazilian Government therefore submits its comments on both articles, in order to ensure a systemic approach to the aspects under analysis.</w:t>
      </w:r>
    </w:p>
    <w:p w:rsidR="00000000" w:rsidRDefault="00000000"/>
    <w:p w:rsidR="00000000" w:rsidRDefault="00000000">
      <w:pPr>
        <w:pStyle w:val="ParaNo"/>
        <w:tabs>
          <w:tab w:val="clear" w:pos="360"/>
          <w:tab w:val="clear" w:pos="737"/>
        </w:tabs>
        <w:ind w:left="0" w:firstLine="0"/>
        <w:rPr>
          <w:lang w:val="en-GB"/>
        </w:rPr>
      </w:pPr>
      <w:r>
        <w:rPr>
          <w:lang w:val="en-GB"/>
        </w:rPr>
        <w:t>The general situation of Brazilian education has improved appreciably over the past few decades, with a steep drop in the illiteracy rate, a significant increase in the number of registered students at all educational levels and a gradual increase in the average schooling levels of the population.  However, these advances do not eliminate the need for a critical analysis of the educational challenges still facing Brazil which must be dealt with in order to bridge the historical deficit that was built up in the field of education.</w:t>
      </w:r>
    </w:p>
    <w:p w:rsidR="00000000" w:rsidRDefault="00000000"/>
    <w:p w:rsidR="00000000" w:rsidRDefault="00000000">
      <w:pPr>
        <w:pStyle w:val="ParaNo"/>
        <w:tabs>
          <w:tab w:val="clear" w:pos="360"/>
          <w:tab w:val="clear" w:pos="737"/>
        </w:tabs>
        <w:ind w:left="0" w:firstLine="0"/>
        <w:rPr>
          <w:lang w:val="en-GB"/>
        </w:rPr>
      </w:pPr>
      <w:r>
        <w:rPr>
          <w:lang w:val="en-GB"/>
        </w:rPr>
        <w:t>If the expansion of Brazil’s educational system has achieved reasonable levels from the quantitative standpoint, even compared to international standards, the same has not yet occurred in terms of its quality and equity indicators.  It is also noted that the gradual improvement in Brazil’s educational indicators reflect different types of stress and pace in the performance of the various states and regions of Brazil, mirroring the very different profiles of supply and demand requirements for existing educational services in a wide variety of locations.</w:t>
      </w:r>
    </w:p>
    <w:p w:rsidR="00000000" w:rsidRDefault="00000000"/>
    <w:p w:rsidR="00000000" w:rsidRDefault="00000000">
      <w:pPr>
        <w:pStyle w:val="ParaNo"/>
        <w:tabs>
          <w:tab w:val="clear" w:pos="360"/>
          <w:tab w:val="clear" w:pos="737"/>
        </w:tabs>
        <w:ind w:left="0" w:firstLine="0"/>
        <w:rPr>
          <w:lang w:val="en-GB"/>
        </w:rPr>
      </w:pPr>
      <w:r>
        <w:rPr>
          <w:lang w:val="en-GB"/>
        </w:rPr>
        <w:t xml:space="preserve">Eliminating illiteracy is obviously the first step to be achieved in building up an integrative educational system that provides ample leverage for social and economic development.  Brazil still posts a high illiteracy rate of 13.3 per cent among the population aged 15 years or more, which in absolute terms represents a significant contingent of </w:t>
      </w:r>
      <w:r>
        <w:rPr>
          <w:lang w:val="en-GB"/>
        </w:rPr>
        <w:br/>
        <w:t>over 15 million people.</w:t>
      </w:r>
      <w:r>
        <w:rPr>
          <w:rStyle w:val="EndnoteReference"/>
          <w:lang w:val="en-GB"/>
        </w:rPr>
        <w:endnoteReference w:id="21"/>
      </w:r>
    </w:p>
    <w:p w:rsidR="00000000" w:rsidRDefault="00000000"/>
    <w:p w:rsidR="00000000" w:rsidRDefault="00000000">
      <w:pPr>
        <w:pStyle w:val="ParaNo"/>
        <w:tabs>
          <w:tab w:val="clear" w:pos="360"/>
          <w:tab w:val="clear" w:pos="737"/>
        </w:tabs>
        <w:ind w:left="0" w:firstLine="0"/>
        <w:rPr>
          <w:lang w:val="en-GB"/>
        </w:rPr>
      </w:pPr>
      <w:r>
        <w:rPr>
          <w:lang w:val="en-GB"/>
        </w:rPr>
        <w:br w:type="page"/>
        <w:t xml:space="preserve">The impact of these figures is mitigated only when analysed from the standpoint of their development over the past three decades.  The illiteracy rate in Brazil dropped from 39.5 per cent in 1960 to 20.1 per cent in 1991, at a relatively sluggish rate of 0.63 per cent a year.  However, </w:t>
      </w:r>
    </w:p>
    <w:p w:rsidR="00000000" w:rsidRDefault="00000000">
      <w:r>
        <w:t>during the 1990s, illiteracy has been shrinking far faster, with an average annual reduction of 1.08 per cent.  Another positive trend noted more recently is the drop in the absolute number of illiterates in the group aged over 15 years.</w:t>
      </w:r>
    </w:p>
    <w:p w:rsidR="00000000" w:rsidRDefault="00000000"/>
    <w:p w:rsidR="00000000" w:rsidRDefault="00000000">
      <w:pPr>
        <w:pStyle w:val="ParaNo"/>
        <w:tabs>
          <w:tab w:val="clear" w:pos="360"/>
          <w:tab w:val="clear" w:pos="737"/>
        </w:tabs>
        <w:ind w:left="0" w:firstLine="0"/>
        <w:rPr>
          <w:lang w:val="en-GB"/>
        </w:rPr>
      </w:pPr>
      <w:r>
        <w:rPr>
          <w:lang w:val="en-GB"/>
        </w:rPr>
        <w:t>The following table illustrates the number of illiterates in the population aged 15 years or more, in absolute figures and by percentage distribution in the decades from 1920-1999.</w:t>
      </w:r>
    </w:p>
    <w:p w:rsidR="00000000" w:rsidRDefault="00000000">
      <w:pPr>
        <w:pStyle w:val="Heading1"/>
        <w:spacing w:line="360" w:lineRule="auto"/>
      </w:pPr>
    </w:p>
    <w:p w:rsidR="00000000" w:rsidRDefault="00000000">
      <w:pPr>
        <w:pStyle w:val="Heading1"/>
      </w:pPr>
      <w:r>
        <w:t>Table 86</w:t>
      </w:r>
    </w:p>
    <w:p w:rsidR="00000000" w:rsidRDefault="00000000"/>
    <w:p w:rsidR="00000000" w:rsidRDefault="00000000">
      <w:pPr>
        <w:pStyle w:val="Heading1"/>
      </w:pPr>
      <w:r>
        <w:t>Illiteracy in Brazil,</w:t>
      </w:r>
      <w:r>
        <w:rPr>
          <w:b w:val="0"/>
          <w:bCs/>
        </w:rPr>
        <w:t>*</w:t>
      </w:r>
      <w:r>
        <w:t xml:space="preserve"> 1920-1999</w:t>
      </w:r>
    </w:p>
    <w:p w:rsidR="00000000" w:rsidRDefault="00000000"/>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24"/>
        <w:gridCol w:w="3024"/>
        <w:gridCol w:w="3024"/>
      </w:tblGrid>
      <w:tr w:rsidR="00000000">
        <w:tblPrEx>
          <w:tblCellMar>
            <w:top w:w="0" w:type="dxa"/>
            <w:bottom w:w="0" w:type="dxa"/>
          </w:tblCellMar>
        </w:tblPrEx>
        <w:tc>
          <w:tcPr>
            <w:tcW w:w="3024" w:type="dxa"/>
            <w:tcBorders>
              <w:bottom w:val="single" w:sz="4" w:space="0" w:color="auto"/>
            </w:tcBorders>
          </w:tcPr>
          <w:p w:rsidR="00000000" w:rsidRDefault="00000000">
            <w:pPr>
              <w:jc w:val="center"/>
            </w:pPr>
            <w:r>
              <w:t>Year</w:t>
            </w:r>
          </w:p>
        </w:tc>
        <w:tc>
          <w:tcPr>
            <w:tcW w:w="3024" w:type="dxa"/>
            <w:tcBorders>
              <w:bottom w:val="single" w:sz="4" w:space="0" w:color="auto"/>
            </w:tcBorders>
          </w:tcPr>
          <w:p w:rsidR="00000000" w:rsidRDefault="00000000">
            <w:pPr>
              <w:jc w:val="center"/>
            </w:pPr>
            <w:r>
              <w:t>Absolute figures (000)</w:t>
            </w:r>
          </w:p>
        </w:tc>
        <w:tc>
          <w:tcPr>
            <w:tcW w:w="3024" w:type="dxa"/>
            <w:tcBorders>
              <w:bottom w:val="single" w:sz="4" w:space="0" w:color="auto"/>
            </w:tcBorders>
          </w:tcPr>
          <w:p w:rsidR="00000000" w:rsidRDefault="00000000">
            <w:pPr>
              <w:jc w:val="center"/>
            </w:pPr>
            <w:r>
              <w:t>%</w:t>
            </w:r>
          </w:p>
        </w:tc>
      </w:tr>
      <w:tr w:rsidR="00000000">
        <w:tblPrEx>
          <w:tblCellMar>
            <w:top w:w="0" w:type="dxa"/>
            <w:bottom w:w="0" w:type="dxa"/>
          </w:tblCellMar>
        </w:tblPrEx>
        <w:tc>
          <w:tcPr>
            <w:tcW w:w="3024" w:type="dxa"/>
            <w:tcBorders>
              <w:bottom w:val="nil"/>
            </w:tcBorders>
          </w:tcPr>
          <w:p w:rsidR="00000000" w:rsidRDefault="00000000">
            <w:pPr>
              <w:jc w:val="center"/>
            </w:pPr>
            <w:r>
              <w:t>1920</w:t>
            </w:r>
          </w:p>
        </w:tc>
        <w:tc>
          <w:tcPr>
            <w:tcW w:w="3024" w:type="dxa"/>
            <w:tcBorders>
              <w:bottom w:val="nil"/>
            </w:tcBorders>
          </w:tcPr>
          <w:p w:rsidR="00000000" w:rsidRDefault="00000000">
            <w:pPr>
              <w:jc w:val="center"/>
            </w:pPr>
            <w:r>
              <w:t>11 401.7</w:t>
            </w:r>
          </w:p>
        </w:tc>
        <w:tc>
          <w:tcPr>
            <w:tcW w:w="3024" w:type="dxa"/>
            <w:tcBorders>
              <w:bottom w:val="nil"/>
            </w:tcBorders>
          </w:tcPr>
          <w:p w:rsidR="00000000" w:rsidRDefault="00000000">
            <w:pPr>
              <w:jc w:val="center"/>
            </w:pPr>
            <w:r>
              <w:t>64.9</w:t>
            </w:r>
          </w:p>
        </w:tc>
      </w:tr>
      <w:tr w:rsidR="00000000">
        <w:tblPrEx>
          <w:tblCellMar>
            <w:top w:w="0" w:type="dxa"/>
            <w:bottom w:w="0" w:type="dxa"/>
          </w:tblCellMar>
        </w:tblPrEx>
        <w:tc>
          <w:tcPr>
            <w:tcW w:w="3024" w:type="dxa"/>
            <w:tcBorders>
              <w:top w:val="nil"/>
              <w:bottom w:val="nil"/>
            </w:tcBorders>
          </w:tcPr>
          <w:p w:rsidR="00000000" w:rsidRDefault="00000000">
            <w:pPr>
              <w:jc w:val="center"/>
            </w:pPr>
            <w:r>
              <w:t>1940</w:t>
            </w:r>
          </w:p>
        </w:tc>
        <w:tc>
          <w:tcPr>
            <w:tcW w:w="3024" w:type="dxa"/>
            <w:tcBorders>
              <w:top w:val="nil"/>
              <w:bottom w:val="nil"/>
            </w:tcBorders>
          </w:tcPr>
          <w:p w:rsidR="00000000" w:rsidRDefault="00000000">
            <w:pPr>
              <w:jc w:val="center"/>
            </w:pPr>
            <w:r>
              <w:t>13 269.4</w:t>
            </w:r>
          </w:p>
        </w:tc>
        <w:tc>
          <w:tcPr>
            <w:tcW w:w="3024" w:type="dxa"/>
            <w:tcBorders>
              <w:top w:val="nil"/>
              <w:bottom w:val="nil"/>
            </w:tcBorders>
          </w:tcPr>
          <w:p w:rsidR="00000000" w:rsidRDefault="00000000">
            <w:pPr>
              <w:jc w:val="center"/>
            </w:pPr>
            <w:r>
              <w:t>56.0</w:t>
            </w:r>
          </w:p>
        </w:tc>
      </w:tr>
      <w:tr w:rsidR="00000000">
        <w:tblPrEx>
          <w:tblCellMar>
            <w:top w:w="0" w:type="dxa"/>
            <w:bottom w:w="0" w:type="dxa"/>
          </w:tblCellMar>
        </w:tblPrEx>
        <w:tc>
          <w:tcPr>
            <w:tcW w:w="3024" w:type="dxa"/>
            <w:tcBorders>
              <w:top w:val="nil"/>
              <w:bottom w:val="nil"/>
            </w:tcBorders>
          </w:tcPr>
          <w:p w:rsidR="00000000" w:rsidRDefault="00000000">
            <w:pPr>
              <w:jc w:val="center"/>
            </w:pPr>
            <w:r>
              <w:t>1950</w:t>
            </w:r>
          </w:p>
        </w:tc>
        <w:tc>
          <w:tcPr>
            <w:tcW w:w="3024" w:type="dxa"/>
            <w:tcBorders>
              <w:top w:val="nil"/>
              <w:bottom w:val="nil"/>
            </w:tcBorders>
          </w:tcPr>
          <w:p w:rsidR="00000000" w:rsidRDefault="00000000">
            <w:pPr>
              <w:jc w:val="center"/>
            </w:pPr>
            <w:r>
              <w:t>15 272.6</w:t>
            </w:r>
          </w:p>
        </w:tc>
        <w:tc>
          <w:tcPr>
            <w:tcW w:w="3024" w:type="dxa"/>
            <w:tcBorders>
              <w:top w:val="nil"/>
              <w:bottom w:val="nil"/>
            </w:tcBorders>
          </w:tcPr>
          <w:p w:rsidR="00000000" w:rsidRDefault="00000000">
            <w:pPr>
              <w:jc w:val="center"/>
            </w:pPr>
            <w:r>
              <w:t>50.5</w:t>
            </w:r>
          </w:p>
        </w:tc>
      </w:tr>
      <w:tr w:rsidR="00000000">
        <w:tblPrEx>
          <w:tblCellMar>
            <w:top w:w="0" w:type="dxa"/>
            <w:bottom w:w="0" w:type="dxa"/>
          </w:tblCellMar>
        </w:tblPrEx>
        <w:tc>
          <w:tcPr>
            <w:tcW w:w="3024" w:type="dxa"/>
            <w:tcBorders>
              <w:top w:val="nil"/>
              <w:bottom w:val="nil"/>
            </w:tcBorders>
          </w:tcPr>
          <w:p w:rsidR="00000000" w:rsidRDefault="00000000">
            <w:pPr>
              <w:jc w:val="center"/>
            </w:pPr>
            <w:r>
              <w:t>1960</w:t>
            </w:r>
          </w:p>
        </w:tc>
        <w:tc>
          <w:tcPr>
            <w:tcW w:w="3024" w:type="dxa"/>
            <w:tcBorders>
              <w:top w:val="nil"/>
              <w:bottom w:val="nil"/>
            </w:tcBorders>
          </w:tcPr>
          <w:p w:rsidR="00000000" w:rsidRDefault="00000000">
            <w:pPr>
              <w:jc w:val="center"/>
            </w:pPr>
            <w:r>
              <w:t>15 964.9</w:t>
            </w:r>
          </w:p>
        </w:tc>
        <w:tc>
          <w:tcPr>
            <w:tcW w:w="3024" w:type="dxa"/>
            <w:tcBorders>
              <w:top w:val="nil"/>
              <w:bottom w:val="nil"/>
            </w:tcBorders>
          </w:tcPr>
          <w:p w:rsidR="00000000" w:rsidRDefault="00000000">
            <w:pPr>
              <w:jc w:val="center"/>
            </w:pPr>
            <w:r>
              <w:t>39.6</w:t>
            </w:r>
          </w:p>
        </w:tc>
      </w:tr>
      <w:tr w:rsidR="00000000">
        <w:tblPrEx>
          <w:tblCellMar>
            <w:top w:w="0" w:type="dxa"/>
            <w:bottom w:w="0" w:type="dxa"/>
          </w:tblCellMar>
        </w:tblPrEx>
        <w:tc>
          <w:tcPr>
            <w:tcW w:w="3024" w:type="dxa"/>
            <w:tcBorders>
              <w:top w:val="nil"/>
              <w:bottom w:val="nil"/>
            </w:tcBorders>
          </w:tcPr>
          <w:p w:rsidR="00000000" w:rsidRDefault="00000000">
            <w:pPr>
              <w:jc w:val="center"/>
            </w:pPr>
            <w:r>
              <w:t>1970</w:t>
            </w:r>
          </w:p>
        </w:tc>
        <w:tc>
          <w:tcPr>
            <w:tcW w:w="3024" w:type="dxa"/>
            <w:tcBorders>
              <w:top w:val="nil"/>
              <w:bottom w:val="nil"/>
            </w:tcBorders>
          </w:tcPr>
          <w:p w:rsidR="00000000" w:rsidRDefault="00000000">
            <w:pPr>
              <w:jc w:val="center"/>
            </w:pPr>
            <w:r>
              <w:t>18 147.0</w:t>
            </w:r>
          </w:p>
        </w:tc>
        <w:tc>
          <w:tcPr>
            <w:tcW w:w="3024" w:type="dxa"/>
            <w:tcBorders>
              <w:top w:val="nil"/>
              <w:bottom w:val="nil"/>
            </w:tcBorders>
          </w:tcPr>
          <w:p w:rsidR="00000000" w:rsidRDefault="00000000">
            <w:pPr>
              <w:jc w:val="center"/>
            </w:pPr>
            <w:r>
              <w:t>33.6</w:t>
            </w:r>
          </w:p>
        </w:tc>
      </w:tr>
      <w:tr w:rsidR="00000000">
        <w:tblPrEx>
          <w:tblCellMar>
            <w:top w:w="0" w:type="dxa"/>
            <w:bottom w:w="0" w:type="dxa"/>
          </w:tblCellMar>
        </w:tblPrEx>
        <w:tc>
          <w:tcPr>
            <w:tcW w:w="3024" w:type="dxa"/>
            <w:tcBorders>
              <w:top w:val="nil"/>
              <w:bottom w:val="nil"/>
            </w:tcBorders>
          </w:tcPr>
          <w:p w:rsidR="00000000" w:rsidRDefault="00000000">
            <w:pPr>
              <w:jc w:val="center"/>
            </w:pPr>
            <w:r>
              <w:t>1980</w:t>
            </w:r>
          </w:p>
        </w:tc>
        <w:tc>
          <w:tcPr>
            <w:tcW w:w="3024" w:type="dxa"/>
            <w:tcBorders>
              <w:top w:val="nil"/>
              <w:bottom w:val="nil"/>
            </w:tcBorders>
          </w:tcPr>
          <w:p w:rsidR="00000000" w:rsidRDefault="00000000">
            <w:pPr>
              <w:jc w:val="center"/>
            </w:pPr>
            <w:r>
              <w:t>18 651.8</w:t>
            </w:r>
          </w:p>
        </w:tc>
        <w:tc>
          <w:tcPr>
            <w:tcW w:w="3024" w:type="dxa"/>
            <w:tcBorders>
              <w:top w:val="nil"/>
              <w:bottom w:val="nil"/>
            </w:tcBorders>
          </w:tcPr>
          <w:p w:rsidR="00000000" w:rsidRDefault="00000000">
            <w:pPr>
              <w:jc w:val="center"/>
            </w:pPr>
            <w:r>
              <w:t>25.4</w:t>
            </w:r>
          </w:p>
        </w:tc>
      </w:tr>
      <w:tr w:rsidR="00000000">
        <w:tblPrEx>
          <w:tblCellMar>
            <w:top w:w="0" w:type="dxa"/>
            <w:bottom w:w="0" w:type="dxa"/>
          </w:tblCellMar>
        </w:tblPrEx>
        <w:tc>
          <w:tcPr>
            <w:tcW w:w="3024" w:type="dxa"/>
            <w:tcBorders>
              <w:top w:val="nil"/>
              <w:bottom w:val="nil"/>
            </w:tcBorders>
          </w:tcPr>
          <w:p w:rsidR="00000000" w:rsidRDefault="00000000">
            <w:pPr>
              <w:jc w:val="center"/>
            </w:pPr>
            <w:r>
              <w:t>1991</w:t>
            </w:r>
          </w:p>
        </w:tc>
        <w:tc>
          <w:tcPr>
            <w:tcW w:w="3024" w:type="dxa"/>
            <w:tcBorders>
              <w:top w:val="nil"/>
              <w:bottom w:val="nil"/>
            </w:tcBorders>
          </w:tcPr>
          <w:p w:rsidR="00000000" w:rsidRDefault="00000000">
            <w:pPr>
              <w:jc w:val="center"/>
            </w:pPr>
            <w:r>
              <w:t>19 233.2</w:t>
            </w:r>
          </w:p>
        </w:tc>
        <w:tc>
          <w:tcPr>
            <w:tcW w:w="3024" w:type="dxa"/>
            <w:tcBorders>
              <w:top w:val="nil"/>
              <w:bottom w:val="nil"/>
            </w:tcBorders>
          </w:tcPr>
          <w:p w:rsidR="00000000" w:rsidRDefault="00000000">
            <w:pPr>
              <w:jc w:val="center"/>
            </w:pPr>
            <w:r>
              <w:t>20.1</w:t>
            </w:r>
          </w:p>
        </w:tc>
      </w:tr>
      <w:tr w:rsidR="00000000">
        <w:tblPrEx>
          <w:tblCellMar>
            <w:top w:w="0" w:type="dxa"/>
            <w:bottom w:w="0" w:type="dxa"/>
          </w:tblCellMar>
        </w:tblPrEx>
        <w:tc>
          <w:tcPr>
            <w:tcW w:w="3024" w:type="dxa"/>
            <w:tcBorders>
              <w:top w:val="nil"/>
              <w:bottom w:val="nil"/>
            </w:tcBorders>
          </w:tcPr>
          <w:p w:rsidR="00000000" w:rsidRDefault="00000000">
            <w:pPr>
              <w:jc w:val="center"/>
            </w:pPr>
            <w:r>
              <w:t>1996</w:t>
            </w:r>
          </w:p>
        </w:tc>
        <w:tc>
          <w:tcPr>
            <w:tcW w:w="3024" w:type="dxa"/>
            <w:tcBorders>
              <w:top w:val="nil"/>
              <w:bottom w:val="nil"/>
            </w:tcBorders>
          </w:tcPr>
          <w:p w:rsidR="00000000" w:rsidRDefault="00000000">
            <w:pPr>
              <w:jc w:val="center"/>
            </w:pPr>
            <w:r>
              <w:t>15 560.3</w:t>
            </w:r>
          </w:p>
        </w:tc>
        <w:tc>
          <w:tcPr>
            <w:tcW w:w="3024" w:type="dxa"/>
            <w:tcBorders>
              <w:top w:val="nil"/>
              <w:bottom w:val="nil"/>
            </w:tcBorders>
          </w:tcPr>
          <w:p w:rsidR="00000000" w:rsidRDefault="00000000">
            <w:pPr>
              <w:jc w:val="center"/>
            </w:pPr>
            <w:r>
              <w:t>14.7</w:t>
            </w:r>
          </w:p>
        </w:tc>
      </w:tr>
      <w:tr w:rsidR="00000000">
        <w:tblPrEx>
          <w:tblCellMar>
            <w:top w:w="0" w:type="dxa"/>
            <w:bottom w:w="0" w:type="dxa"/>
          </w:tblCellMar>
        </w:tblPrEx>
        <w:tc>
          <w:tcPr>
            <w:tcW w:w="3024" w:type="dxa"/>
            <w:tcBorders>
              <w:top w:val="nil"/>
              <w:bottom w:val="nil"/>
            </w:tcBorders>
          </w:tcPr>
          <w:p w:rsidR="00000000" w:rsidRDefault="00000000">
            <w:pPr>
              <w:jc w:val="center"/>
            </w:pPr>
            <w:r>
              <w:t>1998</w:t>
            </w:r>
          </w:p>
        </w:tc>
        <w:tc>
          <w:tcPr>
            <w:tcW w:w="3024" w:type="dxa"/>
            <w:tcBorders>
              <w:top w:val="nil"/>
              <w:bottom w:val="nil"/>
            </w:tcBorders>
          </w:tcPr>
          <w:p w:rsidR="00000000" w:rsidRDefault="00000000">
            <w:pPr>
              <w:jc w:val="center"/>
            </w:pPr>
            <w:r>
              <w:t>15 262.7</w:t>
            </w:r>
          </w:p>
        </w:tc>
        <w:tc>
          <w:tcPr>
            <w:tcW w:w="3024" w:type="dxa"/>
            <w:tcBorders>
              <w:top w:val="nil"/>
              <w:bottom w:val="nil"/>
            </w:tcBorders>
          </w:tcPr>
          <w:p w:rsidR="00000000" w:rsidRDefault="00000000">
            <w:pPr>
              <w:jc w:val="center"/>
            </w:pPr>
            <w:r>
              <w:t>13.8</w:t>
            </w:r>
          </w:p>
        </w:tc>
      </w:tr>
      <w:tr w:rsidR="00000000">
        <w:tblPrEx>
          <w:tblCellMar>
            <w:top w:w="0" w:type="dxa"/>
            <w:bottom w:w="0" w:type="dxa"/>
          </w:tblCellMar>
        </w:tblPrEx>
        <w:tc>
          <w:tcPr>
            <w:tcW w:w="3024" w:type="dxa"/>
            <w:tcBorders>
              <w:top w:val="nil"/>
            </w:tcBorders>
          </w:tcPr>
          <w:p w:rsidR="00000000" w:rsidRDefault="00000000">
            <w:pPr>
              <w:jc w:val="center"/>
            </w:pPr>
            <w:r>
              <w:t>1999</w:t>
            </w:r>
          </w:p>
        </w:tc>
        <w:tc>
          <w:tcPr>
            <w:tcW w:w="3024" w:type="dxa"/>
            <w:tcBorders>
              <w:top w:val="nil"/>
            </w:tcBorders>
          </w:tcPr>
          <w:p w:rsidR="00000000" w:rsidRDefault="00000000">
            <w:pPr>
              <w:jc w:val="center"/>
            </w:pPr>
            <w:r>
              <w:t>15 073.0</w:t>
            </w:r>
          </w:p>
        </w:tc>
        <w:tc>
          <w:tcPr>
            <w:tcW w:w="3024" w:type="dxa"/>
            <w:tcBorders>
              <w:top w:val="nil"/>
            </w:tcBorders>
          </w:tcPr>
          <w:p w:rsidR="00000000" w:rsidRDefault="00000000">
            <w:pPr>
              <w:jc w:val="center"/>
            </w:pPr>
            <w:r>
              <w:t>13.3</w:t>
            </w:r>
          </w:p>
        </w:tc>
      </w:tr>
    </w:tbl>
    <w:p w:rsidR="00000000" w:rsidRDefault="00000000"/>
    <w:p w:rsidR="00000000" w:rsidRDefault="00000000">
      <w:r>
        <w:tab/>
      </w:r>
      <w:r>
        <w:rPr>
          <w:u w:val="single"/>
        </w:rPr>
        <w:t>Source</w:t>
      </w:r>
      <w:r>
        <w:t>:  Demographic Census, IBGE: 1920, 1940, 1950, 1960, 1970, 1980, 1991.  National Household Sampling Survey (PNAD/IBGE) 1996, 1998 and 1999.</w:t>
      </w:r>
    </w:p>
    <w:p w:rsidR="00000000" w:rsidRDefault="00000000"/>
    <w:p w:rsidR="00000000" w:rsidRDefault="00000000">
      <w:r>
        <w:tab/>
        <w:t>*  Excluding the rural populations of Rondônia, Acre, Amazonas, Roraima, Pará and Amapá States.</w:t>
      </w:r>
    </w:p>
    <w:p w:rsidR="00000000" w:rsidRDefault="00000000"/>
    <w:p w:rsidR="00000000" w:rsidRDefault="00000000">
      <w:pPr>
        <w:pStyle w:val="ParaNo"/>
        <w:tabs>
          <w:tab w:val="clear" w:pos="360"/>
          <w:tab w:val="clear" w:pos="737"/>
        </w:tabs>
        <w:ind w:left="0" w:firstLine="0"/>
        <w:rPr>
          <w:lang w:val="en-GB"/>
        </w:rPr>
      </w:pPr>
      <w:r>
        <w:rPr>
          <w:lang w:val="en-GB"/>
        </w:rPr>
        <w:t>This sharp turn-around in Brazil’s illiteracy rates, particularly among younger age groups, is directly related to the process of ensuring universal access to basic education, which has proven the most effective strategy in the efforts undertaken by the Government and other organizations in civil society that are striving to reshape Brazil’s educational profile.</w:t>
      </w:r>
    </w:p>
    <w:p w:rsidR="00000000" w:rsidRDefault="00000000"/>
    <w:p w:rsidR="00000000" w:rsidRDefault="00000000">
      <w:pPr>
        <w:pStyle w:val="ParaNo"/>
        <w:tabs>
          <w:tab w:val="clear" w:pos="360"/>
          <w:tab w:val="clear" w:pos="737"/>
        </w:tabs>
        <w:ind w:left="0" w:firstLine="0"/>
        <w:rPr>
          <w:lang w:val="en-GB"/>
        </w:rPr>
      </w:pPr>
      <w:r>
        <w:rPr>
          <w:lang w:val="en-GB"/>
        </w:rPr>
        <w:t xml:space="preserve">The data in the last few surveys undertaken by the Brazilian Institute of Geography and Statistics (IBGE - </w:t>
      </w:r>
      <w:r>
        <w:rPr>
          <w:u w:val="single"/>
          <w:lang w:val="en-GB"/>
        </w:rPr>
        <w:t>Instituto Brasileiro de Geografia e Estatística</w:t>
      </w:r>
      <w:r>
        <w:rPr>
          <w:lang w:val="en-GB"/>
        </w:rPr>
        <w:t>) indicate that the largest proportions of illiterates are concentrated to an increasing extent in the older groups,</w:t>
      </w:r>
      <w:r>
        <w:rPr>
          <w:rStyle w:val="EndnoteReference"/>
          <w:lang w:val="en-GB"/>
        </w:rPr>
        <w:endnoteReference w:id="22"/>
      </w:r>
      <w:r>
        <w:rPr>
          <w:lang w:val="en-GB"/>
        </w:rPr>
        <w:t xml:space="preserve"> as shown in table 87 below.</w:t>
      </w:r>
    </w:p>
    <w:p w:rsidR="00000000" w:rsidRDefault="00000000"/>
    <w:p w:rsidR="00000000" w:rsidRDefault="00000000">
      <w:pPr>
        <w:pStyle w:val="Heading1"/>
        <w:tabs>
          <w:tab w:val="left" w:pos="1418"/>
          <w:tab w:val="left" w:pos="2552"/>
        </w:tabs>
      </w:pPr>
      <w:r>
        <w:br w:type="page"/>
        <w:t>Table 87</w:t>
      </w:r>
    </w:p>
    <w:p w:rsidR="00000000" w:rsidRDefault="00000000"/>
    <w:p w:rsidR="00000000" w:rsidRDefault="00000000">
      <w:pPr>
        <w:pStyle w:val="Heading1"/>
        <w:tabs>
          <w:tab w:val="left" w:pos="1418"/>
          <w:tab w:val="left" w:pos="2552"/>
        </w:tabs>
      </w:pPr>
      <w:r>
        <w:t>Illiteracy rates in people aged 15 years or more, by age group - Brazil,</w:t>
      </w:r>
      <w:r>
        <w:rPr>
          <w:b w:val="0"/>
          <w:bCs/>
        </w:rPr>
        <w:t>*</w:t>
      </w:r>
      <w:r>
        <w:t xml:space="preserve"> 1970-1999</w:t>
      </w:r>
    </w:p>
    <w:p w:rsidR="00000000" w:rsidRDefault="00000000"/>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1576"/>
        <w:gridCol w:w="1196"/>
        <w:gridCol w:w="1196"/>
        <w:gridCol w:w="1196"/>
        <w:gridCol w:w="1197"/>
        <w:gridCol w:w="1197"/>
        <w:gridCol w:w="1089"/>
      </w:tblGrid>
      <w:tr w:rsidR="00000000">
        <w:tblPrEx>
          <w:tblCellMar>
            <w:top w:w="0" w:type="dxa"/>
            <w:bottom w:w="0" w:type="dxa"/>
          </w:tblCellMar>
        </w:tblPrEx>
        <w:trPr>
          <w:cantSplit/>
        </w:trPr>
        <w:tc>
          <w:tcPr>
            <w:tcW w:w="709" w:type="dxa"/>
            <w:vMerge w:val="restart"/>
          </w:tcPr>
          <w:p w:rsidR="00000000" w:rsidRDefault="00000000">
            <w:pPr>
              <w:rPr>
                <w:sz w:val="20"/>
              </w:rPr>
            </w:pPr>
          </w:p>
          <w:p w:rsidR="00000000" w:rsidRDefault="00000000">
            <w:pPr>
              <w:rPr>
                <w:sz w:val="20"/>
              </w:rPr>
            </w:pPr>
          </w:p>
          <w:p w:rsidR="00000000" w:rsidRDefault="00000000">
            <w:pPr>
              <w:rPr>
                <w:sz w:val="20"/>
              </w:rPr>
            </w:pPr>
            <w:r>
              <w:rPr>
                <w:sz w:val="20"/>
              </w:rPr>
              <w:t>Year</w:t>
            </w:r>
          </w:p>
        </w:tc>
        <w:tc>
          <w:tcPr>
            <w:tcW w:w="8647" w:type="dxa"/>
            <w:gridSpan w:val="7"/>
          </w:tcPr>
          <w:p w:rsidR="00000000" w:rsidRDefault="00000000">
            <w:pPr>
              <w:jc w:val="center"/>
              <w:rPr>
                <w:sz w:val="20"/>
              </w:rPr>
            </w:pPr>
            <w:r>
              <w:rPr>
                <w:sz w:val="20"/>
              </w:rPr>
              <w:t>Illiteracy rate (%)</w:t>
            </w:r>
          </w:p>
        </w:tc>
      </w:tr>
      <w:tr w:rsidR="00000000">
        <w:tblPrEx>
          <w:tblCellMar>
            <w:top w:w="0" w:type="dxa"/>
            <w:bottom w:w="0" w:type="dxa"/>
          </w:tblCellMar>
        </w:tblPrEx>
        <w:trPr>
          <w:cantSplit/>
        </w:trPr>
        <w:tc>
          <w:tcPr>
            <w:tcW w:w="709" w:type="dxa"/>
            <w:vMerge/>
            <w:tcBorders>
              <w:bottom w:val="single" w:sz="4" w:space="0" w:color="auto"/>
            </w:tcBorders>
          </w:tcPr>
          <w:p w:rsidR="00000000" w:rsidRDefault="00000000">
            <w:pPr>
              <w:rPr>
                <w:sz w:val="20"/>
              </w:rPr>
            </w:pPr>
          </w:p>
        </w:tc>
        <w:tc>
          <w:tcPr>
            <w:tcW w:w="1576" w:type="dxa"/>
            <w:tcBorders>
              <w:bottom w:val="single" w:sz="4" w:space="0" w:color="auto"/>
            </w:tcBorders>
          </w:tcPr>
          <w:p w:rsidR="00000000" w:rsidRDefault="00000000">
            <w:pPr>
              <w:rPr>
                <w:sz w:val="20"/>
              </w:rPr>
            </w:pPr>
            <w:r>
              <w:rPr>
                <w:sz w:val="20"/>
              </w:rPr>
              <w:t>15 years or more</w:t>
            </w:r>
          </w:p>
        </w:tc>
        <w:tc>
          <w:tcPr>
            <w:tcW w:w="1196" w:type="dxa"/>
            <w:tcBorders>
              <w:bottom w:val="single" w:sz="4" w:space="0" w:color="auto"/>
            </w:tcBorders>
          </w:tcPr>
          <w:p w:rsidR="00000000" w:rsidRDefault="00000000">
            <w:pPr>
              <w:rPr>
                <w:sz w:val="20"/>
              </w:rPr>
            </w:pPr>
            <w:r>
              <w:rPr>
                <w:sz w:val="20"/>
              </w:rPr>
              <w:t>15-19 years</w:t>
            </w:r>
          </w:p>
        </w:tc>
        <w:tc>
          <w:tcPr>
            <w:tcW w:w="1196" w:type="dxa"/>
            <w:tcBorders>
              <w:bottom w:val="single" w:sz="4" w:space="0" w:color="auto"/>
            </w:tcBorders>
          </w:tcPr>
          <w:p w:rsidR="00000000" w:rsidRDefault="00000000">
            <w:pPr>
              <w:rPr>
                <w:sz w:val="20"/>
              </w:rPr>
            </w:pPr>
            <w:r>
              <w:rPr>
                <w:sz w:val="20"/>
              </w:rPr>
              <w:t>20-24 years</w:t>
            </w:r>
          </w:p>
        </w:tc>
        <w:tc>
          <w:tcPr>
            <w:tcW w:w="1196" w:type="dxa"/>
            <w:tcBorders>
              <w:bottom w:val="single" w:sz="4" w:space="0" w:color="auto"/>
            </w:tcBorders>
          </w:tcPr>
          <w:p w:rsidR="00000000" w:rsidRDefault="00000000">
            <w:pPr>
              <w:rPr>
                <w:sz w:val="20"/>
              </w:rPr>
            </w:pPr>
            <w:r>
              <w:rPr>
                <w:sz w:val="20"/>
              </w:rPr>
              <w:t>25-29 years</w:t>
            </w:r>
          </w:p>
        </w:tc>
        <w:tc>
          <w:tcPr>
            <w:tcW w:w="1197" w:type="dxa"/>
            <w:tcBorders>
              <w:bottom w:val="single" w:sz="4" w:space="0" w:color="auto"/>
            </w:tcBorders>
          </w:tcPr>
          <w:p w:rsidR="00000000" w:rsidRDefault="00000000">
            <w:pPr>
              <w:rPr>
                <w:sz w:val="20"/>
              </w:rPr>
            </w:pPr>
            <w:r>
              <w:rPr>
                <w:sz w:val="20"/>
              </w:rPr>
              <w:t>30-39 years</w:t>
            </w:r>
          </w:p>
        </w:tc>
        <w:tc>
          <w:tcPr>
            <w:tcW w:w="1197" w:type="dxa"/>
            <w:tcBorders>
              <w:bottom w:val="single" w:sz="4" w:space="0" w:color="auto"/>
            </w:tcBorders>
          </w:tcPr>
          <w:p w:rsidR="00000000" w:rsidRDefault="00000000">
            <w:pPr>
              <w:rPr>
                <w:sz w:val="20"/>
              </w:rPr>
            </w:pPr>
            <w:r>
              <w:rPr>
                <w:sz w:val="20"/>
              </w:rPr>
              <w:t>40-49 years</w:t>
            </w:r>
          </w:p>
        </w:tc>
        <w:tc>
          <w:tcPr>
            <w:tcW w:w="1089" w:type="dxa"/>
            <w:tcBorders>
              <w:bottom w:val="single" w:sz="4" w:space="0" w:color="auto"/>
            </w:tcBorders>
          </w:tcPr>
          <w:p w:rsidR="00000000" w:rsidRDefault="00000000">
            <w:pPr>
              <w:rPr>
                <w:sz w:val="20"/>
              </w:rPr>
            </w:pPr>
            <w:r>
              <w:rPr>
                <w:sz w:val="20"/>
              </w:rPr>
              <w:t>50 years or more</w:t>
            </w:r>
          </w:p>
        </w:tc>
      </w:tr>
      <w:tr w:rsidR="00000000">
        <w:tblPrEx>
          <w:tblCellMar>
            <w:top w:w="0" w:type="dxa"/>
            <w:bottom w:w="0" w:type="dxa"/>
          </w:tblCellMar>
        </w:tblPrEx>
        <w:tc>
          <w:tcPr>
            <w:tcW w:w="709" w:type="dxa"/>
            <w:tcBorders>
              <w:bottom w:val="nil"/>
            </w:tcBorders>
          </w:tcPr>
          <w:p w:rsidR="00000000" w:rsidRDefault="00000000">
            <w:pPr>
              <w:rPr>
                <w:sz w:val="20"/>
              </w:rPr>
            </w:pPr>
            <w:r>
              <w:rPr>
                <w:sz w:val="20"/>
              </w:rPr>
              <w:t>1970</w:t>
            </w:r>
          </w:p>
        </w:tc>
        <w:tc>
          <w:tcPr>
            <w:tcW w:w="1576" w:type="dxa"/>
            <w:tcBorders>
              <w:bottom w:val="nil"/>
            </w:tcBorders>
          </w:tcPr>
          <w:p w:rsidR="00000000" w:rsidRDefault="00000000">
            <w:pPr>
              <w:jc w:val="center"/>
              <w:rPr>
                <w:sz w:val="20"/>
              </w:rPr>
            </w:pPr>
            <w:r>
              <w:rPr>
                <w:sz w:val="20"/>
              </w:rPr>
              <w:t>33.6</w:t>
            </w:r>
          </w:p>
        </w:tc>
        <w:tc>
          <w:tcPr>
            <w:tcW w:w="1196" w:type="dxa"/>
            <w:tcBorders>
              <w:bottom w:val="nil"/>
            </w:tcBorders>
          </w:tcPr>
          <w:p w:rsidR="00000000" w:rsidRDefault="00000000">
            <w:pPr>
              <w:jc w:val="center"/>
              <w:rPr>
                <w:sz w:val="20"/>
              </w:rPr>
            </w:pPr>
            <w:r>
              <w:rPr>
                <w:sz w:val="20"/>
              </w:rPr>
              <w:t>24.3</w:t>
            </w:r>
          </w:p>
        </w:tc>
        <w:tc>
          <w:tcPr>
            <w:tcW w:w="1196" w:type="dxa"/>
            <w:tcBorders>
              <w:bottom w:val="nil"/>
            </w:tcBorders>
          </w:tcPr>
          <w:p w:rsidR="00000000" w:rsidRDefault="00000000">
            <w:pPr>
              <w:jc w:val="center"/>
              <w:rPr>
                <w:sz w:val="20"/>
              </w:rPr>
            </w:pPr>
            <w:r>
              <w:rPr>
                <w:sz w:val="20"/>
              </w:rPr>
              <w:t>26.5</w:t>
            </w:r>
          </w:p>
        </w:tc>
        <w:tc>
          <w:tcPr>
            <w:tcW w:w="1196" w:type="dxa"/>
            <w:tcBorders>
              <w:bottom w:val="nil"/>
            </w:tcBorders>
          </w:tcPr>
          <w:p w:rsidR="00000000" w:rsidRDefault="00000000">
            <w:pPr>
              <w:jc w:val="center"/>
              <w:rPr>
                <w:sz w:val="20"/>
              </w:rPr>
            </w:pPr>
            <w:r>
              <w:rPr>
                <w:sz w:val="20"/>
              </w:rPr>
              <w:t>29.9</w:t>
            </w:r>
          </w:p>
        </w:tc>
        <w:tc>
          <w:tcPr>
            <w:tcW w:w="1197" w:type="dxa"/>
            <w:tcBorders>
              <w:bottom w:val="nil"/>
            </w:tcBorders>
          </w:tcPr>
          <w:p w:rsidR="00000000" w:rsidRDefault="00000000">
            <w:pPr>
              <w:jc w:val="center"/>
              <w:rPr>
                <w:sz w:val="20"/>
              </w:rPr>
            </w:pPr>
            <w:r>
              <w:rPr>
                <w:sz w:val="20"/>
              </w:rPr>
              <w:t>32.9</w:t>
            </w:r>
          </w:p>
        </w:tc>
        <w:tc>
          <w:tcPr>
            <w:tcW w:w="1197" w:type="dxa"/>
            <w:tcBorders>
              <w:bottom w:val="nil"/>
            </w:tcBorders>
          </w:tcPr>
          <w:p w:rsidR="00000000" w:rsidRDefault="00000000">
            <w:pPr>
              <w:jc w:val="center"/>
              <w:rPr>
                <w:sz w:val="20"/>
              </w:rPr>
            </w:pPr>
            <w:r>
              <w:rPr>
                <w:sz w:val="20"/>
              </w:rPr>
              <w:t>38.5</w:t>
            </w:r>
          </w:p>
        </w:tc>
        <w:tc>
          <w:tcPr>
            <w:tcW w:w="1089" w:type="dxa"/>
            <w:tcBorders>
              <w:bottom w:val="nil"/>
            </w:tcBorders>
          </w:tcPr>
          <w:p w:rsidR="00000000" w:rsidRDefault="00000000">
            <w:pPr>
              <w:jc w:val="center"/>
              <w:rPr>
                <w:sz w:val="20"/>
              </w:rPr>
            </w:pPr>
            <w:r>
              <w:rPr>
                <w:sz w:val="20"/>
              </w:rPr>
              <w:t>48.4</w:t>
            </w:r>
          </w:p>
        </w:tc>
      </w:tr>
      <w:tr w:rsidR="00000000">
        <w:tblPrEx>
          <w:tblCellMar>
            <w:top w:w="0" w:type="dxa"/>
            <w:bottom w:w="0" w:type="dxa"/>
          </w:tblCellMar>
        </w:tblPrEx>
        <w:tc>
          <w:tcPr>
            <w:tcW w:w="709" w:type="dxa"/>
            <w:tcBorders>
              <w:top w:val="nil"/>
              <w:bottom w:val="nil"/>
            </w:tcBorders>
          </w:tcPr>
          <w:p w:rsidR="00000000" w:rsidRDefault="00000000">
            <w:pPr>
              <w:rPr>
                <w:sz w:val="20"/>
              </w:rPr>
            </w:pPr>
            <w:r>
              <w:rPr>
                <w:sz w:val="20"/>
              </w:rPr>
              <w:t>1980</w:t>
            </w:r>
          </w:p>
        </w:tc>
        <w:tc>
          <w:tcPr>
            <w:tcW w:w="1576" w:type="dxa"/>
            <w:tcBorders>
              <w:top w:val="nil"/>
              <w:bottom w:val="nil"/>
            </w:tcBorders>
          </w:tcPr>
          <w:p w:rsidR="00000000" w:rsidRDefault="00000000">
            <w:pPr>
              <w:jc w:val="center"/>
              <w:rPr>
                <w:sz w:val="20"/>
              </w:rPr>
            </w:pPr>
            <w:r>
              <w:rPr>
                <w:sz w:val="20"/>
              </w:rPr>
              <w:t>25.4</w:t>
            </w:r>
          </w:p>
        </w:tc>
        <w:tc>
          <w:tcPr>
            <w:tcW w:w="1196" w:type="dxa"/>
            <w:tcBorders>
              <w:top w:val="nil"/>
              <w:bottom w:val="nil"/>
            </w:tcBorders>
          </w:tcPr>
          <w:p w:rsidR="00000000" w:rsidRDefault="00000000">
            <w:pPr>
              <w:jc w:val="center"/>
              <w:rPr>
                <w:sz w:val="20"/>
              </w:rPr>
            </w:pPr>
            <w:r>
              <w:rPr>
                <w:sz w:val="20"/>
              </w:rPr>
              <w:t>16.5</w:t>
            </w:r>
          </w:p>
        </w:tc>
        <w:tc>
          <w:tcPr>
            <w:tcW w:w="1196" w:type="dxa"/>
            <w:tcBorders>
              <w:top w:val="nil"/>
              <w:bottom w:val="nil"/>
            </w:tcBorders>
          </w:tcPr>
          <w:p w:rsidR="00000000" w:rsidRDefault="00000000">
            <w:pPr>
              <w:jc w:val="center"/>
              <w:rPr>
                <w:sz w:val="20"/>
              </w:rPr>
            </w:pPr>
            <w:r>
              <w:rPr>
                <w:sz w:val="20"/>
              </w:rPr>
              <w:t>15.6</w:t>
            </w:r>
          </w:p>
        </w:tc>
        <w:tc>
          <w:tcPr>
            <w:tcW w:w="1196" w:type="dxa"/>
            <w:tcBorders>
              <w:top w:val="nil"/>
              <w:bottom w:val="nil"/>
            </w:tcBorders>
          </w:tcPr>
          <w:p w:rsidR="00000000" w:rsidRDefault="00000000">
            <w:pPr>
              <w:jc w:val="center"/>
              <w:rPr>
                <w:sz w:val="20"/>
              </w:rPr>
            </w:pPr>
            <w:r>
              <w:rPr>
                <w:sz w:val="20"/>
              </w:rPr>
              <w:t>18.0</w:t>
            </w:r>
          </w:p>
        </w:tc>
        <w:tc>
          <w:tcPr>
            <w:tcW w:w="1197" w:type="dxa"/>
            <w:tcBorders>
              <w:top w:val="nil"/>
              <w:bottom w:val="nil"/>
            </w:tcBorders>
          </w:tcPr>
          <w:p w:rsidR="00000000" w:rsidRDefault="00000000">
            <w:pPr>
              <w:jc w:val="center"/>
              <w:rPr>
                <w:sz w:val="20"/>
              </w:rPr>
            </w:pPr>
            <w:r>
              <w:rPr>
                <w:sz w:val="20"/>
              </w:rPr>
              <w:t>24.0</w:t>
            </w:r>
          </w:p>
        </w:tc>
        <w:tc>
          <w:tcPr>
            <w:tcW w:w="1197" w:type="dxa"/>
            <w:tcBorders>
              <w:top w:val="nil"/>
              <w:bottom w:val="nil"/>
            </w:tcBorders>
          </w:tcPr>
          <w:p w:rsidR="00000000" w:rsidRDefault="00000000">
            <w:pPr>
              <w:jc w:val="center"/>
              <w:rPr>
                <w:sz w:val="20"/>
              </w:rPr>
            </w:pPr>
            <w:r>
              <w:rPr>
                <w:sz w:val="20"/>
              </w:rPr>
              <w:t>30.8</w:t>
            </w:r>
          </w:p>
        </w:tc>
        <w:tc>
          <w:tcPr>
            <w:tcW w:w="1089" w:type="dxa"/>
            <w:tcBorders>
              <w:top w:val="nil"/>
              <w:bottom w:val="nil"/>
            </w:tcBorders>
          </w:tcPr>
          <w:p w:rsidR="00000000" w:rsidRDefault="00000000">
            <w:pPr>
              <w:jc w:val="center"/>
              <w:rPr>
                <w:sz w:val="20"/>
              </w:rPr>
            </w:pPr>
            <w:r>
              <w:rPr>
                <w:sz w:val="20"/>
              </w:rPr>
              <w:t>43.9</w:t>
            </w:r>
          </w:p>
        </w:tc>
      </w:tr>
      <w:tr w:rsidR="00000000">
        <w:tblPrEx>
          <w:tblCellMar>
            <w:top w:w="0" w:type="dxa"/>
            <w:bottom w:w="0" w:type="dxa"/>
          </w:tblCellMar>
        </w:tblPrEx>
        <w:tc>
          <w:tcPr>
            <w:tcW w:w="709" w:type="dxa"/>
            <w:tcBorders>
              <w:top w:val="nil"/>
              <w:bottom w:val="nil"/>
            </w:tcBorders>
          </w:tcPr>
          <w:p w:rsidR="00000000" w:rsidRDefault="00000000">
            <w:pPr>
              <w:rPr>
                <w:sz w:val="20"/>
              </w:rPr>
            </w:pPr>
            <w:r>
              <w:rPr>
                <w:sz w:val="20"/>
              </w:rPr>
              <w:t>1991</w:t>
            </w:r>
          </w:p>
        </w:tc>
        <w:tc>
          <w:tcPr>
            <w:tcW w:w="1576" w:type="dxa"/>
            <w:tcBorders>
              <w:top w:val="nil"/>
              <w:bottom w:val="nil"/>
            </w:tcBorders>
          </w:tcPr>
          <w:p w:rsidR="00000000" w:rsidRDefault="00000000">
            <w:pPr>
              <w:jc w:val="center"/>
              <w:rPr>
                <w:sz w:val="20"/>
              </w:rPr>
            </w:pPr>
            <w:r>
              <w:rPr>
                <w:sz w:val="20"/>
              </w:rPr>
              <w:t>20.1</w:t>
            </w:r>
          </w:p>
        </w:tc>
        <w:tc>
          <w:tcPr>
            <w:tcW w:w="1196" w:type="dxa"/>
            <w:tcBorders>
              <w:top w:val="nil"/>
              <w:bottom w:val="nil"/>
            </w:tcBorders>
          </w:tcPr>
          <w:p w:rsidR="00000000" w:rsidRDefault="00000000">
            <w:pPr>
              <w:jc w:val="center"/>
              <w:rPr>
                <w:sz w:val="20"/>
              </w:rPr>
            </w:pPr>
            <w:r>
              <w:rPr>
                <w:sz w:val="20"/>
              </w:rPr>
              <w:t>12.1</w:t>
            </w:r>
          </w:p>
        </w:tc>
        <w:tc>
          <w:tcPr>
            <w:tcW w:w="1196" w:type="dxa"/>
            <w:tcBorders>
              <w:top w:val="nil"/>
              <w:bottom w:val="nil"/>
            </w:tcBorders>
          </w:tcPr>
          <w:p w:rsidR="00000000" w:rsidRDefault="00000000">
            <w:pPr>
              <w:jc w:val="center"/>
              <w:rPr>
                <w:sz w:val="20"/>
              </w:rPr>
            </w:pPr>
            <w:r>
              <w:rPr>
                <w:sz w:val="20"/>
              </w:rPr>
              <w:t>12.2</w:t>
            </w:r>
          </w:p>
        </w:tc>
        <w:tc>
          <w:tcPr>
            <w:tcW w:w="1196" w:type="dxa"/>
            <w:tcBorders>
              <w:top w:val="nil"/>
              <w:bottom w:val="nil"/>
            </w:tcBorders>
          </w:tcPr>
          <w:p w:rsidR="00000000" w:rsidRDefault="00000000">
            <w:pPr>
              <w:jc w:val="center"/>
              <w:rPr>
                <w:sz w:val="20"/>
              </w:rPr>
            </w:pPr>
            <w:r>
              <w:rPr>
                <w:sz w:val="20"/>
              </w:rPr>
              <w:t>12.7</w:t>
            </w:r>
          </w:p>
        </w:tc>
        <w:tc>
          <w:tcPr>
            <w:tcW w:w="1197" w:type="dxa"/>
            <w:tcBorders>
              <w:top w:val="nil"/>
              <w:bottom w:val="nil"/>
            </w:tcBorders>
          </w:tcPr>
          <w:p w:rsidR="00000000" w:rsidRDefault="00000000">
            <w:pPr>
              <w:jc w:val="center"/>
              <w:rPr>
                <w:sz w:val="20"/>
              </w:rPr>
            </w:pPr>
            <w:r>
              <w:rPr>
                <w:sz w:val="20"/>
              </w:rPr>
              <w:t>15.3</w:t>
            </w:r>
          </w:p>
        </w:tc>
        <w:tc>
          <w:tcPr>
            <w:tcW w:w="1197" w:type="dxa"/>
            <w:tcBorders>
              <w:top w:val="nil"/>
              <w:bottom w:val="nil"/>
            </w:tcBorders>
          </w:tcPr>
          <w:p w:rsidR="00000000" w:rsidRDefault="00000000">
            <w:pPr>
              <w:jc w:val="center"/>
              <w:rPr>
                <w:sz w:val="20"/>
              </w:rPr>
            </w:pPr>
            <w:r>
              <w:rPr>
                <w:sz w:val="20"/>
              </w:rPr>
              <w:t>23.8</w:t>
            </w:r>
          </w:p>
        </w:tc>
        <w:tc>
          <w:tcPr>
            <w:tcW w:w="1089" w:type="dxa"/>
            <w:tcBorders>
              <w:top w:val="nil"/>
              <w:bottom w:val="nil"/>
            </w:tcBorders>
          </w:tcPr>
          <w:p w:rsidR="00000000" w:rsidRDefault="00000000">
            <w:pPr>
              <w:jc w:val="center"/>
              <w:rPr>
                <w:sz w:val="20"/>
              </w:rPr>
            </w:pPr>
            <w:r>
              <w:rPr>
                <w:sz w:val="20"/>
              </w:rPr>
              <w:t>38.3</w:t>
            </w:r>
          </w:p>
        </w:tc>
      </w:tr>
      <w:tr w:rsidR="00000000">
        <w:tblPrEx>
          <w:tblCellMar>
            <w:top w:w="0" w:type="dxa"/>
            <w:bottom w:w="0" w:type="dxa"/>
          </w:tblCellMar>
        </w:tblPrEx>
        <w:tc>
          <w:tcPr>
            <w:tcW w:w="709" w:type="dxa"/>
            <w:tcBorders>
              <w:top w:val="nil"/>
              <w:bottom w:val="nil"/>
            </w:tcBorders>
          </w:tcPr>
          <w:p w:rsidR="00000000" w:rsidRDefault="00000000">
            <w:pPr>
              <w:rPr>
                <w:sz w:val="20"/>
              </w:rPr>
            </w:pPr>
            <w:r>
              <w:rPr>
                <w:sz w:val="20"/>
              </w:rPr>
              <w:t>1995</w:t>
            </w:r>
          </w:p>
        </w:tc>
        <w:tc>
          <w:tcPr>
            <w:tcW w:w="1576" w:type="dxa"/>
            <w:tcBorders>
              <w:top w:val="nil"/>
              <w:bottom w:val="nil"/>
            </w:tcBorders>
          </w:tcPr>
          <w:p w:rsidR="00000000" w:rsidRDefault="00000000">
            <w:pPr>
              <w:jc w:val="center"/>
              <w:rPr>
                <w:sz w:val="20"/>
              </w:rPr>
            </w:pPr>
            <w:r>
              <w:rPr>
                <w:sz w:val="20"/>
              </w:rPr>
              <w:t>15.6</w:t>
            </w:r>
          </w:p>
        </w:tc>
        <w:tc>
          <w:tcPr>
            <w:tcW w:w="1196" w:type="dxa"/>
            <w:tcBorders>
              <w:top w:val="nil"/>
              <w:bottom w:val="nil"/>
            </w:tcBorders>
          </w:tcPr>
          <w:p w:rsidR="00000000" w:rsidRDefault="00000000">
            <w:pPr>
              <w:jc w:val="center"/>
              <w:rPr>
                <w:sz w:val="20"/>
              </w:rPr>
            </w:pPr>
            <w:r>
              <w:rPr>
                <w:sz w:val="20"/>
              </w:rPr>
              <w:t>6.8</w:t>
            </w:r>
          </w:p>
        </w:tc>
        <w:tc>
          <w:tcPr>
            <w:tcW w:w="1196" w:type="dxa"/>
            <w:tcBorders>
              <w:top w:val="nil"/>
              <w:bottom w:val="nil"/>
            </w:tcBorders>
          </w:tcPr>
          <w:p w:rsidR="00000000" w:rsidRDefault="00000000">
            <w:pPr>
              <w:jc w:val="center"/>
              <w:rPr>
                <w:sz w:val="20"/>
              </w:rPr>
            </w:pPr>
            <w:r>
              <w:rPr>
                <w:sz w:val="20"/>
              </w:rPr>
              <w:t>7.5</w:t>
            </w:r>
          </w:p>
        </w:tc>
        <w:tc>
          <w:tcPr>
            <w:tcW w:w="1196" w:type="dxa"/>
            <w:tcBorders>
              <w:top w:val="nil"/>
              <w:bottom w:val="nil"/>
            </w:tcBorders>
          </w:tcPr>
          <w:p w:rsidR="00000000" w:rsidRDefault="00000000">
            <w:pPr>
              <w:jc w:val="center"/>
              <w:rPr>
                <w:sz w:val="20"/>
              </w:rPr>
            </w:pPr>
            <w:r>
              <w:rPr>
                <w:sz w:val="20"/>
              </w:rPr>
              <w:t>9.3</w:t>
            </w:r>
          </w:p>
        </w:tc>
        <w:tc>
          <w:tcPr>
            <w:tcW w:w="1197" w:type="dxa"/>
            <w:tcBorders>
              <w:top w:val="nil"/>
              <w:bottom w:val="nil"/>
            </w:tcBorders>
          </w:tcPr>
          <w:p w:rsidR="00000000" w:rsidRDefault="00000000">
            <w:pPr>
              <w:jc w:val="center"/>
              <w:rPr>
                <w:sz w:val="20"/>
              </w:rPr>
            </w:pPr>
            <w:r>
              <w:rPr>
                <w:sz w:val="20"/>
              </w:rPr>
              <w:t>11.0</w:t>
            </w:r>
          </w:p>
        </w:tc>
        <w:tc>
          <w:tcPr>
            <w:tcW w:w="1197" w:type="dxa"/>
            <w:tcBorders>
              <w:top w:val="nil"/>
              <w:bottom w:val="nil"/>
            </w:tcBorders>
          </w:tcPr>
          <w:p w:rsidR="00000000" w:rsidRDefault="00000000">
            <w:pPr>
              <w:jc w:val="center"/>
              <w:rPr>
                <w:sz w:val="20"/>
              </w:rPr>
            </w:pPr>
            <w:r>
              <w:rPr>
                <w:sz w:val="20"/>
              </w:rPr>
              <w:t>16.7</w:t>
            </w:r>
          </w:p>
        </w:tc>
        <w:tc>
          <w:tcPr>
            <w:tcW w:w="1089" w:type="dxa"/>
            <w:tcBorders>
              <w:top w:val="nil"/>
              <w:bottom w:val="nil"/>
            </w:tcBorders>
          </w:tcPr>
          <w:p w:rsidR="00000000" w:rsidRDefault="00000000">
            <w:pPr>
              <w:jc w:val="center"/>
              <w:rPr>
                <w:sz w:val="20"/>
              </w:rPr>
            </w:pPr>
            <w:r>
              <w:rPr>
                <w:sz w:val="20"/>
              </w:rPr>
              <w:t>32.7</w:t>
            </w:r>
          </w:p>
        </w:tc>
      </w:tr>
      <w:tr w:rsidR="00000000">
        <w:tblPrEx>
          <w:tblCellMar>
            <w:top w:w="0" w:type="dxa"/>
            <w:bottom w:w="0" w:type="dxa"/>
          </w:tblCellMar>
        </w:tblPrEx>
        <w:tc>
          <w:tcPr>
            <w:tcW w:w="709" w:type="dxa"/>
            <w:tcBorders>
              <w:top w:val="nil"/>
              <w:bottom w:val="nil"/>
            </w:tcBorders>
          </w:tcPr>
          <w:p w:rsidR="00000000" w:rsidRDefault="00000000">
            <w:pPr>
              <w:rPr>
                <w:sz w:val="20"/>
              </w:rPr>
            </w:pPr>
            <w:r>
              <w:rPr>
                <w:sz w:val="20"/>
              </w:rPr>
              <w:t>1996</w:t>
            </w:r>
          </w:p>
        </w:tc>
        <w:tc>
          <w:tcPr>
            <w:tcW w:w="1576" w:type="dxa"/>
            <w:tcBorders>
              <w:top w:val="nil"/>
              <w:bottom w:val="nil"/>
            </w:tcBorders>
          </w:tcPr>
          <w:p w:rsidR="00000000" w:rsidRDefault="00000000">
            <w:pPr>
              <w:jc w:val="center"/>
              <w:rPr>
                <w:sz w:val="20"/>
              </w:rPr>
            </w:pPr>
            <w:r>
              <w:rPr>
                <w:sz w:val="20"/>
              </w:rPr>
              <w:t>14.7</w:t>
            </w:r>
          </w:p>
        </w:tc>
        <w:tc>
          <w:tcPr>
            <w:tcW w:w="1196" w:type="dxa"/>
            <w:tcBorders>
              <w:top w:val="nil"/>
              <w:bottom w:val="nil"/>
            </w:tcBorders>
          </w:tcPr>
          <w:p w:rsidR="00000000" w:rsidRDefault="00000000">
            <w:pPr>
              <w:jc w:val="center"/>
              <w:rPr>
                <w:sz w:val="20"/>
              </w:rPr>
            </w:pPr>
            <w:r>
              <w:rPr>
                <w:sz w:val="20"/>
              </w:rPr>
              <w:t>6.0</w:t>
            </w:r>
          </w:p>
        </w:tc>
        <w:tc>
          <w:tcPr>
            <w:tcW w:w="1196" w:type="dxa"/>
            <w:tcBorders>
              <w:top w:val="nil"/>
              <w:bottom w:val="nil"/>
            </w:tcBorders>
          </w:tcPr>
          <w:p w:rsidR="00000000" w:rsidRDefault="00000000">
            <w:pPr>
              <w:jc w:val="center"/>
              <w:rPr>
                <w:sz w:val="20"/>
              </w:rPr>
            </w:pPr>
            <w:r>
              <w:rPr>
                <w:sz w:val="20"/>
              </w:rPr>
              <w:t>7.1</w:t>
            </w:r>
          </w:p>
        </w:tc>
        <w:tc>
          <w:tcPr>
            <w:tcW w:w="1196" w:type="dxa"/>
            <w:tcBorders>
              <w:top w:val="nil"/>
              <w:bottom w:val="nil"/>
            </w:tcBorders>
          </w:tcPr>
          <w:p w:rsidR="00000000" w:rsidRDefault="00000000">
            <w:pPr>
              <w:jc w:val="center"/>
              <w:rPr>
                <w:sz w:val="20"/>
              </w:rPr>
            </w:pPr>
            <w:r>
              <w:rPr>
                <w:sz w:val="20"/>
              </w:rPr>
              <w:t>8.1</w:t>
            </w:r>
          </w:p>
        </w:tc>
        <w:tc>
          <w:tcPr>
            <w:tcW w:w="1197" w:type="dxa"/>
            <w:tcBorders>
              <w:top w:val="nil"/>
              <w:bottom w:val="nil"/>
            </w:tcBorders>
          </w:tcPr>
          <w:p w:rsidR="00000000" w:rsidRDefault="00000000">
            <w:pPr>
              <w:jc w:val="center"/>
              <w:rPr>
                <w:sz w:val="20"/>
              </w:rPr>
            </w:pPr>
            <w:r>
              <w:rPr>
                <w:sz w:val="20"/>
              </w:rPr>
              <w:t>10.2</w:t>
            </w:r>
          </w:p>
        </w:tc>
        <w:tc>
          <w:tcPr>
            <w:tcW w:w="1197" w:type="dxa"/>
            <w:tcBorders>
              <w:top w:val="nil"/>
              <w:bottom w:val="nil"/>
            </w:tcBorders>
          </w:tcPr>
          <w:p w:rsidR="00000000" w:rsidRDefault="00000000">
            <w:pPr>
              <w:jc w:val="center"/>
              <w:rPr>
                <w:sz w:val="20"/>
              </w:rPr>
            </w:pPr>
            <w:r>
              <w:rPr>
                <w:sz w:val="20"/>
              </w:rPr>
              <w:t>15.5</w:t>
            </w:r>
          </w:p>
        </w:tc>
        <w:tc>
          <w:tcPr>
            <w:tcW w:w="1089" w:type="dxa"/>
            <w:tcBorders>
              <w:top w:val="nil"/>
              <w:bottom w:val="nil"/>
            </w:tcBorders>
          </w:tcPr>
          <w:p w:rsidR="00000000" w:rsidRDefault="00000000">
            <w:pPr>
              <w:jc w:val="center"/>
              <w:rPr>
                <w:sz w:val="20"/>
              </w:rPr>
            </w:pPr>
            <w:r>
              <w:rPr>
                <w:sz w:val="20"/>
              </w:rPr>
              <w:t>31.5</w:t>
            </w:r>
          </w:p>
        </w:tc>
      </w:tr>
      <w:tr w:rsidR="00000000">
        <w:tblPrEx>
          <w:tblCellMar>
            <w:top w:w="0" w:type="dxa"/>
            <w:bottom w:w="0" w:type="dxa"/>
          </w:tblCellMar>
        </w:tblPrEx>
        <w:tc>
          <w:tcPr>
            <w:tcW w:w="709" w:type="dxa"/>
            <w:tcBorders>
              <w:top w:val="nil"/>
              <w:bottom w:val="nil"/>
            </w:tcBorders>
          </w:tcPr>
          <w:p w:rsidR="00000000" w:rsidRDefault="00000000">
            <w:pPr>
              <w:rPr>
                <w:sz w:val="20"/>
              </w:rPr>
            </w:pPr>
            <w:r>
              <w:rPr>
                <w:sz w:val="20"/>
              </w:rPr>
              <w:t>1998</w:t>
            </w:r>
          </w:p>
        </w:tc>
        <w:tc>
          <w:tcPr>
            <w:tcW w:w="1576" w:type="dxa"/>
            <w:tcBorders>
              <w:top w:val="nil"/>
              <w:bottom w:val="nil"/>
            </w:tcBorders>
          </w:tcPr>
          <w:p w:rsidR="00000000" w:rsidRDefault="00000000">
            <w:pPr>
              <w:jc w:val="center"/>
              <w:rPr>
                <w:sz w:val="20"/>
              </w:rPr>
            </w:pPr>
            <w:r>
              <w:rPr>
                <w:sz w:val="20"/>
              </w:rPr>
              <w:t>13.8</w:t>
            </w:r>
          </w:p>
        </w:tc>
        <w:tc>
          <w:tcPr>
            <w:tcW w:w="1196" w:type="dxa"/>
            <w:tcBorders>
              <w:top w:val="nil"/>
              <w:bottom w:val="nil"/>
            </w:tcBorders>
          </w:tcPr>
          <w:p w:rsidR="00000000" w:rsidRDefault="00000000">
            <w:pPr>
              <w:jc w:val="center"/>
              <w:rPr>
                <w:sz w:val="20"/>
              </w:rPr>
            </w:pPr>
            <w:r>
              <w:rPr>
                <w:sz w:val="20"/>
              </w:rPr>
              <w:t>4.8</w:t>
            </w:r>
          </w:p>
        </w:tc>
        <w:tc>
          <w:tcPr>
            <w:tcW w:w="1196" w:type="dxa"/>
            <w:tcBorders>
              <w:top w:val="nil"/>
              <w:bottom w:val="nil"/>
            </w:tcBorders>
          </w:tcPr>
          <w:p w:rsidR="00000000" w:rsidRDefault="00000000">
            <w:pPr>
              <w:jc w:val="center"/>
              <w:rPr>
                <w:sz w:val="20"/>
              </w:rPr>
            </w:pPr>
            <w:r>
              <w:rPr>
                <w:sz w:val="20"/>
              </w:rPr>
              <w:t>6.2</w:t>
            </w:r>
          </w:p>
        </w:tc>
        <w:tc>
          <w:tcPr>
            <w:tcW w:w="1196" w:type="dxa"/>
            <w:tcBorders>
              <w:top w:val="nil"/>
              <w:bottom w:val="nil"/>
            </w:tcBorders>
          </w:tcPr>
          <w:p w:rsidR="00000000" w:rsidRDefault="00000000">
            <w:pPr>
              <w:jc w:val="center"/>
              <w:rPr>
                <w:sz w:val="20"/>
              </w:rPr>
            </w:pPr>
            <w:r>
              <w:rPr>
                <w:sz w:val="20"/>
              </w:rPr>
              <w:t>7.7</w:t>
            </w:r>
          </w:p>
        </w:tc>
        <w:tc>
          <w:tcPr>
            <w:tcW w:w="1197" w:type="dxa"/>
            <w:tcBorders>
              <w:top w:val="nil"/>
              <w:bottom w:val="nil"/>
            </w:tcBorders>
          </w:tcPr>
          <w:p w:rsidR="00000000" w:rsidRDefault="00000000">
            <w:pPr>
              <w:jc w:val="center"/>
              <w:rPr>
                <w:sz w:val="20"/>
              </w:rPr>
            </w:pPr>
            <w:r>
              <w:rPr>
                <w:sz w:val="20"/>
              </w:rPr>
              <w:t>10.1</w:t>
            </w:r>
          </w:p>
        </w:tc>
        <w:tc>
          <w:tcPr>
            <w:tcW w:w="1197" w:type="dxa"/>
            <w:tcBorders>
              <w:top w:val="nil"/>
              <w:bottom w:val="nil"/>
            </w:tcBorders>
          </w:tcPr>
          <w:p w:rsidR="00000000" w:rsidRDefault="00000000">
            <w:pPr>
              <w:jc w:val="center"/>
              <w:rPr>
                <w:sz w:val="20"/>
              </w:rPr>
            </w:pPr>
            <w:r>
              <w:rPr>
                <w:sz w:val="20"/>
              </w:rPr>
              <w:t>14.0</w:t>
            </w:r>
          </w:p>
        </w:tc>
        <w:tc>
          <w:tcPr>
            <w:tcW w:w="1089" w:type="dxa"/>
            <w:tcBorders>
              <w:top w:val="nil"/>
              <w:bottom w:val="nil"/>
            </w:tcBorders>
          </w:tcPr>
          <w:p w:rsidR="00000000" w:rsidRDefault="00000000">
            <w:pPr>
              <w:jc w:val="center"/>
              <w:rPr>
                <w:sz w:val="20"/>
              </w:rPr>
            </w:pPr>
            <w:r>
              <w:rPr>
                <w:sz w:val="20"/>
              </w:rPr>
              <w:t>29.9</w:t>
            </w:r>
          </w:p>
        </w:tc>
      </w:tr>
      <w:tr w:rsidR="00000000">
        <w:tblPrEx>
          <w:tblCellMar>
            <w:top w:w="0" w:type="dxa"/>
            <w:bottom w:w="0" w:type="dxa"/>
          </w:tblCellMar>
        </w:tblPrEx>
        <w:tc>
          <w:tcPr>
            <w:tcW w:w="709" w:type="dxa"/>
            <w:tcBorders>
              <w:top w:val="nil"/>
            </w:tcBorders>
          </w:tcPr>
          <w:p w:rsidR="00000000" w:rsidRDefault="00000000">
            <w:pPr>
              <w:rPr>
                <w:sz w:val="20"/>
              </w:rPr>
            </w:pPr>
            <w:r>
              <w:rPr>
                <w:sz w:val="20"/>
              </w:rPr>
              <w:t>1999</w:t>
            </w:r>
          </w:p>
        </w:tc>
        <w:tc>
          <w:tcPr>
            <w:tcW w:w="1576" w:type="dxa"/>
            <w:tcBorders>
              <w:top w:val="nil"/>
            </w:tcBorders>
          </w:tcPr>
          <w:p w:rsidR="00000000" w:rsidRDefault="00000000">
            <w:pPr>
              <w:jc w:val="center"/>
              <w:rPr>
                <w:sz w:val="20"/>
              </w:rPr>
            </w:pPr>
            <w:r>
              <w:rPr>
                <w:sz w:val="20"/>
              </w:rPr>
              <w:t>13.3</w:t>
            </w:r>
          </w:p>
        </w:tc>
        <w:tc>
          <w:tcPr>
            <w:tcW w:w="1196" w:type="dxa"/>
            <w:tcBorders>
              <w:top w:val="nil"/>
            </w:tcBorders>
          </w:tcPr>
          <w:p w:rsidR="00000000" w:rsidRDefault="00000000">
            <w:pPr>
              <w:jc w:val="center"/>
              <w:rPr>
                <w:sz w:val="20"/>
              </w:rPr>
            </w:pPr>
            <w:r>
              <w:rPr>
                <w:sz w:val="20"/>
              </w:rPr>
              <w:t>4.0</w:t>
            </w:r>
          </w:p>
        </w:tc>
        <w:tc>
          <w:tcPr>
            <w:tcW w:w="1196" w:type="dxa"/>
            <w:tcBorders>
              <w:top w:val="nil"/>
            </w:tcBorders>
          </w:tcPr>
          <w:p w:rsidR="00000000" w:rsidRDefault="00000000">
            <w:pPr>
              <w:jc w:val="center"/>
              <w:rPr>
                <w:sz w:val="20"/>
              </w:rPr>
            </w:pPr>
            <w:r>
              <w:rPr>
                <w:sz w:val="20"/>
              </w:rPr>
              <w:t>5.9</w:t>
            </w:r>
          </w:p>
        </w:tc>
        <w:tc>
          <w:tcPr>
            <w:tcW w:w="1196" w:type="dxa"/>
            <w:tcBorders>
              <w:top w:val="nil"/>
            </w:tcBorders>
          </w:tcPr>
          <w:p w:rsidR="00000000" w:rsidRDefault="00000000">
            <w:pPr>
              <w:jc w:val="center"/>
              <w:rPr>
                <w:sz w:val="20"/>
              </w:rPr>
            </w:pPr>
            <w:r>
              <w:rPr>
                <w:sz w:val="20"/>
              </w:rPr>
              <w:t>7.2</w:t>
            </w:r>
          </w:p>
        </w:tc>
        <w:tc>
          <w:tcPr>
            <w:tcW w:w="1197" w:type="dxa"/>
            <w:tcBorders>
              <w:top w:val="nil"/>
            </w:tcBorders>
          </w:tcPr>
          <w:p w:rsidR="00000000" w:rsidRDefault="00000000">
            <w:pPr>
              <w:jc w:val="center"/>
              <w:rPr>
                <w:sz w:val="20"/>
              </w:rPr>
            </w:pPr>
            <w:r>
              <w:rPr>
                <w:sz w:val="20"/>
              </w:rPr>
              <w:t>9.6</w:t>
            </w:r>
          </w:p>
        </w:tc>
        <w:tc>
          <w:tcPr>
            <w:tcW w:w="1197" w:type="dxa"/>
            <w:tcBorders>
              <w:top w:val="nil"/>
            </w:tcBorders>
          </w:tcPr>
          <w:p w:rsidR="00000000" w:rsidRDefault="00000000">
            <w:pPr>
              <w:jc w:val="center"/>
              <w:rPr>
                <w:sz w:val="20"/>
              </w:rPr>
            </w:pPr>
            <w:r>
              <w:rPr>
                <w:sz w:val="20"/>
              </w:rPr>
              <w:t>13.0</w:t>
            </w:r>
          </w:p>
        </w:tc>
        <w:tc>
          <w:tcPr>
            <w:tcW w:w="1089" w:type="dxa"/>
            <w:tcBorders>
              <w:top w:val="nil"/>
            </w:tcBorders>
          </w:tcPr>
          <w:p w:rsidR="00000000" w:rsidRDefault="00000000">
            <w:pPr>
              <w:jc w:val="center"/>
              <w:rPr>
                <w:sz w:val="20"/>
              </w:rPr>
            </w:pPr>
            <w:r>
              <w:rPr>
                <w:sz w:val="20"/>
              </w:rPr>
              <w:t>29.6</w:t>
            </w:r>
          </w:p>
        </w:tc>
      </w:tr>
    </w:tbl>
    <w:p w:rsidR="00000000" w:rsidRDefault="00000000">
      <w:pPr>
        <w:rPr>
          <w:sz w:val="20"/>
        </w:rPr>
      </w:pPr>
    </w:p>
    <w:p w:rsidR="00000000" w:rsidRDefault="00000000">
      <w:r>
        <w:tab/>
      </w:r>
      <w:r>
        <w:rPr>
          <w:u w:val="single"/>
        </w:rPr>
        <w:t>Source</w:t>
      </w:r>
      <w:r>
        <w:t>:  National Household Sampling Survey (PNAD/IBGE) 1996, 1998 and 1999.</w:t>
      </w:r>
    </w:p>
    <w:p w:rsidR="00000000" w:rsidRDefault="00000000"/>
    <w:p w:rsidR="00000000" w:rsidRDefault="00000000">
      <w:r>
        <w:tab/>
        <w:t>*  Excluding the rural populations of Rondônia, Acre, Amazonas, Roraima,  Pará and Amapá States in 1995, 1996, 1998 and 1999.</w:t>
      </w:r>
    </w:p>
    <w:p w:rsidR="00000000" w:rsidRDefault="00000000">
      <w:pPr>
        <w:rPr>
          <w:sz w:val="20"/>
        </w:rPr>
      </w:pPr>
    </w:p>
    <w:p w:rsidR="00000000" w:rsidRDefault="00000000">
      <w:pPr>
        <w:pStyle w:val="ParaNo"/>
        <w:tabs>
          <w:tab w:val="clear" w:pos="360"/>
          <w:tab w:val="clear" w:pos="737"/>
        </w:tabs>
        <w:ind w:left="0" w:firstLine="0"/>
        <w:rPr>
          <w:lang w:val="en-GB"/>
        </w:rPr>
      </w:pPr>
      <w:r>
        <w:rPr>
          <w:lang w:val="en-GB"/>
        </w:rPr>
        <w:t>However, it should be noted that the illiteracy rates have dropped in all age groups, although to a lesser extent among more senior citizens.</w:t>
      </w:r>
      <w:r>
        <w:rPr>
          <w:rStyle w:val="EndnoteReference"/>
          <w:lang w:val="en-GB"/>
        </w:rPr>
        <w:endnoteReference w:id="23"/>
      </w:r>
      <w:r>
        <w:rPr>
          <w:lang w:val="en-GB"/>
        </w:rPr>
        <w:t xml:space="preserve">  This means that by deploying sharply focused government policies, Brazil will be able to eradicate illiteracy over the next 10 years, as this is the sector of the population that is the most difficult to work with, owing to its social and economic characteristics.  These efforts are already under way through educational programmes for young people and adults, including the </w:t>
      </w:r>
      <w:r>
        <w:rPr>
          <w:u w:val="single"/>
          <w:lang w:val="en-GB"/>
        </w:rPr>
        <w:t>Alfabetização Solidária</w:t>
      </w:r>
      <w:r>
        <w:rPr>
          <w:lang w:val="en-GB"/>
        </w:rPr>
        <w:t xml:space="preserve"> community literacy programme, as well as other initiatives run by state and municipal governments, business associations, and religious and non-governmental organizations.</w:t>
      </w:r>
    </w:p>
    <w:p w:rsidR="00000000" w:rsidRDefault="00000000"/>
    <w:p w:rsidR="00000000" w:rsidRDefault="00000000">
      <w:pPr>
        <w:pStyle w:val="ParaNo"/>
        <w:tabs>
          <w:tab w:val="clear" w:pos="360"/>
          <w:tab w:val="clear" w:pos="737"/>
        </w:tabs>
        <w:ind w:left="0" w:firstLine="0"/>
        <w:rPr>
          <w:lang w:val="en-GB"/>
        </w:rPr>
      </w:pPr>
      <w:r>
        <w:rPr>
          <w:lang w:val="en-GB"/>
        </w:rPr>
        <w:t>In addition to becoming a generational characteristic to an increasing extent, illiteracy in Brazil is also very regional, reflecting and reproducing interregional social and economic inequalities still found in Brazil.  On the other hand, gender equality has already been achieved.  The data displayed by the 1998 National Household Sampling Survey (PNAD) showed that the gender gap noted up to 1996 no longer exists.  The shift in this situation reflects the speed with which illiteracy has dropped among younger women.</w:t>
      </w:r>
    </w:p>
    <w:p w:rsidR="00000000" w:rsidRDefault="00000000"/>
    <w:p w:rsidR="00000000" w:rsidRDefault="00000000">
      <w:pPr>
        <w:pStyle w:val="ParaNo"/>
        <w:tabs>
          <w:tab w:val="clear" w:pos="360"/>
          <w:tab w:val="clear" w:pos="737"/>
        </w:tabs>
        <w:ind w:left="0" w:firstLine="0"/>
        <w:rPr>
          <w:lang w:val="en-GB"/>
        </w:rPr>
      </w:pPr>
      <w:r>
        <w:rPr>
          <w:lang w:val="en-GB"/>
        </w:rPr>
        <w:t>The educational ascent of women becomes even clearer when comparing the schooling levels of the population by gender.  Up until the late 1980s, a long-established standard prevailed whereby men held the advantage in terms of the average number of years in the classroom.  This position was reversed during the 1990s, when women upgraded their educational profile more rapidly.  From 1990 to 1996, the average years of study rose from 5.1 to 5.7 for men and 4.9 to 6.0 for women, indicating that women have gained over a year while men have progressed only a half year.  In 1990 the average schooling for both men and women reached 13.3 years.</w:t>
      </w:r>
    </w:p>
    <w:p w:rsidR="00000000" w:rsidRDefault="00000000"/>
    <w:p w:rsidR="00000000" w:rsidRDefault="00000000">
      <w:pPr>
        <w:pStyle w:val="ParaNo"/>
        <w:tabs>
          <w:tab w:val="clear" w:pos="360"/>
          <w:tab w:val="clear" w:pos="737"/>
        </w:tabs>
        <w:ind w:left="0" w:firstLine="0"/>
        <w:rPr>
          <w:lang w:val="en-GB"/>
        </w:rPr>
      </w:pPr>
      <w:r>
        <w:rPr>
          <w:lang w:val="en-GB"/>
        </w:rPr>
        <w:br w:type="page"/>
        <w:t xml:space="preserve">Overall, it can be stated that the educational profile of the Brazilian population has improved appreciably during the 1990s.  From 1992 to 1996, there was a substantial increase in the proportion of people with more years of schooling in the population aged 10 years or more.  </w:t>
      </w:r>
    </w:p>
    <w:p w:rsidR="00000000" w:rsidRDefault="00000000">
      <w:r>
        <w:t>The proportion of people with at least 8 years of study rose from 25.6 per cent to 30 per cent during this period.  Additionally, the proportion of the population with 11 years or more of study rose from 14.4 per cent to 16.5 per cent.  In counterpart, the percentage of the population with no education at all or with less than one year in the classroom fell from 23.1 per cent in 1981 to 13.6 per cent in 1996.  This reflects a gradual increase in the relative share held by groups with higher educational levels, auguring a more auspicious scenario for the forthcoming decade.</w:t>
      </w:r>
    </w:p>
    <w:p w:rsidR="00000000" w:rsidRDefault="00000000"/>
    <w:p w:rsidR="00000000" w:rsidRDefault="00000000">
      <w:pPr>
        <w:pStyle w:val="ParaNo"/>
        <w:tabs>
          <w:tab w:val="clear" w:pos="360"/>
          <w:tab w:val="clear" w:pos="737"/>
        </w:tabs>
        <w:ind w:left="0" w:firstLine="0"/>
        <w:rPr>
          <w:lang w:val="en-GB"/>
        </w:rPr>
      </w:pPr>
      <w:r>
        <w:rPr>
          <w:lang w:val="en-GB"/>
        </w:rPr>
        <w:t>The Brazilian Constitution stipulates the mandatory schooling level as being basic education, consisting of eight years of study, targeting children aged 7-14 years.  At the moment, government education at all three administrative spheres (municipal, state and federal) accounts for almost 91 per cent of all students registered in the Basic Education scheme, compared to 87 per cent in 1987; the net schooling level of the population aged 7-14 years reached 95.4 per cent in 1999.</w:t>
      </w:r>
    </w:p>
    <w:p w:rsidR="00000000" w:rsidRDefault="00000000"/>
    <w:p w:rsidR="00000000" w:rsidRDefault="00000000">
      <w:pPr>
        <w:pStyle w:val="ParaNo"/>
        <w:tabs>
          <w:tab w:val="clear" w:pos="360"/>
          <w:tab w:val="clear" w:pos="737"/>
        </w:tabs>
        <w:ind w:left="0" w:firstLine="0"/>
        <w:rPr>
          <w:lang w:val="en-GB"/>
        </w:rPr>
      </w:pPr>
      <w:r>
        <w:rPr>
          <w:lang w:val="en-GB"/>
        </w:rPr>
        <w:t xml:space="preserve">From 1983 onwards, minimum funding allocations were assigned by government authorities to education by law: 13 per cent by the Federal Government and 25 per cent by the states and municipal districts.  With Brazil’s 1988 Constitution, the percentage of government funding to be assigned to this area increased to 18 per cent at the federal level and 25 per cent at the state and municipal district level.  More recently, the Teaching Development and Enhancement Maintenance Fund (FUNDEF - </w:t>
      </w:r>
      <w:r>
        <w:rPr>
          <w:u w:val="single"/>
          <w:lang w:val="en-GB"/>
        </w:rPr>
        <w:t>Fundo de Manutenção e Desenvolvimento do Ensino e Valorização do Magistério</w:t>
      </w:r>
      <w:r>
        <w:rPr>
          <w:lang w:val="en-GB"/>
        </w:rPr>
        <w:t>) was introduced, with the immediate objective of ensuring a minimum expenditure per student and a special minimum wage for teachers.  The Fund reaffirmed the need for the states, Federal District and municipal districts to comply with the provisions of Brazil’s 1988 Constitution, which stipulates that 25 per cent of their tax revenues and other transferred income should be allocated to the maintenance and development of the educational system and that the states must allocate 60 per cent of this funding to basic education as from 1998, ensuring that 15 per cent of tax revenues are also allocated to this area.</w:t>
      </w:r>
    </w:p>
    <w:p w:rsidR="00000000" w:rsidRDefault="00000000"/>
    <w:p w:rsidR="00000000" w:rsidRDefault="00000000">
      <w:pPr>
        <w:pStyle w:val="ParaNo"/>
        <w:tabs>
          <w:tab w:val="clear" w:pos="360"/>
          <w:tab w:val="clear" w:pos="737"/>
        </w:tabs>
        <w:ind w:left="0" w:firstLine="0"/>
        <w:rPr>
          <w:lang w:val="en-GB"/>
        </w:rPr>
      </w:pPr>
      <w:r>
        <w:rPr>
          <w:lang w:val="en-GB"/>
        </w:rPr>
        <w:t>This new legal provision stated that the responsibility for providing the necessary funding required to establish FUNDEF falls within the sphere of competence of the states, the Federal District and the municipal districts.  However, owing to their widely varying social and economic levels, which results in low annual outlays per student, particularly in north-east and north Brazil, the Federal Government, under Decree 14/96, assumes responsibility for supplementing the amounts allocated to FUNDEF whenever the allocation per student falls below a nationally defined minimum level.</w:t>
      </w:r>
    </w:p>
    <w:p w:rsidR="00000000" w:rsidRDefault="00000000"/>
    <w:p w:rsidR="00000000" w:rsidRDefault="00000000">
      <w:pPr>
        <w:pStyle w:val="ParaNo"/>
        <w:tabs>
          <w:tab w:val="clear" w:pos="360"/>
          <w:tab w:val="clear" w:pos="737"/>
        </w:tabs>
        <w:ind w:left="0" w:firstLine="0"/>
        <w:rPr>
          <w:lang w:val="en-GB"/>
        </w:rPr>
      </w:pPr>
      <w:r>
        <w:rPr>
          <w:lang w:val="en-GB"/>
        </w:rPr>
        <w:t xml:space="preserve">Secondary education in Brazil is subdivided into high school for youngsters aged 15 to 17 years and vocational training, which may be attended in parallel to high school or after graduation and is offered at the basic, technical and technological levels.  The Brazilian Government makes it clear that not all vocational training is given at the high school level.  </w:t>
      </w:r>
    </w:p>
    <w:p w:rsidR="00000000" w:rsidRDefault="00000000">
      <w:r>
        <w:br w:type="page"/>
        <w:t>Basic courses are a type of informal education, open to anyone, regardless of schooling levels of varying durations, these courses are designed to qualify, requalify and retrain workers; their curricula are not regulated.  The technical courses are based on specific curricular structures, intended to train students who are still in high school or who have already graduated.  Technological training courses are given at the university level.  According to the Brazilian Constitution, high school education, open to everyone who completes basic education is the responsibility of the states and the Federal District.  From 1990 to 1999, student enrolment in high school rose from 3.5 million to 7.8 million, doubling in just eight years.  Over the past four years, the average growth rate has hovered around 10 per cent.  However, even with this increase, less than 30 per cent of the population aged 15-17 years is currently registered at this educational level.  Nevertheless, it is stressed that the gross schooling rate in this age group reached 74.8 per cent in 1999.  This highlights the main problem in Brazil’s Basic Education System:  repeat years that skew the age x grade ratio.  The number of students completing their basic education more than doubled during this decade, rising from 658,000 in 1990 to 1.5 million in 1998.</w:t>
      </w:r>
    </w:p>
    <w:p w:rsidR="00000000" w:rsidRDefault="00000000"/>
    <w:p w:rsidR="00000000" w:rsidRDefault="00000000">
      <w:pPr>
        <w:pStyle w:val="ParaNo"/>
        <w:tabs>
          <w:tab w:val="clear" w:pos="360"/>
          <w:tab w:val="clear" w:pos="737"/>
        </w:tabs>
        <w:ind w:left="0" w:firstLine="0"/>
        <w:rPr>
          <w:lang w:val="en-GB"/>
        </w:rPr>
      </w:pPr>
      <w:r>
        <w:rPr>
          <w:lang w:val="en-GB"/>
        </w:rPr>
        <w:t>The expansion of high school education noted during the 1990s was absorbed by the state educational network, which today accounts for 79 per cent of student registrations at this level.  The number of students in private schools dropped from 46.5 per cent in 1980 to 15.8 per cent in 1999.  These data show that this level of education is mainly Government-run.  In order to underpin the expansion of high school education which has been taking place owing to expanded access to basic education and the federal and state upgrade programmes streamlining the schooling flow, as well as the demand for schooling affecting the economically active population (EAP) through the labour market, the Federal Government is negotiating a US$ 1 billion loan from the Inter-American Development Bank (IDB).  This line of credit is designed to upgrade the current conditions of Brazil’s educational system and expand the supply of places at this educational level in all the states as well as the Federal District, using both conventional and more diversified techniques.  In order to comply with Brazilian educational law by expanding rotational training facilities in the federal, state and community networks, in 1997 the Federal Government drew up the Vocational Training Upgrade and Expansion Programme (PROEP </w:t>
      </w:r>
      <w:r>
        <w:rPr>
          <w:lang w:val="en-GB"/>
        </w:rPr>
        <w:noBreakHyphen/>
      </w:r>
      <w:r>
        <w:rPr>
          <w:u w:val="single"/>
          <w:lang w:val="en-GB"/>
        </w:rPr>
        <w:t> Programa de Expansão e Melhoria da Educação Profissional</w:t>
      </w:r>
      <w:r>
        <w:rPr>
          <w:lang w:val="en-GB"/>
        </w:rPr>
        <w:t>) at a total cost of US$ 500 million of which US$ 250 million would come from a loan from the IDB and the remainder from domestic counterpart funding.</w:t>
      </w:r>
    </w:p>
    <w:p w:rsidR="00000000" w:rsidRDefault="00000000"/>
    <w:p w:rsidR="00000000" w:rsidRDefault="00000000">
      <w:pPr>
        <w:pStyle w:val="ParaNo"/>
        <w:tabs>
          <w:tab w:val="clear" w:pos="360"/>
          <w:tab w:val="clear" w:pos="737"/>
        </w:tabs>
        <w:ind w:left="0" w:firstLine="0"/>
        <w:rPr>
          <w:lang w:val="en-GB"/>
        </w:rPr>
      </w:pPr>
      <w:r>
        <w:rPr>
          <w:lang w:val="en-GB"/>
        </w:rPr>
        <w:t>The restructuring of Brazil’s vocational training system is being implemented by the Minister of Education jointly with the State Education Bureaux, targeting the objectives of training and qualifying young people and workers for a changing economy that is rapidly modernizing, while also shaping citizens with creative capacities who can deal with the changes demanded by society.  According to the Vocational Training Census, 2.8 million students are registered nationwide in courses targeting the labour market.  This census also reveals that there are 33,000 vocational training courses in Brazil, with most of them (83.5 per cent) at the basic level.  There are 5,000 technical courses throughout Brazil, and 433 technological courses.  Of the three levels of educational training, basic courses draw the largest number of registrations, with 71.5 per cent of the total.  The technical and technological levels have 717,000 and 97,000 students, respectively.</w:t>
      </w:r>
    </w:p>
    <w:p w:rsidR="00000000" w:rsidRDefault="00000000"/>
    <w:p w:rsidR="00000000" w:rsidRDefault="00000000">
      <w:pPr>
        <w:pStyle w:val="ParaNo"/>
        <w:tabs>
          <w:tab w:val="clear" w:pos="360"/>
          <w:tab w:val="clear" w:pos="737"/>
        </w:tabs>
        <w:ind w:left="0" w:firstLine="0"/>
        <w:rPr>
          <w:lang w:val="en-GB"/>
        </w:rPr>
      </w:pPr>
      <w:r>
        <w:rPr>
          <w:lang w:val="en-GB"/>
        </w:rPr>
        <w:t>University education in Brazil still serves only a small proportion of the age group able to handle this level of education.  While the population aged 18-24 years reached some 21,580,000 in 1998,</w:t>
      </w:r>
      <w:r>
        <w:rPr>
          <w:rStyle w:val="EndnoteReference"/>
          <w:lang w:val="en-GB"/>
        </w:rPr>
        <w:endnoteReference w:id="24"/>
      </w:r>
      <w:r>
        <w:rPr>
          <w:lang w:val="en-GB"/>
        </w:rPr>
        <w:t xml:space="preserve"> initial registrations at universities</w:t>
      </w:r>
      <w:r>
        <w:rPr>
          <w:rStyle w:val="EndnoteReference"/>
          <w:lang w:val="en-GB"/>
        </w:rPr>
        <w:endnoteReference w:id="25"/>
      </w:r>
      <w:r>
        <w:rPr>
          <w:lang w:val="en-GB"/>
        </w:rPr>
        <w:t xml:space="preserve"> fell just below 2.1 million students.  Consequently, current university-level vocational training accounts for no more than 10 per cent of the population that should in theory have access to this type of education.  On the other hand, the number of places available for university courses has expanded considerably, up 55.8 per cent from 1994 through 1999.  However, the number of places has increased more in the private system than in Government-run institutions.  In 1994, private education accounted for 58.5 per cent of total registrations, and by 1999 this had risen to 64.9 per cent.  Although the Government’s share of total registrations has been dropping in absolute terms, it rose by some 23.2 per cent from 1994 to 1999; however, this is still well below the expansion rate of private facilities which was about 70.4 per cent over the same period.  This phenomenon is not necessarily negative, and is directly related to the diversification and added flexibility of university education in responding to the increasingly broad spread in the demand.</w:t>
      </w:r>
    </w:p>
    <w:p w:rsidR="00000000" w:rsidRDefault="00000000"/>
    <w:p w:rsidR="00000000" w:rsidRDefault="00000000">
      <w:pPr>
        <w:pStyle w:val="ParaNo"/>
        <w:tabs>
          <w:tab w:val="clear" w:pos="360"/>
          <w:tab w:val="clear" w:pos="737"/>
        </w:tabs>
        <w:ind w:left="0" w:firstLine="0"/>
        <w:rPr>
          <w:lang w:val="en-GB"/>
        </w:rPr>
      </w:pPr>
      <w:r>
        <w:rPr>
          <w:lang w:val="en-GB"/>
        </w:rPr>
        <w:t xml:space="preserve">Additionally, it should be stressed that the Ministry of Education introduced its Student Funding Programme (FIES - </w:t>
      </w:r>
      <w:r>
        <w:rPr>
          <w:u w:val="single"/>
          <w:lang w:val="en-GB"/>
        </w:rPr>
        <w:t>Programa de Financiamento Estudantil</w:t>
      </w:r>
      <w:r>
        <w:rPr>
          <w:lang w:val="en-GB"/>
        </w:rPr>
        <w:t>) in 1999, which provided loans to over 80,000 students in its first half year of operation, providing funds of over Cr$ 150 million.  This fund offers temporary financing to students, to defray the fees charged by higher education institutions that are not free of charge.</w:t>
      </w:r>
    </w:p>
    <w:p w:rsidR="00000000" w:rsidRDefault="00000000"/>
    <w:p w:rsidR="00000000" w:rsidRDefault="00000000">
      <w:pPr>
        <w:pStyle w:val="ParaNo"/>
        <w:tabs>
          <w:tab w:val="clear" w:pos="360"/>
          <w:tab w:val="clear" w:pos="737"/>
        </w:tabs>
        <w:ind w:left="0" w:firstLine="0"/>
        <w:rPr>
          <w:lang w:val="en-GB"/>
        </w:rPr>
      </w:pPr>
      <w:r>
        <w:rPr>
          <w:lang w:val="en-GB"/>
        </w:rPr>
        <w:t>Young people or adults who failed to complete their regular schooling at the appropriate age have the possibility of continuing to study through no-charge catch-up courses and examinations.  For several years, the Ministry of Education has been supporting with technical and financial backing governmental and non-governmental projects designed to eliminate illiteracy and extend mandatory schooling facilities to young people and adults.  From 1995 to 1998, the funds transferred by the Federal Government to underwrite the education of young people and adults tripled, reaching Cr$ 35.8 million in 1998.  That same year, catch-up courses serviced 2.9 million students enrolled.</w:t>
      </w:r>
    </w:p>
    <w:p w:rsidR="00000000" w:rsidRDefault="00000000"/>
    <w:p w:rsidR="00000000" w:rsidRDefault="00000000">
      <w:pPr>
        <w:pStyle w:val="ParaNo"/>
        <w:tabs>
          <w:tab w:val="clear" w:pos="360"/>
          <w:tab w:val="clear" w:pos="737"/>
        </w:tabs>
        <w:ind w:left="0" w:firstLine="0"/>
        <w:rPr>
          <w:lang w:val="en-GB"/>
        </w:rPr>
      </w:pPr>
      <w:r>
        <w:rPr>
          <w:lang w:val="en-GB"/>
        </w:rPr>
        <w:t>Educational opportunities designed to provide education for young people and adults follow the characteristics, needs and interests of the students and ensuring that adequate conditions for workers to enter and remain in school.</w:t>
      </w:r>
    </w:p>
    <w:p w:rsidR="00000000" w:rsidRDefault="00000000"/>
    <w:p w:rsidR="00000000" w:rsidRDefault="00000000">
      <w:pPr>
        <w:pStyle w:val="ParaNo"/>
        <w:tabs>
          <w:tab w:val="clear" w:pos="360"/>
          <w:tab w:val="clear" w:pos="737"/>
        </w:tabs>
        <w:ind w:left="0" w:firstLine="0"/>
        <w:rPr>
          <w:lang w:val="en-GB"/>
        </w:rPr>
      </w:pPr>
      <w:r>
        <w:rPr>
          <w:lang w:val="en-GB"/>
        </w:rPr>
        <w:t xml:space="preserve">The new Education Bases and Guidelines Act (LDB - </w:t>
      </w:r>
      <w:r>
        <w:rPr>
          <w:u w:val="single"/>
          <w:lang w:val="en-GB"/>
        </w:rPr>
        <w:t>Lei de Diretrizes e Bases da Educação</w:t>
      </w:r>
      <w:r>
        <w:rPr>
          <w:lang w:val="en-GB"/>
        </w:rPr>
        <w:t>) regulated the entry of young people in catch-up courses, stipulating a minimum age of 15 years for equivalency examinations at the basic education level and 18 years for high school equivalency diplomas.</w:t>
      </w:r>
    </w:p>
    <w:p w:rsidR="00000000" w:rsidRDefault="00000000"/>
    <w:p w:rsidR="00000000" w:rsidRDefault="00000000">
      <w:pPr>
        <w:pStyle w:val="ParaNo"/>
        <w:tabs>
          <w:tab w:val="clear" w:pos="360"/>
          <w:tab w:val="clear" w:pos="737"/>
        </w:tabs>
        <w:ind w:left="0" w:firstLine="0"/>
        <w:rPr>
          <w:lang w:val="en-GB"/>
        </w:rPr>
      </w:pPr>
      <w:r>
        <w:rPr>
          <w:lang w:val="en-GB"/>
        </w:rPr>
        <w:t>The Brazilian Government feels it is appropriate to advise the Committee on Economic, Social and Cultural Rights of the social and educational activities that it has been encouraging.</w:t>
      </w:r>
    </w:p>
    <w:p w:rsidR="00000000" w:rsidRDefault="00000000"/>
    <w:p w:rsidR="00000000" w:rsidRDefault="00000000">
      <w:pPr>
        <w:pStyle w:val="ParaNo"/>
        <w:tabs>
          <w:tab w:val="clear" w:pos="360"/>
          <w:tab w:val="clear" w:pos="737"/>
        </w:tabs>
        <w:ind w:left="0" w:firstLine="0"/>
        <w:rPr>
          <w:lang w:val="en-GB"/>
        </w:rPr>
      </w:pPr>
      <w:r>
        <w:rPr>
          <w:lang w:val="en-GB"/>
        </w:rPr>
        <w:br w:type="page"/>
        <w:t>In addition to causes related to intra-school variables, which are being dealt with through countless government programmes,</w:t>
      </w:r>
      <w:r>
        <w:rPr>
          <w:rStyle w:val="EndnoteReference"/>
          <w:lang w:val="en-GB"/>
        </w:rPr>
        <w:endnoteReference w:id="26"/>
      </w:r>
      <w:r>
        <w:rPr>
          <w:lang w:val="en-GB"/>
        </w:rPr>
        <w:t xml:space="preserve"> it is quite possible that social and economic variables are a key factor among those which may well have adverse effects on students’ performance and staying on in school.  In view of this understanding, some subnational governments have introduced programmes that transfer funds to poor families, conditional on their children being registered and staying in school.  Furthermore, a federal law was sanctioned in December 1997 </w:t>
      </w:r>
    </w:p>
    <w:p w:rsidR="00000000" w:rsidRDefault="00000000">
      <w:r>
        <w:t>authorizing the Federal Government to “award financial support to municipal districts introducing minimum income guarantee programmes associated with social and educational actions”.  In 1999, the Minimum Income Guarantee Programme (</w:t>
      </w:r>
      <w:r>
        <w:rPr>
          <w:u w:val="single"/>
        </w:rPr>
        <w:t>Programa de Garantia de Renda Mínima</w:t>
      </w:r>
      <w:r>
        <w:t>) run by the Federal Government assisted over 500,000 families with a per capita income of under one half of a minimum wage, transferring some Cr$ 226.6 million in 1,005 municipal districts.</w:t>
      </w:r>
    </w:p>
    <w:p w:rsidR="00000000" w:rsidRDefault="00000000"/>
    <w:p w:rsidR="00000000" w:rsidRDefault="00000000">
      <w:pPr>
        <w:pStyle w:val="ParaNo"/>
        <w:tabs>
          <w:tab w:val="clear" w:pos="360"/>
          <w:tab w:val="clear" w:pos="737"/>
        </w:tabs>
        <w:ind w:left="0" w:firstLine="0"/>
        <w:rPr>
          <w:lang w:val="en-GB"/>
        </w:rPr>
      </w:pPr>
      <w:r>
        <w:rPr>
          <w:lang w:val="en-GB"/>
        </w:rPr>
        <w:t xml:space="preserve">Working closely with society, government efforts are producing positive results, as explained below. </w:t>
      </w:r>
    </w:p>
    <w:p w:rsidR="00000000" w:rsidRDefault="00000000"/>
    <w:p w:rsidR="00000000" w:rsidRDefault="00000000">
      <w:pPr>
        <w:pStyle w:val="ParaNo"/>
        <w:tabs>
          <w:tab w:val="clear" w:pos="360"/>
          <w:tab w:val="clear" w:pos="737"/>
        </w:tabs>
        <w:ind w:left="0" w:firstLine="0"/>
        <w:rPr>
          <w:lang w:val="en-GB"/>
        </w:rPr>
      </w:pPr>
      <w:r>
        <w:rPr>
          <w:lang w:val="en-GB"/>
        </w:rPr>
        <w:t>The illiteracy rate in Brazil for the population aged 15 years or more fell from 20.1 per cent in 1991 to 15.6 per cent in 1995, dropping to 13.3 per cent in 1999.  However, a methodological comment should be noted here, as the global statistical survey of Brazil is undertaken regularly at 10-year intervals (as mentioned in another part of this report) supplemented by periodical surveys undertaken through the National Household Sampling Survey (PNAD).  Consequently, it should be noted that the figures for 1991 mentioned above were taken from the Population Census, which covers the entire Brazilian population, while the figures for the two subsequent years were taken from the National Household Sampling Survey (PNAD) which does not include the rural zones of northern Brazil, in addition to working only on a sample basis.</w:t>
      </w:r>
    </w:p>
    <w:p w:rsidR="00000000" w:rsidRDefault="00000000"/>
    <w:p w:rsidR="00000000" w:rsidRDefault="00000000">
      <w:pPr>
        <w:pStyle w:val="ParaNo"/>
        <w:tabs>
          <w:tab w:val="clear" w:pos="360"/>
          <w:tab w:val="clear" w:pos="737"/>
        </w:tabs>
        <w:ind w:left="0" w:firstLine="0"/>
        <w:rPr>
          <w:lang w:val="en-GB"/>
        </w:rPr>
      </w:pPr>
      <w:r>
        <w:rPr>
          <w:lang w:val="en-GB"/>
        </w:rPr>
        <w:t>Taking the development of this indicator as a reference, over the past two years, using data taken from the same base, it is probable that the illiteracy rate for 1995, based on criteria similar to those used in 1991, may well be underestimated.  A significant increase in first-time student registrations in the Basic Education System was noted from 1994 to 1999, up from 31,220,000 to 36,060,000 by the end of the period, equivalent to an increase of about 14.6 per cent.</w:t>
      </w:r>
    </w:p>
    <w:p w:rsidR="00000000" w:rsidRDefault="00000000"/>
    <w:p w:rsidR="00000000" w:rsidRDefault="00000000">
      <w:pPr>
        <w:pStyle w:val="ParaNo"/>
        <w:tabs>
          <w:tab w:val="clear" w:pos="360"/>
          <w:tab w:val="clear" w:pos="737"/>
        </w:tabs>
        <w:ind w:left="0" w:firstLine="0"/>
        <w:rPr>
          <w:lang w:val="en-GB"/>
        </w:rPr>
      </w:pPr>
      <w:r>
        <w:rPr>
          <w:lang w:val="en-GB"/>
        </w:rPr>
        <w:t>Analysed separately, student registrations in the rural zone rose from 5,480,000 to 6,660,000 over the same period, up 21.6 per cent - a far higher rate than noted in urban areas.  Within the field of education for young people and adults, a certain stability was noted in the total first-time registrations:  2,750,000 in 1995, rising to 3,070,000 in 1999 (up 11.6 per cent).  The drop-out rates have fallen over the period.  According to the Ministry of Education, the drop-out rate at the basic education level fell from 13.6 per cent to 12.8 per cent from 1995 to 1997.  The drop-out rate at the high school level fell from 21.7 per cent to 16.0 per cent over the same period.</w:t>
      </w:r>
    </w:p>
    <w:p w:rsidR="00000000" w:rsidRDefault="00000000"/>
    <w:p w:rsidR="00000000" w:rsidRDefault="00000000">
      <w:pPr>
        <w:pStyle w:val="ParaNo"/>
        <w:tabs>
          <w:tab w:val="clear" w:pos="360"/>
          <w:tab w:val="clear" w:pos="737"/>
        </w:tabs>
        <w:ind w:left="0" w:firstLine="0"/>
        <w:rPr>
          <w:lang w:val="en-GB"/>
        </w:rPr>
      </w:pPr>
      <w:r>
        <w:rPr>
          <w:lang w:val="en-GB"/>
        </w:rPr>
        <w:br w:type="page"/>
        <w:t xml:space="preserve">In terms of the conclusion rates by educational level, the figures presented here were obtained through the same method of calculating the previous indicator.  From a methodological standpoint, it should be stressed that although these figures are accurate, this method is severely limited.  The expected completion rate for basic education and high school, as well as for basic education as a whole calculated by INEP, would be the best indicator.  From 1995 to 1997, the expected completion rate for basic education rose from 51.9 per cent to 65.8 per cent and for high school it increased from 71.4 per cent to 78.5 per cent; for basic education as a whole it rose from 32.5 per cent to 47.7 per cent.  It is not possible to calculate the expected completion rate for university-level education, as it is not graded, with automatic transfer after high school.  </w:t>
      </w:r>
    </w:p>
    <w:p w:rsidR="00000000" w:rsidRDefault="00000000">
      <w:r>
        <w:t>However, the ratio between graduates and initial registrations indicates some significant analytical constraints.  An alternative, although still far from ideal, would be to calculate the ratio between the graduates in a specific year and the initial registration figures four years previously.</w:t>
      </w:r>
    </w:p>
    <w:p w:rsidR="00000000" w:rsidRDefault="00000000"/>
    <w:p w:rsidR="00000000" w:rsidRDefault="00000000">
      <w:pPr>
        <w:pStyle w:val="ParaNo"/>
        <w:tabs>
          <w:tab w:val="clear" w:pos="360"/>
          <w:tab w:val="clear" w:pos="737"/>
        </w:tabs>
        <w:ind w:left="0" w:firstLine="0"/>
        <w:rPr>
          <w:lang w:val="en-GB"/>
        </w:rPr>
      </w:pPr>
      <w:r>
        <w:rPr>
          <w:lang w:val="en-GB"/>
        </w:rPr>
        <w:t>Government expenditures on education at all three spheres of government totalled Cr$ 27,190,000,000 in 1995.  This amount corresponds to 12.8 per cent of all direct non</w:t>
      </w:r>
      <w:r>
        <w:rPr>
          <w:lang w:val="en-GB"/>
        </w:rPr>
        <w:noBreakHyphen/>
        <w:t>financial expenditures of the three spheres of government, and 20.1 per cent of the outlays in the welfare sector.</w:t>
      </w:r>
      <w:r>
        <w:rPr>
          <w:rStyle w:val="EndnoteReference"/>
          <w:lang w:val="en-GB"/>
        </w:rPr>
        <w:endnoteReference w:id="27"/>
      </w:r>
      <w:r>
        <w:rPr>
          <w:lang w:val="en-GB"/>
        </w:rPr>
        <w:t xml:space="preserve">  The importance of this field is indicated in the table below, which lists education together with social security, civil service benefits and health care, the pillars of the social welfare system adopted by the Brazilian Government.</w:t>
      </w:r>
    </w:p>
    <w:p w:rsidR="00000000" w:rsidRDefault="00000000">
      <w:pPr>
        <w:pStyle w:val="Heading1"/>
        <w:tabs>
          <w:tab w:val="left" w:pos="1418"/>
          <w:tab w:val="left" w:pos="2552"/>
        </w:tabs>
      </w:pPr>
    </w:p>
    <w:p w:rsidR="00000000" w:rsidRDefault="00000000">
      <w:pPr>
        <w:pStyle w:val="Heading1"/>
        <w:tabs>
          <w:tab w:val="left" w:pos="1418"/>
          <w:tab w:val="left" w:pos="2552"/>
        </w:tabs>
      </w:pPr>
      <w:r>
        <w:t>Table 88</w:t>
      </w:r>
    </w:p>
    <w:p w:rsidR="00000000" w:rsidRDefault="00000000">
      <w:pPr>
        <w:pStyle w:val="Heading1"/>
        <w:tabs>
          <w:tab w:val="left" w:pos="1418"/>
          <w:tab w:val="left" w:pos="2552"/>
        </w:tabs>
      </w:pPr>
    </w:p>
    <w:p w:rsidR="00000000" w:rsidRDefault="00000000">
      <w:pPr>
        <w:pStyle w:val="Heading1"/>
        <w:tabs>
          <w:tab w:val="left" w:pos="1418"/>
          <w:tab w:val="left" w:pos="2552"/>
        </w:tabs>
      </w:pPr>
      <w:r>
        <w:t>Total direct outlays on social welfare and education by all</w:t>
      </w:r>
    </w:p>
    <w:p w:rsidR="00000000" w:rsidRDefault="00000000">
      <w:pPr>
        <w:pStyle w:val="Heading1"/>
        <w:tabs>
          <w:tab w:val="left" w:pos="1418"/>
          <w:tab w:val="left" w:pos="2552"/>
        </w:tabs>
      </w:pPr>
      <w:r>
        <w:t>three levels of government, 1995</w:t>
      </w:r>
    </w:p>
    <w:p w:rsidR="00000000" w:rsidRDefault="00000000">
      <w:pPr>
        <w:tabs>
          <w:tab w:val="left" w:pos="1418"/>
          <w:tab w:val="left" w:pos="2552"/>
        </w:tabs>
        <w:rPr>
          <w:b/>
          <w:bC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7"/>
        <w:gridCol w:w="1311"/>
        <w:gridCol w:w="1311"/>
        <w:gridCol w:w="1311"/>
        <w:gridCol w:w="1312"/>
      </w:tblGrid>
      <w:tr w:rsidR="00000000">
        <w:tblPrEx>
          <w:tblCellMar>
            <w:top w:w="0" w:type="dxa"/>
            <w:bottom w:w="0" w:type="dxa"/>
          </w:tblCellMar>
        </w:tblPrEx>
        <w:trPr>
          <w:cantSplit/>
        </w:trPr>
        <w:tc>
          <w:tcPr>
            <w:tcW w:w="9072" w:type="dxa"/>
            <w:gridSpan w:val="5"/>
            <w:tcBorders>
              <w:bottom w:val="single" w:sz="4" w:space="0" w:color="auto"/>
            </w:tcBorders>
          </w:tcPr>
          <w:p w:rsidR="00000000" w:rsidRDefault="00000000">
            <w:pPr>
              <w:jc w:val="center"/>
            </w:pPr>
            <w:r>
              <w:t>Cr$ million current</w:t>
            </w:r>
          </w:p>
        </w:tc>
      </w:tr>
      <w:tr w:rsidR="00000000">
        <w:tblPrEx>
          <w:tblCellMar>
            <w:top w:w="0" w:type="dxa"/>
            <w:bottom w:w="0" w:type="dxa"/>
          </w:tblCellMar>
        </w:tblPrEx>
        <w:tc>
          <w:tcPr>
            <w:tcW w:w="3827" w:type="dxa"/>
            <w:tcBorders>
              <w:bottom w:val="single" w:sz="4" w:space="0" w:color="auto"/>
            </w:tcBorders>
          </w:tcPr>
          <w:p w:rsidR="00000000" w:rsidRDefault="00000000">
            <w:pPr>
              <w:jc w:val="center"/>
            </w:pPr>
            <w:r>
              <w:t>Type of expenditure</w:t>
            </w:r>
          </w:p>
        </w:tc>
        <w:tc>
          <w:tcPr>
            <w:tcW w:w="1311" w:type="dxa"/>
            <w:tcBorders>
              <w:bottom w:val="single" w:sz="4" w:space="0" w:color="auto"/>
            </w:tcBorders>
          </w:tcPr>
          <w:p w:rsidR="00000000" w:rsidRDefault="00000000">
            <w:pPr>
              <w:jc w:val="center"/>
              <w:rPr>
                <w:vertAlign w:val="superscript"/>
              </w:rPr>
            </w:pPr>
            <w:r>
              <w:t>Federal</w:t>
            </w:r>
            <w:r>
              <w:rPr>
                <w:b/>
                <w:bCs/>
              </w:rPr>
              <w:t>*</w:t>
            </w:r>
          </w:p>
        </w:tc>
        <w:tc>
          <w:tcPr>
            <w:tcW w:w="1311" w:type="dxa"/>
            <w:tcBorders>
              <w:bottom w:val="single" w:sz="4" w:space="0" w:color="auto"/>
            </w:tcBorders>
          </w:tcPr>
          <w:p w:rsidR="00000000" w:rsidRDefault="00000000">
            <w:pPr>
              <w:jc w:val="center"/>
            </w:pPr>
            <w:r>
              <w:t>State</w:t>
            </w:r>
          </w:p>
        </w:tc>
        <w:tc>
          <w:tcPr>
            <w:tcW w:w="1311" w:type="dxa"/>
            <w:tcBorders>
              <w:bottom w:val="single" w:sz="4" w:space="0" w:color="auto"/>
            </w:tcBorders>
          </w:tcPr>
          <w:p w:rsidR="00000000" w:rsidRDefault="00000000">
            <w:pPr>
              <w:jc w:val="center"/>
            </w:pPr>
            <w:r>
              <w:t>Municipal</w:t>
            </w:r>
          </w:p>
        </w:tc>
        <w:tc>
          <w:tcPr>
            <w:tcW w:w="1312" w:type="dxa"/>
            <w:tcBorders>
              <w:bottom w:val="single" w:sz="4" w:space="0" w:color="auto"/>
            </w:tcBorders>
          </w:tcPr>
          <w:p w:rsidR="00000000" w:rsidRDefault="00000000">
            <w:pPr>
              <w:jc w:val="center"/>
            </w:pPr>
            <w:r>
              <w:t>Total</w:t>
            </w:r>
          </w:p>
        </w:tc>
      </w:tr>
      <w:tr w:rsidR="00000000">
        <w:tblPrEx>
          <w:tblCellMar>
            <w:top w:w="0" w:type="dxa"/>
            <w:bottom w:w="0" w:type="dxa"/>
          </w:tblCellMar>
        </w:tblPrEx>
        <w:tc>
          <w:tcPr>
            <w:tcW w:w="3827" w:type="dxa"/>
            <w:tcBorders>
              <w:top w:val="single" w:sz="4" w:space="0" w:color="auto"/>
              <w:bottom w:val="nil"/>
            </w:tcBorders>
          </w:tcPr>
          <w:p w:rsidR="00000000" w:rsidRDefault="00000000">
            <w:r>
              <w:t>Direct government outlays</w:t>
            </w:r>
          </w:p>
        </w:tc>
        <w:tc>
          <w:tcPr>
            <w:tcW w:w="1311" w:type="dxa"/>
            <w:tcBorders>
              <w:top w:val="single" w:sz="4" w:space="0" w:color="auto"/>
              <w:bottom w:val="nil"/>
            </w:tcBorders>
          </w:tcPr>
          <w:p w:rsidR="00000000" w:rsidRDefault="00000000">
            <w:pPr>
              <w:ind w:right="170"/>
              <w:jc w:val="right"/>
            </w:pPr>
            <w:r>
              <w:t>103 184</w:t>
            </w:r>
          </w:p>
        </w:tc>
        <w:tc>
          <w:tcPr>
            <w:tcW w:w="1311" w:type="dxa"/>
            <w:tcBorders>
              <w:top w:val="single" w:sz="4" w:space="0" w:color="auto"/>
              <w:bottom w:val="nil"/>
            </w:tcBorders>
          </w:tcPr>
          <w:p w:rsidR="00000000" w:rsidRDefault="00000000">
            <w:pPr>
              <w:ind w:right="170"/>
              <w:jc w:val="right"/>
            </w:pPr>
            <w:r>
              <w:t>68 199</w:t>
            </w:r>
          </w:p>
        </w:tc>
        <w:tc>
          <w:tcPr>
            <w:tcW w:w="1311" w:type="dxa"/>
            <w:tcBorders>
              <w:top w:val="single" w:sz="4" w:space="0" w:color="auto"/>
              <w:bottom w:val="nil"/>
            </w:tcBorders>
          </w:tcPr>
          <w:p w:rsidR="00000000" w:rsidRDefault="00000000">
            <w:pPr>
              <w:ind w:right="170"/>
              <w:jc w:val="right"/>
            </w:pPr>
            <w:r>
              <w:t>41 067</w:t>
            </w:r>
          </w:p>
        </w:tc>
        <w:tc>
          <w:tcPr>
            <w:tcW w:w="1312" w:type="dxa"/>
            <w:tcBorders>
              <w:top w:val="single" w:sz="4" w:space="0" w:color="auto"/>
              <w:bottom w:val="nil"/>
            </w:tcBorders>
          </w:tcPr>
          <w:p w:rsidR="00000000" w:rsidRDefault="00000000">
            <w:pPr>
              <w:ind w:right="170"/>
              <w:jc w:val="right"/>
            </w:pPr>
            <w:r>
              <w:t>212 450</w:t>
            </w:r>
          </w:p>
        </w:tc>
      </w:tr>
      <w:tr w:rsidR="00000000">
        <w:tblPrEx>
          <w:tblCellMar>
            <w:top w:w="0" w:type="dxa"/>
            <w:bottom w:w="0" w:type="dxa"/>
          </w:tblCellMar>
        </w:tblPrEx>
        <w:tc>
          <w:tcPr>
            <w:tcW w:w="3827" w:type="dxa"/>
            <w:tcBorders>
              <w:top w:val="nil"/>
              <w:bottom w:val="nil"/>
            </w:tcBorders>
          </w:tcPr>
          <w:p w:rsidR="00000000" w:rsidRDefault="00000000">
            <w:r>
              <w:t>Government outlays on welfare (origin of funding)</w:t>
            </w:r>
          </w:p>
        </w:tc>
        <w:tc>
          <w:tcPr>
            <w:tcW w:w="1311" w:type="dxa"/>
            <w:tcBorders>
              <w:top w:val="nil"/>
              <w:bottom w:val="nil"/>
            </w:tcBorders>
          </w:tcPr>
          <w:p w:rsidR="00000000" w:rsidRDefault="00000000">
            <w:pPr>
              <w:ind w:right="170"/>
              <w:jc w:val="right"/>
            </w:pPr>
            <w:r>
              <w:t>80 550</w:t>
            </w:r>
          </w:p>
        </w:tc>
        <w:tc>
          <w:tcPr>
            <w:tcW w:w="1311" w:type="dxa"/>
            <w:tcBorders>
              <w:top w:val="nil"/>
              <w:bottom w:val="nil"/>
            </w:tcBorders>
          </w:tcPr>
          <w:p w:rsidR="00000000" w:rsidRDefault="00000000">
            <w:pPr>
              <w:ind w:right="170"/>
              <w:jc w:val="right"/>
            </w:pPr>
            <w:r>
              <w:t>32 116</w:t>
            </w:r>
          </w:p>
        </w:tc>
        <w:tc>
          <w:tcPr>
            <w:tcW w:w="1311" w:type="dxa"/>
            <w:tcBorders>
              <w:top w:val="nil"/>
              <w:bottom w:val="nil"/>
            </w:tcBorders>
          </w:tcPr>
          <w:p w:rsidR="00000000" w:rsidRDefault="00000000">
            <w:pPr>
              <w:ind w:right="170"/>
              <w:jc w:val="right"/>
            </w:pPr>
            <w:r>
              <w:t>22 619</w:t>
            </w:r>
          </w:p>
        </w:tc>
        <w:tc>
          <w:tcPr>
            <w:tcW w:w="1312" w:type="dxa"/>
            <w:tcBorders>
              <w:top w:val="nil"/>
              <w:bottom w:val="nil"/>
            </w:tcBorders>
          </w:tcPr>
          <w:p w:rsidR="00000000" w:rsidRDefault="00000000">
            <w:pPr>
              <w:ind w:right="170"/>
              <w:jc w:val="right"/>
            </w:pPr>
            <w:r>
              <w:t>135 284</w:t>
            </w:r>
          </w:p>
        </w:tc>
      </w:tr>
      <w:tr w:rsidR="00000000">
        <w:tblPrEx>
          <w:tblCellMar>
            <w:top w:w="0" w:type="dxa"/>
            <w:bottom w:w="0" w:type="dxa"/>
          </w:tblCellMar>
        </w:tblPrEx>
        <w:tc>
          <w:tcPr>
            <w:tcW w:w="3827" w:type="dxa"/>
            <w:tcBorders>
              <w:top w:val="nil"/>
              <w:bottom w:val="nil"/>
            </w:tcBorders>
          </w:tcPr>
          <w:p w:rsidR="00000000" w:rsidRDefault="00000000">
            <w:r>
              <w:t>Government outlays on education (origin of funding)</w:t>
            </w:r>
          </w:p>
        </w:tc>
        <w:tc>
          <w:tcPr>
            <w:tcW w:w="1311" w:type="dxa"/>
            <w:tcBorders>
              <w:top w:val="nil"/>
              <w:bottom w:val="nil"/>
            </w:tcBorders>
          </w:tcPr>
          <w:p w:rsidR="00000000" w:rsidRDefault="00000000">
            <w:pPr>
              <w:ind w:right="170"/>
              <w:jc w:val="right"/>
            </w:pPr>
            <w:r>
              <w:t>6 778</w:t>
            </w:r>
          </w:p>
        </w:tc>
        <w:tc>
          <w:tcPr>
            <w:tcW w:w="1311" w:type="dxa"/>
            <w:tcBorders>
              <w:top w:val="nil"/>
              <w:bottom w:val="nil"/>
            </w:tcBorders>
          </w:tcPr>
          <w:p w:rsidR="00000000" w:rsidRDefault="00000000">
            <w:pPr>
              <w:ind w:right="170"/>
              <w:jc w:val="right"/>
            </w:pPr>
            <w:r>
              <w:t>12 981</w:t>
            </w:r>
          </w:p>
        </w:tc>
        <w:tc>
          <w:tcPr>
            <w:tcW w:w="1311" w:type="dxa"/>
            <w:tcBorders>
              <w:top w:val="nil"/>
              <w:bottom w:val="nil"/>
            </w:tcBorders>
          </w:tcPr>
          <w:p w:rsidR="00000000" w:rsidRDefault="00000000">
            <w:pPr>
              <w:ind w:right="170"/>
              <w:jc w:val="right"/>
            </w:pPr>
            <w:r>
              <w:t>7 431</w:t>
            </w:r>
          </w:p>
        </w:tc>
        <w:tc>
          <w:tcPr>
            <w:tcW w:w="1312" w:type="dxa"/>
            <w:tcBorders>
              <w:top w:val="nil"/>
              <w:bottom w:val="nil"/>
            </w:tcBorders>
          </w:tcPr>
          <w:p w:rsidR="00000000" w:rsidRDefault="00000000">
            <w:pPr>
              <w:ind w:right="170"/>
              <w:jc w:val="right"/>
            </w:pPr>
            <w:r>
              <w:t>27 190</w:t>
            </w:r>
          </w:p>
        </w:tc>
      </w:tr>
      <w:tr w:rsidR="00000000">
        <w:tblPrEx>
          <w:tblCellMar>
            <w:top w:w="0" w:type="dxa"/>
            <w:bottom w:w="0" w:type="dxa"/>
          </w:tblCellMar>
        </w:tblPrEx>
        <w:tc>
          <w:tcPr>
            <w:tcW w:w="3827" w:type="dxa"/>
            <w:tcBorders>
              <w:top w:val="nil"/>
              <w:bottom w:val="nil"/>
            </w:tcBorders>
          </w:tcPr>
          <w:p w:rsidR="00000000" w:rsidRDefault="00000000">
            <w:r>
              <w:t>Comparisons (%)</w:t>
            </w:r>
          </w:p>
        </w:tc>
        <w:tc>
          <w:tcPr>
            <w:tcW w:w="1311" w:type="dxa"/>
            <w:tcBorders>
              <w:top w:val="nil"/>
              <w:bottom w:val="nil"/>
            </w:tcBorders>
          </w:tcPr>
          <w:p w:rsidR="00000000" w:rsidRDefault="00000000">
            <w:pPr>
              <w:ind w:right="170"/>
              <w:jc w:val="right"/>
            </w:pPr>
          </w:p>
        </w:tc>
        <w:tc>
          <w:tcPr>
            <w:tcW w:w="1311" w:type="dxa"/>
            <w:tcBorders>
              <w:top w:val="nil"/>
              <w:bottom w:val="nil"/>
            </w:tcBorders>
          </w:tcPr>
          <w:p w:rsidR="00000000" w:rsidRDefault="00000000">
            <w:pPr>
              <w:ind w:right="170"/>
              <w:jc w:val="right"/>
            </w:pPr>
          </w:p>
        </w:tc>
        <w:tc>
          <w:tcPr>
            <w:tcW w:w="1311" w:type="dxa"/>
            <w:tcBorders>
              <w:top w:val="nil"/>
              <w:bottom w:val="nil"/>
            </w:tcBorders>
          </w:tcPr>
          <w:p w:rsidR="00000000" w:rsidRDefault="00000000">
            <w:pPr>
              <w:ind w:right="170"/>
              <w:jc w:val="right"/>
            </w:pPr>
          </w:p>
        </w:tc>
        <w:tc>
          <w:tcPr>
            <w:tcW w:w="1312" w:type="dxa"/>
            <w:tcBorders>
              <w:top w:val="nil"/>
              <w:bottom w:val="nil"/>
            </w:tcBorders>
          </w:tcPr>
          <w:p w:rsidR="00000000" w:rsidRDefault="00000000">
            <w:pPr>
              <w:ind w:right="170"/>
              <w:jc w:val="right"/>
            </w:pPr>
          </w:p>
        </w:tc>
      </w:tr>
      <w:tr w:rsidR="00000000">
        <w:tblPrEx>
          <w:tblCellMar>
            <w:top w:w="0" w:type="dxa"/>
            <w:bottom w:w="0" w:type="dxa"/>
          </w:tblCellMar>
        </w:tblPrEx>
        <w:tc>
          <w:tcPr>
            <w:tcW w:w="3827" w:type="dxa"/>
            <w:tcBorders>
              <w:top w:val="nil"/>
              <w:bottom w:val="nil"/>
            </w:tcBorders>
          </w:tcPr>
          <w:p w:rsidR="00000000" w:rsidRDefault="00000000">
            <w:r>
              <w:t>Welfare outlays/direct outlays</w:t>
            </w:r>
          </w:p>
        </w:tc>
        <w:tc>
          <w:tcPr>
            <w:tcW w:w="1311" w:type="dxa"/>
            <w:tcBorders>
              <w:top w:val="nil"/>
              <w:bottom w:val="nil"/>
            </w:tcBorders>
          </w:tcPr>
          <w:p w:rsidR="00000000" w:rsidRDefault="00000000">
            <w:pPr>
              <w:ind w:right="170"/>
              <w:jc w:val="right"/>
            </w:pPr>
            <w:r>
              <w:t>78.1</w:t>
            </w:r>
          </w:p>
        </w:tc>
        <w:tc>
          <w:tcPr>
            <w:tcW w:w="1311" w:type="dxa"/>
            <w:tcBorders>
              <w:top w:val="nil"/>
              <w:bottom w:val="nil"/>
            </w:tcBorders>
          </w:tcPr>
          <w:p w:rsidR="00000000" w:rsidRDefault="00000000">
            <w:pPr>
              <w:ind w:right="170"/>
              <w:jc w:val="right"/>
            </w:pPr>
            <w:r>
              <w:t>47.1</w:t>
            </w:r>
          </w:p>
        </w:tc>
        <w:tc>
          <w:tcPr>
            <w:tcW w:w="1311" w:type="dxa"/>
            <w:tcBorders>
              <w:top w:val="nil"/>
              <w:bottom w:val="nil"/>
            </w:tcBorders>
          </w:tcPr>
          <w:p w:rsidR="00000000" w:rsidRDefault="00000000">
            <w:pPr>
              <w:ind w:right="170"/>
              <w:jc w:val="right"/>
            </w:pPr>
            <w:r>
              <w:t>55.1</w:t>
            </w:r>
          </w:p>
        </w:tc>
        <w:tc>
          <w:tcPr>
            <w:tcW w:w="1312" w:type="dxa"/>
            <w:tcBorders>
              <w:top w:val="nil"/>
              <w:bottom w:val="nil"/>
            </w:tcBorders>
          </w:tcPr>
          <w:p w:rsidR="00000000" w:rsidRDefault="00000000">
            <w:pPr>
              <w:ind w:right="170"/>
              <w:jc w:val="right"/>
            </w:pPr>
            <w:r>
              <w:t>63.7</w:t>
            </w:r>
          </w:p>
        </w:tc>
      </w:tr>
      <w:tr w:rsidR="00000000">
        <w:tblPrEx>
          <w:tblCellMar>
            <w:top w:w="0" w:type="dxa"/>
            <w:bottom w:w="0" w:type="dxa"/>
          </w:tblCellMar>
        </w:tblPrEx>
        <w:tc>
          <w:tcPr>
            <w:tcW w:w="3827" w:type="dxa"/>
            <w:tcBorders>
              <w:top w:val="nil"/>
              <w:bottom w:val="nil"/>
            </w:tcBorders>
          </w:tcPr>
          <w:p w:rsidR="00000000" w:rsidRDefault="00000000">
            <w:r>
              <w:t>Education outlays/direct outlays</w:t>
            </w:r>
          </w:p>
        </w:tc>
        <w:tc>
          <w:tcPr>
            <w:tcW w:w="1311" w:type="dxa"/>
            <w:tcBorders>
              <w:top w:val="nil"/>
              <w:bottom w:val="nil"/>
            </w:tcBorders>
          </w:tcPr>
          <w:p w:rsidR="00000000" w:rsidRDefault="00000000">
            <w:pPr>
              <w:ind w:right="170"/>
              <w:jc w:val="right"/>
            </w:pPr>
            <w:r>
              <w:t>6.6</w:t>
            </w:r>
          </w:p>
        </w:tc>
        <w:tc>
          <w:tcPr>
            <w:tcW w:w="1311" w:type="dxa"/>
            <w:tcBorders>
              <w:top w:val="nil"/>
              <w:bottom w:val="nil"/>
            </w:tcBorders>
          </w:tcPr>
          <w:p w:rsidR="00000000" w:rsidRDefault="00000000">
            <w:pPr>
              <w:ind w:right="170"/>
              <w:jc w:val="right"/>
            </w:pPr>
            <w:r>
              <w:t>19.0</w:t>
            </w:r>
          </w:p>
        </w:tc>
        <w:tc>
          <w:tcPr>
            <w:tcW w:w="1311" w:type="dxa"/>
            <w:tcBorders>
              <w:top w:val="nil"/>
              <w:bottom w:val="nil"/>
            </w:tcBorders>
          </w:tcPr>
          <w:p w:rsidR="00000000" w:rsidRDefault="00000000">
            <w:pPr>
              <w:ind w:right="170"/>
              <w:jc w:val="right"/>
            </w:pPr>
            <w:r>
              <w:t>18.1</w:t>
            </w:r>
          </w:p>
        </w:tc>
        <w:tc>
          <w:tcPr>
            <w:tcW w:w="1312" w:type="dxa"/>
            <w:tcBorders>
              <w:top w:val="nil"/>
              <w:bottom w:val="nil"/>
            </w:tcBorders>
          </w:tcPr>
          <w:p w:rsidR="00000000" w:rsidRDefault="00000000">
            <w:pPr>
              <w:ind w:right="170"/>
              <w:jc w:val="right"/>
            </w:pPr>
            <w:r>
              <w:t>12.8</w:t>
            </w:r>
          </w:p>
        </w:tc>
      </w:tr>
      <w:tr w:rsidR="00000000">
        <w:tblPrEx>
          <w:tblCellMar>
            <w:top w:w="0" w:type="dxa"/>
            <w:bottom w:w="0" w:type="dxa"/>
          </w:tblCellMar>
        </w:tblPrEx>
        <w:tc>
          <w:tcPr>
            <w:tcW w:w="3827" w:type="dxa"/>
            <w:tcBorders>
              <w:top w:val="nil"/>
            </w:tcBorders>
          </w:tcPr>
          <w:p w:rsidR="00000000" w:rsidRDefault="00000000">
            <w:r>
              <w:t>Education outlays/welfare outlays</w:t>
            </w:r>
          </w:p>
        </w:tc>
        <w:tc>
          <w:tcPr>
            <w:tcW w:w="1311" w:type="dxa"/>
            <w:tcBorders>
              <w:top w:val="nil"/>
            </w:tcBorders>
          </w:tcPr>
          <w:p w:rsidR="00000000" w:rsidRDefault="00000000">
            <w:pPr>
              <w:ind w:right="170"/>
              <w:jc w:val="right"/>
            </w:pPr>
            <w:r>
              <w:t>8.4</w:t>
            </w:r>
          </w:p>
        </w:tc>
        <w:tc>
          <w:tcPr>
            <w:tcW w:w="1311" w:type="dxa"/>
            <w:tcBorders>
              <w:top w:val="nil"/>
            </w:tcBorders>
          </w:tcPr>
          <w:p w:rsidR="00000000" w:rsidRDefault="00000000">
            <w:pPr>
              <w:ind w:right="170"/>
              <w:jc w:val="right"/>
            </w:pPr>
            <w:r>
              <w:t>40.4</w:t>
            </w:r>
          </w:p>
        </w:tc>
        <w:tc>
          <w:tcPr>
            <w:tcW w:w="1311" w:type="dxa"/>
            <w:tcBorders>
              <w:top w:val="nil"/>
            </w:tcBorders>
          </w:tcPr>
          <w:p w:rsidR="00000000" w:rsidRDefault="00000000">
            <w:pPr>
              <w:ind w:right="170"/>
              <w:jc w:val="right"/>
            </w:pPr>
            <w:r>
              <w:t>32.9</w:t>
            </w:r>
          </w:p>
        </w:tc>
        <w:tc>
          <w:tcPr>
            <w:tcW w:w="1312" w:type="dxa"/>
            <w:tcBorders>
              <w:top w:val="nil"/>
            </w:tcBorders>
          </w:tcPr>
          <w:p w:rsidR="00000000" w:rsidRDefault="00000000">
            <w:pPr>
              <w:ind w:right="170"/>
              <w:jc w:val="right"/>
            </w:pPr>
            <w:r>
              <w:t>20.1</w:t>
            </w:r>
          </w:p>
        </w:tc>
      </w:tr>
    </w:tbl>
    <w:p w:rsidR="00000000" w:rsidRDefault="00000000"/>
    <w:p w:rsidR="00000000" w:rsidRDefault="00000000">
      <w:r>
        <w:tab/>
      </w:r>
      <w:r>
        <w:rPr>
          <w:u w:val="single"/>
        </w:rPr>
        <w:t>Source</w:t>
      </w:r>
      <w:r>
        <w:t>:  Fernandes et al.</w:t>
      </w:r>
    </w:p>
    <w:p w:rsidR="00000000" w:rsidRDefault="00000000"/>
    <w:p w:rsidR="00000000" w:rsidRDefault="00000000">
      <w:r>
        <w:tab/>
      </w:r>
      <w:r>
        <w:rPr>
          <w:b/>
          <w:bCs/>
        </w:rPr>
        <w:t>*</w:t>
      </w:r>
      <w:r>
        <w:t xml:space="preserve">  Includes Length of Service Guarantee Fund (FGTS) funds that are not included in the General Federal Balance Sheet Records.</w:t>
      </w:r>
    </w:p>
    <w:p w:rsidR="00000000" w:rsidRDefault="00000000"/>
    <w:p w:rsidR="00000000" w:rsidRDefault="00000000">
      <w:pPr>
        <w:pStyle w:val="ParaNo"/>
        <w:tabs>
          <w:tab w:val="clear" w:pos="360"/>
          <w:tab w:val="clear" w:pos="737"/>
        </w:tabs>
        <w:ind w:left="0" w:firstLine="0"/>
        <w:rPr>
          <w:lang w:val="en-GB"/>
        </w:rPr>
      </w:pPr>
      <w:r>
        <w:rPr>
          <w:lang w:val="en-GB"/>
        </w:rPr>
        <w:br w:type="page"/>
        <w:t>Intergovernmental distribution of expenditures follows the division stipulated in tying tax revenues assigned to education.</w:t>
      </w:r>
      <w:r>
        <w:rPr>
          <w:rStyle w:val="EndnoteReference"/>
          <w:lang w:val="en-GB"/>
        </w:rPr>
        <w:endnoteReference w:id="28"/>
      </w:r>
      <w:r>
        <w:rPr>
          <w:lang w:val="en-GB"/>
        </w:rPr>
        <w:t xml:space="preserve">  The data in the above table reflect the decentralized nature of government actions in this field, as the main authorities responsible for this area are the states and municipal districts which together account for 75.2 per cent of outlays in this area.  This means that the States and the municipal districts allocate some 20 per cent of their direct outlays to education.  Within the global government efforts targeting social welfare sectors, outlays in this field account for 41.1 per cent of state expenditures and 34.6 per cent for the municipal districts.</w:t>
      </w:r>
    </w:p>
    <w:p w:rsidR="00000000" w:rsidRDefault="00000000"/>
    <w:p w:rsidR="00000000" w:rsidRDefault="00000000">
      <w:pPr>
        <w:pStyle w:val="ParaNo"/>
        <w:tabs>
          <w:tab w:val="clear" w:pos="360"/>
          <w:tab w:val="clear" w:pos="737"/>
        </w:tabs>
        <w:ind w:left="0" w:firstLine="0"/>
        <w:rPr>
          <w:lang w:val="en-GB"/>
        </w:rPr>
      </w:pPr>
      <w:r>
        <w:rPr>
          <w:lang w:val="en-GB"/>
        </w:rPr>
        <w:t>Meanwhile, the Federal Government underwrites 28 per cent of the outlays in this area, which accounts for only 6.7 per cent of its direct non-financial expenditures, including the negotiated (non-constitutional) transfers to the states and municipal districts.  This is due to the fact that the Brazilian Constitution assigns the responsibility for providing basic education to the states and municipal districts, while the Federal Government handles catch-up classes.</w:t>
      </w:r>
      <w:r>
        <w:rPr>
          <w:rStyle w:val="EndnoteReference"/>
          <w:lang w:val="en-GB"/>
        </w:rPr>
        <w:endnoteReference w:id="29"/>
      </w:r>
      <w:r>
        <w:rPr>
          <w:lang w:val="en-GB"/>
        </w:rPr>
        <w:t xml:space="preserve">  Consequently, most of the funding allocated by the Federal Government to the education area is assigned to defray the expenses of the federal higher educational institutions, as well as technical schools.</w:t>
      </w:r>
    </w:p>
    <w:p w:rsidR="00000000" w:rsidRDefault="00000000"/>
    <w:p w:rsidR="00000000" w:rsidRDefault="00000000">
      <w:pPr>
        <w:pStyle w:val="ParaNo"/>
        <w:tabs>
          <w:tab w:val="clear" w:pos="360"/>
          <w:tab w:val="clear" w:pos="737"/>
        </w:tabs>
        <w:ind w:left="0" w:firstLine="0"/>
        <w:rPr>
          <w:lang w:val="en-GB"/>
        </w:rPr>
      </w:pPr>
      <w:r>
        <w:rPr>
          <w:lang w:val="en-GB"/>
        </w:rPr>
        <w:t>The overview of expenditures in the field of education in the main subgroups given in the table and Chart below show that government efforts in this field can be divided into two sections:  direct expenditures targeting the educational subgroups, and indirect outlays.  For the former, the expenditures are assigned to three core groups of fundamental actions.  The first clusters programmes that require more substantial support, absorbing the highest expenditures:  basic education (42.5 per cent) and higher education (18.9 per cent), which together account for 61.4 per cent of expenditures in this area.  The second group covers early childhood education (age 0-6 years) and high school, absorbing 10.3 per cent of these outlays.  The final group brings together actions related to catch-up classes and education for young people and adults, physical education, sports and special education, which together absorb only 2.9 per cent of expenditures in the field of education.</w:t>
      </w:r>
    </w:p>
    <w:p w:rsidR="00000000" w:rsidRDefault="00000000"/>
    <w:p w:rsidR="00000000" w:rsidRDefault="00000000">
      <w:pPr>
        <w:pStyle w:val="ParaNo"/>
        <w:tabs>
          <w:tab w:val="clear" w:pos="360"/>
          <w:tab w:val="clear" w:pos="737"/>
        </w:tabs>
        <w:ind w:left="0" w:firstLine="0"/>
        <w:rPr>
          <w:lang w:val="en-GB"/>
        </w:rPr>
      </w:pPr>
      <w:r>
        <w:rPr>
          <w:lang w:val="en-GB"/>
        </w:rPr>
        <w:t>Other expenditures on activities indirectly related to education were allocated to two specific items:  outlays underwriting administrative activities, accounting for 23 per cent of expenditures, and student aid, which absorbs some 2.3 per cent.</w:t>
      </w:r>
    </w:p>
    <w:p w:rsidR="00000000" w:rsidRDefault="00000000"/>
    <w:p w:rsidR="00000000" w:rsidRDefault="00000000">
      <w:pPr>
        <w:pStyle w:val="ParaNo"/>
        <w:numPr>
          <w:ilvl w:val="0"/>
          <w:numId w:val="0"/>
        </w:numPr>
        <w:tabs>
          <w:tab w:val="clear" w:pos="737"/>
        </w:tabs>
        <w:rPr>
          <w:lang w:val="en-GB"/>
        </w:rPr>
      </w:pPr>
    </w:p>
    <w:p w:rsidR="00000000" w:rsidRDefault="00000000">
      <w:pPr>
        <w:sectPr w:rsidR="00000000">
          <w:headerReference w:type="even" r:id="rId36"/>
          <w:headerReference w:type="default" r:id="rId37"/>
          <w:endnotePr>
            <w:numFmt w:val="decimal"/>
          </w:endnotePr>
          <w:pgSz w:w="11907" w:h="16840" w:code="9"/>
          <w:pgMar w:top="567" w:right="851" w:bottom="1985" w:left="1701" w:header="851" w:footer="1985" w:gutter="0"/>
          <w:cols w:space="720"/>
        </w:sectPr>
      </w:pPr>
    </w:p>
    <w:p w:rsidR="00000000" w:rsidRDefault="00000000">
      <w:pPr>
        <w:pStyle w:val="Heading1"/>
      </w:pPr>
      <w:r>
        <w:t>Table 89</w:t>
      </w:r>
    </w:p>
    <w:p w:rsidR="00000000" w:rsidRDefault="00000000"/>
    <w:p w:rsidR="00000000" w:rsidRDefault="00000000">
      <w:pPr>
        <w:pStyle w:val="Heading1"/>
      </w:pPr>
      <w:r>
        <w:t>Shares in expenditures by level and activity in the field of education,</w:t>
      </w:r>
    </w:p>
    <w:p w:rsidR="00000000" w:rsidRDefault="00000000">
      <w:pPr>
        <w:pStyle w:val="Heading1"/>
      </w:pPr>
      <w:r>
        <w:t>by government level, 1995</w:t>
      </w:r>
    </w:p>
    <w:p w:rsidR="00000000" w:rsidRDefault="00000000"/>
    <w:p w:rsidR="00000000" w:rsidRDefault="00000000">
      <w:pPr>
        <w:rPr>
          <w:sz w:val="16"/>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1134"/>
        <w:gridCol w:w="708"/>
        <w:gridCol w:w="1134"/>
        <w:gridCol w:w="709"/>
        <w:gridCol w:w="992"/>
        <w:gridCol w:w="851"/>
        <w:gridCol w:w="1134"/>
        <w:gridCol w:w="850"/>
        <w:gridCol w:w="851"/>
        <w:gridCol w:w="850"/>
        <w:gridCol w:w="709"/>
      </w:tblGrid>
      <w:tr w:rsidR="00000000">
        <w:tblPrEx>
          <w:tblCellMar>
            <w:top w:w="0" w:type="dxa"/>
            <w:bottom w:w="0" w:type="dxa"/>
          </w:tblCellMar>
        </w:tblPrEx>
        <w:trPr>
          <w:cantSplit/>
        </w:trPr>
        <w:tc>
          <w:tcPr>
            <w:tcW w:w="12899" w:type="dxa"/>
            <w:gridSpan w:val="12"/>
          </w:tcPr>
          <w:p w:rsidR="00000000" w:rsidRDefault="00000000">
            <w:pPr>
              <w:spacing w:line="360" w:lineRule="auto"/>
              <w:jc w:val="center"/>
              <w:rPr>
                <w:sz w:val="16"/>
              </w:rPr>
            </w:pPr>
            <w:r>
              <w:rPr>
                <w:sz w:val="16"/>
              </w:rPr>
              <w:t>Cr$ 000 nominal</w:t>
            </w:r>
          </w:p>
        </w:tc>
      </w:tr>
      <w:tr w:rsidR="00000000">
        <w:tblPrEx>
          <w:tblCellMar>
            <w:top w:w="0" w:type="dxa"/>
            <w:bottom w:w="0" w:type="dxa"/>
          </w:tblCellMar>
        </w:tblPrEx>
        <w:trPr>
          <w:cantSplit/>
          <w:trHeight w:val="262"/>
        </w:trPr>
        <w:tc>
          <w:tcPr>
            <w:tcW w:w="2977" w:type="dxa"/>
            <w:vMerge w:val="restart"/>
            <w:vAlign w:val="center"/>
          </w:tcPr>
          <w:p w:rsidR="00000000" w:rsidRDefault="00000000">
            <w:pPr>
              <w:spacing w:line="360" w:lineRule="auto"/>
              <w:jc w:val="center"/>
              <w:rPr>
                <w:sz w:val="16"/>
              </w:rPr>
            </w:pPr>
            <w:r>
              <w:rPr>
                <w:sz w:val="16"/>
              </w:rPr>
              <w:t>Education levels and activities</w:t>
            </w:r>
          </w:p>
        </w:tc>
        <w:tc>
          <w:tcPr>
            <w:tcW w:w="1842" w:type="dxa"/>
            <w:gridSpan w:val="2"/>
          </w:tcPr>
          <w:p w:rsidR="00000000" w:rsidRDefault="00000000">
            <w:pPr>
              <w:spacing w:line="360" w:lineRule="auto"/>
              <w:jc w:val="center"/>
              <w:rPr>
                <w:sz w:val="16"/>
              </w:rPr>
            </w:pPr>
            <w:r>
              <w:rPr>
                <w:sz w:val="16"/>
              </w:rPr>
              <w:t>Federal</w:t>
            </w:r>
          </w:p>
        </w:tc>
        <w:tc>
          <w:tcPr>
            <w:tcW w:w="1843" w:type="dxa"/>
            <w:gridSpan w:val="2"/>
          </w:tcPr>
          <w:p w:rsidR="00000000" w:rsidRDefault="00000000">
            <w:pPr>
              <w:spacing w:line="360" w:lineRule="auto"/>
              <w:jc w:val="center"/>
              <w:rPr>
                <w:sz w:val="16"/>
              </w:rPr>
            </w:pPr>
            <w:r>
              <w:rPr>
                <w:sz w:val="16"/>
              </w:rPr>
              <w:t>State</w:t>
            </w:r>
          </w:p>
        </w:tc>
        <w:tc>
          <w:tcPr>
            <w:tcW w:w="1843" w:type="dxa"/>
            <w:gridSpan w:val="2"/>
          </w:tcPr>
          <w:p w:rsidR="00000000" w:rsidRDefault="00000000">
            <w:pPr>
              <w:spacing w:line="360" w:lineRule="auto"/>
              <w:jc w:val="center"/>
              <w:rPr>
                <w:sz w:val="16"/>
              </w:rPr>
            </w:pPr>
            <w:r>
              <w:rPr>
                <w:sz w:val="16"/>
              </w:rPr>
              <w:t>Municipal</w:t>
            </w:r>
          </w:p>
        </w:tc>
        <w:tc>
          <w:tcPr>
            <w:tcW w:w="4394" w:type="dxa"/>
            <w:gridSpan w:val="5"/>
          </w:tcPr>
          <w:p w:rsidR="00000000" w:rsidRDefault="00000000">
            <w:pPr>
              <w:spacing w:line="360" w:lineRule="auto"/>
              <w:jc w:val="center"/>
              <w:rPr>
                <w:sz w:val="16"/>
              </w:rPr>
            </w:pPr>
            <w:r>
              <w:rPr>
                <w:sz w:val="16"/>
              </w:rPr>
              <w:t>Total</w:t>
            </w:r>
          </w:p>
        </w:tc>
      </w:tr>
      <w:tr w:rsidR="00000000">
        <w:tblPrEx>
          <w:tblCellMar>
            <w:top w:w="0" w:type="dxa"/>
            <w:bottom w:w="0" w:type="dxa"/>
          </w:tblCellMar>
        </w:tblPrEx>
        <w:trPr>
          <w:cantSplit/>
          <w:trHeight w:val="265"/>
        </w:trPr>
        <w:tc>
          <w:tcPr>
            <w:tcW w:w="2977" w:type="dxa"/>
            <w:vMerge/>
            <w:tcBorders>
              <w:bottom w:val="single" w:sz="4" w:space="0" w:color="auto"/>
            </w:tcBorders>
          </w:tcPr>
          <w:p w:rsidR="00000000" w:rsidRDefault="00000000">
            <w:pPr>
              <w:spacing w:line="360" w:lineRule="auto"/>
              <w:rPr>
                <w:sz w:val="16"/>
              </w:rPr>
            </w:pPr>
          </w:p>
        </w:tc>
        <w:tc>
          <w:tcPr>
            <w:tcW w:w="1134" w:type="dxa"/>
            <w:tcBorders>
              <w:bottom w:val="single" w:sz="4" w:space="0" w:color="auto"/>
            </w:tcBorders>
          </w:tcPr>
          <w:p w:rsidR="00000000" w:rsidRDefault="00000000">
            <w:pPr>
              <w:spacing w:line="360" w:lineRule="auto"/>
              <w:jc w:val="center"/>
              <w:rPr>
                <w:sz w:val="16"/>
              </w:rPr>
            </w:pPr>
            <w:r>
              <w:rPr>
                <w:sz w:val="16"/>
              </w:rPr>
              <w:t>(a)</w:t>
            </w:r>
          </w:p>
        </w:tc>
        <w:tc>
          <w:tcPr>
            <w:tcW w:w="708" w:type="dxa"/>
            <w:tcBorders>
              <w:bottom w:val="single" w:sz="4" w:space="0" w:color="auto"/>
            </w:tcBorders>
          </w:tcPr>
          <w:p w:rsidR="00000000" w:rsidRDefault="00000000">
            <w:pPr>
              <w:spacing w:line="360" w:lineRule="auto"/>
              <w:jc w:val="center"/>
              <w:rPr>
                <w:sz w:val="16"/>
              </w:rPr>
            </w:pPr>
            <w:r>
              <w:rPr>
                <w:sz w:val="16"/>
              </w:rPr>
              <w:t>%</w:t>
            </w:r>
          </w:p>
        </w:tc>
        <w:tc>
          <w:tcPr>
            <w:tcW w:w="1134" w:type="dxa"/>
            <w:tcBorders>
              <w:bottom w:val="single" w:sz="4" w:space="0" w:color="auto"/>
            </w:tcBorders>
          </w:tcPr>
          <w:p w:rsidR="00000000" w:rsidRDefault="00000000">
            <w:pPr>
              <w:spacing w:line="360" w:lineRule="auto"/>
              <w:jc w:val="center"/>
              <w:rPr>
                <w:sz w:val="16"/>
              </w:rPr>
            </w:pPr>
            <w:r>
              <w:rPr>
                <w:sz w:val="16"/>
              </w:rPr>
              <w:t>(b)</w:t>
            </w:r>
          </w:p>
        </w:tc>
        <w:tc>
          <w:tcPr>
            <w:tcW w:w="709" w:type="dxa"/>
            <w:tcBorders>
              <w:bottom w:val="single" w:sz="4" w:space="0" w:color="auto"/>
            </w:tcBorders>
          </w:tcPr>
          <w:p w:rsidR="00000000" w:rsidRDefault="00000000">
            <w:pPr>
              <w:spacing w:line="360" w:lineRule="auto"/>
              <w:jc w:val="center"/>
              <w:rPr>
                <w:sz w:val="16"/>
              </w:rPr>
            </w:pPr>
            <w:r>
              <w:rPr>
                <w:sz w:val="16"/>
              </w:rPr>
              <w:t>%</w:t>
            </w:r>
          </w:p>
        </w:tc>
        <w:tc>
          <w:tcPr>
            <w:tcW w:w="992" w:type="dxa"/>
            <w:tcBorders>
              <w:bottom w:val="single" w:sz="4" w:space="0" w:color="auto"/>
            </w:tcBorders>
          </w:tcPr>
          <w:p w:rsidR="00000000" w:rsidRDefault="00000000">
            <w:pPr>
              <w:spacing w:line="360" w:lineRule="auto"/>
              <w:jc w:val="center"/>
              <w:rPr>
                <w:sz w:val="16"/>
              </w:rPr>
            </w:pPr>
            <w:r>
              <w:rPr>
                <w:sz w:val="16"/>
              </w:rPr>
              <w:t>( c)</w:t>
            </w:r>
          </w:p>
        </w:tc>
        <w:tc>
          <w:tcPr>
            <w:tcW w:w="851" w:type="dxa"/>
            <w:tcBorders>
              <w:bottom w:val="single" w:sz="4" w:space="0" w:color="auto"/>
            </w:tcBorders>
          </w:tcPr>
          <w:p w:rsidR="00000000" w:rsidRDefault="00000000">
            <w:pPr>
              <w:spacing w:line="360" w:lineRule="auto"/>
              <w:jc w:val="center"/>
              <w:rPr>
                <w:sz w:val="16"/>
              </w:rPr>
            </w:pPr>
            <w:r>
              <w:rPr>
                <w:sz w:val="16"/>
              </w:rPr>
              <w:t>%</w:t>
            </w:r>
          </w:p>
        </w:tc>
        <w:tc>
          <w:tcPr>
            <w:tcW w:w="1134" w:type="dxa"/>
            <w:tcBorders>
              <w:bottom w:val="single" w:sz="4" w:space="0" w:color="auto"/>
            </w:tcBorders>
          </w:tcPr>
          <w:p w:rsidR="00000000" w:rsidRDefault="00000000">
            <w:pPr>
              <w:spacing w:line="360" w:lineRule="auto"/>
              <w:jc w:val="center"/>
              <w:rPr>
                <w:sz w:val="16"/>
              </w:rPr>
            </w:pPr>
            <w:r>
              <w:rPr>
                <w:sz w:val="16"/>
              </w:rPr>
              <w:t>(d = a+b+c)</w:t>
            </w:r>
          </w:p>
        </w:tc>
        <w:tc>
          <w:tcPr>
            <w:tcW w:w="850" w:type="dxa"/>
            <w:tcBorders>
              <w:bottom w:val="single" w:sz="4" w:space="0" w:color="auto"/>
            </w:tcBorders>
          </w:tcPr>
          <w:p w:rsidR="00000000" w:rsidRDefault="00000000">
            <w:pPr>
              <w:spacing w:line="360" w:lineRule="auto"/>
              <w:jc w:val="center"/>
              <w:rPr>
                <w:sz w:val="16"/>
              </w:rPr>
            </w:pPr>
            <w:r>
              <w:rPr>
                <w:sz w:val="16"/>
              </w:rPr>
              <w:t>%</w:t>
            </w:r>
          </w:p>
        </w:tc>
        <w:tc>
          <w:tcPr>
            <w:tcW w:w="851" w:type="dxa"/>
            <w:tcBorders>
              <w:bottom w:val="single" w:sz="4" w:space="0" w:color="auto"/>
            </w:tcBorders>
          </w:tcPr>
          <w:p w:rsidR="00000000" w:rsidRDefault="00000000">
            <w:pPr>
              <w:spacing w:line="360" w:lineRule="auto"/>
              <w:jc w:val="center"/>
              <w:rPr>
                <w:sz w:val="16"/>
              </w:rPr>
            </w:pPr>
            <w:r>
              <w:rPr>
                <w:sz w:val="16"/>
              </w:rPr>
              <w:t>(a/d)</w:t>
            </w:r>
          </w:p>
        </w:tc>
        <w:tc>
          <w:tcPr>
            <w:tcW w:w="850" w:type="dxa"/>
            <w:tcBorders>
              <w:bottom w:val="single" w:sz="4" w:space="0" w:color="auto"/>
            </w:tcBorders>
          </w:tcPr>
          <w:p w:rsidR="00000000" w:rsidRDefault="00000000">
            <w:pPr>
              <w:spacing w:line="360" w:lineRule="auto"/>
              <w:jc w:val="center"/>
              <w:rPr>
                <w:sz w:val="16"/>
              </w:rPr>
            </w:pPr>
            <w:r>
              <w:rPr>
                <w:sz w:val="16"/>
              </w:rPr>
              <w:t>(b/d)</w:t>
            </w:r>
          </w:p>
        </w:tc>
        <w:tc>
          <w:tcPr>
            <w:tcW w:w="709" w:type="dxa"/>
            <w:tcBorders>
              <w:bottom w:val="single" w:sz="4" w:space="0" w:color="auto"/>
            </w:tcBorders>
          </w:tcPr>
          <w:p w:rsidR="00000000" w:rsidRDefault="00000000">
            <w:pPr>
              <w:jc w:val="center"/>
              <w:rPr>
                <w:sz w:val="16"/>
              </w:rPr>
            </w:pPr>
            <w:r>
              <w:rPr>
                <w:sz w:val="16"/>
              </w:rPr>
              <w:t>(c/d)</w:t>
            </w:r>
          </w:p>
        </w:tc>
      </w:tr>
      <w:tr w:rsidR="00000000">
        <w:tblPrEx>
          <w:tblCellMar>
            <w:top w:w="0" w:type="dxa"/>
            <w:bottom w:w="0" w:type="dxa"/>
          </w:tblCellMar>
        </w:tblPrEx>
        <w:tc>
          <w:tcPr>
            <w:tcW w:w="2977" w:type="dxa"/>
            <w:tcBorders>
              <w:bottom w:val="nil"/>
            </w:tcBorders>
          </w:tcPr>
          <w:p w:rsidR="00000000" w:rsidRDefault="00000000">
            <w:pPr>
              <w:spacing w:line="360" w:lineRule="auto"/>
              <w:rPr>
                <w:sz w:val="16"/>
              </w:rPr>
            </w:pPr>
            <w:r>
              <w:rPr>
                <w:sz w:val="16"/>
              </w:rPr>
              <w:t>Education for children aged 0-6 years</w:t>
            </w:r>
          </w:p>
        </w:tc>
        <w:tc>
          <w:tcPr>
            <w:tcW w:w="1134" w:type="dxa"/>
            <w:tcBorders>
              <w:bottom w:val="nil"/>
            </w:tcBorders>
          </w:tcPr>
          <w:p w:rsidR="00000000" w:rsidRDefault="00000000">
            <w:pPr>
              <w:spacing w:line="360" w:lineRule="auto"/>
              <w:ind w:right="113"/>
              <w:jc w:val="right"/>
              <w:rPr>
                <w:sz w:val="16"/>
              </w:rPr>
            </w:pPr>
            <w:r>
              <w:rPr>
                <w:sz w:val="16"/>
              </w:rPr>
              <w:t>10 280</w:t>
            </w:r>
          </w:p>
        </w:tc>
        <w:tc>
          <w:tcPr>
            <w:tcW w:w="708" w:type="dxa"/>
            <w:tcBorders>
              <w:bottom w:val="nil"/>
            </w:tcBorders>
          </w:tcPr>
          <w:p w:rsidR="00000000" w:rsidRDefault="00000000">
            <w:pPr>
              <w:spacing w:line="360" w:lineRule="auto"/>
              <w:ind w:right="113"/>
              <w:jc w:val="right"/>
              <w:rPr>
                <w:sz w:val="16"/>
              </w:rPr>
            </w:pPr>
            <w:r>
              <w:rPr>
                <w:sz w:val="16"/>
              </w:rPr>
              <w:t>0.2</w:t>
            </w:r>
          </w:p>
        </w:tc>
        <w:tc>
          <w:tcPr>
            <w:tcW w:w="1134" w:type="dxa"/>
            <w:tcBorders>
              <w:bottom w:val="nil"/>
            </w:tcBorders>
          </w:tcPr>
          <w:p w:rsidR="00000000" w:rsidRDefault="00000000">
            <w:pPr>
              <w:spacing w:line="360" w:lineRule="auto"/>
              <w:ind w:right="113"/>
              <w:jc w:val="right"/>
              <w:rPr>
                <w:sz w:val="16"/>
              </w:rPr>
            </w:pPr>
            <w:r>
              <w:rPr>
                <w:sz w:val="16"/>
              </w:rPr>
              <w:t>51 190</w:t>
            </w:r>
          </w:p>
        </w:tc>
        <w:tc>
          <w:tcPr>
            <w:tcW w:w="709" w:type="dxa"/>
            <w:tcBorders>
              <w:bottom w:val="nil"/>
            </w:tcBorders>
          </w:tcPr>
          <w:p w:rsidR="00000000" w:rsidRDefault="00000000">
            <w:pPr>
              <w:spacing w:line="360" w:lineRule="auto"/>
              <w:ind w:right="113"/>
              <w:jc w:val="right"/>
              <w:rPr>
                <w:sz w:val="16"/>
              </w:rPr>
            </w:pPr>
            <w:r>
              <w:rPr>
                <w:sz w:val="16"/>
              </w:rPr>
              <w:t>0.4</w:t>
            </w:r>
          </w:p>
        </w:tc>
        <w:tc>
          <w:tcPr>
            <w:tcW w:w="992" w:type="dxa"/>
            <w:tcBorders>
              <w:bottom w:val="nil"/>
            </w:tcBorders>
          </w:tcPr>
          <w:p w:rsidR="00000000" w:rsidRDefault="00000000">
            <w:pPr>
              <w:spacing w:line="360" w:lineRule="auto"/>
              <w:ind w:right="113"/>
              <w:jc w:val="right"/>
              <w:rPr>
                <w:sz w:val="16"/>
              </w:rPr>
            </w:pPr>
            <w:r>
              <w:rPr>
                <w:sz w:val="16"/>
              </w:rPr>
              <w:t>1 010 926</w:t>
            </w:r>
          </w:p>
        </w:tc>
        <w:tc>
          <w:tcPr>
            <w:tcW w:w="851" w:type="dxa"/>
            <w:tcBorders>
              <w:bottom w:val="nil"/>
            </w:tcBorders>
          </w:tcPr>
          <w:p w:rsidR="00000000" w:rsidRDefault="00000000">
            <w:pPr>
              <w:spacing w:line="360" w:lineRule="auto"/>
              <w:ind w:right="113"/>
              <w:jc w:val="right"/>
              <w:rPr>
                <w:sz w:val="16"/>
              </w:rPr>
            </w:pPr>
            <w:r>
              <w:rPr>
                <w:sz w:val="16"/>
              </w:rPr>
              <w:t>13.6</w:t>
            </w:r>
          </w:p>
        </w:tc>
        <w:tc>
          <w:tcPr>
            <w:tcW w:w="1134" w:type="dxa"/>
            <w:tcBorders>
              <w:bottom w:val="nil"/>
            </w:tcBorders>
          </w:tcPr>
          <w:p w:rsidR="00000000" w:rsidRDefault="00000000">
            <w:pPr>
              <w:spacing w:line="360" w:lineRule="auto"/>
              <w:ind w:right="113"/>
              <w:jc w:val="right"/>
              <w:rPr>
                <w:sz w:val="16"/>
              </w:rPr>
            </w:pPr>
            <w:r>
              <w:rPr>
                <w:sz w:val="16"/>
              </w:rPr>
              <w:t>1 072 396</w:t>
            </w:r>
          </w:p>
        </w:tc>
        <w:tc>
          <w:tcPr>
            <w:tcW w:w="850" w:type="dxa"/>
            <w:tcBorders>
              <w:bottom w:val="nil"/>
            </w:tcBorders>
          </w:tcPr>
          <w:p w:rsidR="00000000" w:rsidRDefault="00000000">
            <w:pPr>
              <w:spacing w:line="360" w:lineRule="auto"/>
              <w:ind w:right="113"/>
              <w:jc w:val="right"/>
              <w:rPr>
                <w:sz w:val="16"/>
              </w:rPr>
            </w:pPr>
            <w:r>
              <w:rPr>
                <w:sz w:val="16"/>
              </w:rPr>
              <w:t>3.9</w:t>
            </w:r>
          </w:p>
        </w:tc>
        <w:tc>
          <w:tcPr>
            <w:tcW w:w="851" w:type="dxa"/>
            <w:tcBorders>
              <w:bottom w:val="nil"/>
            </w:tcBorders>
          </w:tcPr>
          <w:p w:rsidR="00000000" w:rsidRDefault="00000000">
            <w:pPr>
              <w:spacing w:line="360" w:lineRule="auto"/>
              <w:ind w:right="113"/>
              <w:jc w:val="right"/>
              <w:rPr>
                <w:sz w:val="16"/>
              </w:rPr>
            </w:pPr>
            <w:r>
              <w:rPr>
                <w:sz w:val="16"/>
              </w:rPr>
              <w:t>1.0</w:t>
            </w:r>
          </w:p>
        </w:tc>
        <w:tc>
          <w:tcPr>
            <w:tcW w:w="850" w:type="dxa"/>
            <w:tcBorders>
              <w:bottom w:val="nil"/>
            </w:tcBorders>
          </w:tcPr>
          <w:p w:rsidR="00000000" w:rsidRDefault="00000000">
            <w:pPr>
              <w:spacing w:line="360" w:lineRule="auto"/>
              <w:ind w:right="113"/>
              <w:jc w:val="right"/>
              <w:rPr>
                <w:sz w:val="16"/>
              </w:rPr>
            </w:pPr>
            <w:r>
              <w:rPr>
                <w:sz w:val="16"/>
              </w:rPr>
              <w:t>4.8</w:t>
            </w:r>
          </w:p>
        </w:tc>
        <w:tc>
          <w:tcPr>
            <w:tcW w:w="709" w:type="dxa"/>
            <w:tcBorders>
              <w:bottom w:val="nil"/>
            </w:tcBorders>
          </w:tcPr>
          <w:p w:rsidR="00000000" w:rsidRDefault="00000000">
            <w:pPr>
              <w:ind w:right="113"/>
              <w:jc w:val="right"/>
              <w:rPr>
                <w:sz w:val="16"/>
              </w:rPr>
            </w:pPr>
            <w:r>
              <w:rPr>
                <w:sz w:val="16"/>
              </w:rPr>
              <w:t>94.3</w:t>
            </w:r>
          </w:p>
        </w:tc>
      </w:tr>
      <w:tr w:rsidR="00000000">
        <w:tblPrEx>
          <w:tblCellMar>
            <w:top w:w="0" w:type="dxa"/>
            <w:bottom w:w="0" w:type="dxa"/>
          </w:tblCellMar>
        </w:tblPrEx>
        <w:tc>
          <w:tcPr>
            <w:tcW w:w="2977" w:type="dxa"/>
            <w:tcBorders>
              <w:top w:val="nil"/>
              <w:bottom w:val="nil"/>
            </w:tcBorders>
          </w:tcPr>
          <w:p w:rsidR="00000000" w:rsidRDefault="00000000">
            <w:pPr>
              <w:spacing w:line="360" w:lineRule="auto"/>
              <w:rPr>
                <w:sz w:val="16"/>
              </w:rPr>
            </w:pPr>
            <w:r>
              <w:rPr>
                <w:sz w:val="16"/>
              </w:rPr>
              <w:t>Basic education</w:t>
            </w:r>
          </w:p>
        </w:tc>
        <w:tc>
          <w:tcPr>
            <w:tcW w:w="1134" w:type="dxa"/>
            <w:tcBorders>
              <w:top w:val="nil"/>
              <w:bottom w:val="nil"/>
            </w:tcBorders>
          </w:tcPr>
          <w:p w:rsidR="00000000" w:rsidRDefault="00000000">
            <w:pPr>
              <w:spacing w:line="360" w:lineRule="auto"/>
              <w:ind w:right="113"/>
              <w:jc w:val="right"/>
              <w:rPr>
                <w:sz w:val="16"/>
              </w:rPr>
            </w:pPr>
            <w:r>
              <w:rPr>
                <w:sz w:val="16"/>
              </w:rPr>
              <w:t>1 194 692</w:t>
            </w:r>
          </w:p>
        </w:tc>
        <w:tc>
          <w:tcPr>
            <w:tcW w:w="708" w:type="dxa"/>
            <w:tcBorders>
              <w:top w:val="nil"/>
              <w:bottom w:val="nil"/>
            </w:tcBorders>
          </w:tcPr>
          <w:p w:rsidR="00000000" w:rsidRDefault="00000000">
            <w:pPr>
              <w:spacing w:line="360" w:lineRule="auto"/>
              <w:ind w:right="113"/>
              <w:jc w:val="right"/>
              <w:rPr>
                <w:sz w:val="16"/>
              </w:rPr>
            </w:pPr>
            <w:r>
              <w:rPr>
                <w:sz w:val="16"/>
              </w:rPr>
              <w:t>17.6</w:t>
            </w:r>
          </w:p>
        </w:tc>
        <w:tc>
          <w:tcPr>
            <w:tcW w:w="1134" w:type="dxa"/>
            <w:tcBorders>
              <w:top w:val="nil"/>
              <w:bottom w:val="nil"/>
            </w:tcBorders>
          </w:tcPr>
          <w:p w:rsidR="00000000" w:rsidRDefault="00000000">
            <w:pPr>
              <w:spacing w:line="360" w:lineRule="auto"/>
              <w:ind w:right="113"/>
              <w:jc w:val="right"/>
              <w:rPr>
                <w:sz w:val="16"/>
              </w:rPr>
            </w:pPr>
            <w:r>
              <w:rPr>
                <w:sz w:val="16"/>
              </w:rPr>
              <w:t>6 409 478</w:t>
            </w:r>
          </w:p>
        </w:tc>
        <w:tc>
          <w:tcPr>
            <w:tcW w:w="709" w:type="dxa"/>
            <w:tcBorders>
              <w:top w:val="nil"/>
              <w:bottom w:val="nil"/>
            </w:tcBorders>
          </w:tcPr>
          <w:p w:rsidR="00000000" w:rsidRDefault="00000000">
            <w:pPr>
              <w:spacing w:line="360" w:lineRule="auto"/>
              <w:ind w:right="113"/>
              <w:jc w:val="right"/>
              <w:rPr>
                <w:sz w:val="16"/>
              </w:rPr>
            </w:pPr>
            <w:r>
              <w:rPr>
                <w:sz w:val="16"/>
              </w:rPr>
              <w:t>49.4</w:t>
            </w:r>
          </w:p>
        </w:tc>
        <w:tc>
          <w:tcPr>
            <w:tcW w:w="992" w:type="dxa"/>
            <w:tcBorders>
              <w:top w:val="nil"/>
              <w:bottom w:val="nil"/>
            </w:tcBorders>
          </w:tcPr>
          <w:p w:rsidR="00000000" w:rsidRDefault="00000000">
            <w:pPr>
              <w:spacing w:line="360" w:lineRule="auto"/>
              <w:ind w:right="113"/>
              <w:jc w:val="right"/>
              <w:rPr>
                <w:sz w:val="16"/>
              </w:rPr>
            </w:pPr>
            <w:r>
              <w:rPr>
                <w:sz w:val="16"/>
              </w:rPr>
              <w:t>3 948 810</w:t>
            </w:r>
          </w:p>
        </w:tc>
        <w:tc>
          <w:tcPr>
            <w:tcW w:w="851" w:type="dxa"/>
            <w:tcBorders>
              <w:top w:val="nil"/>
              <w:bottom w:val="nil"/>
            </w:tcBorders>
          </w:tcPr>
          <w:p w:rsidR="00000000" w:rsidRDefault="00000000">
            <w:pPr>
              <w:spacing w:line="360" w:lineRule="auto"/>
              <w:ind w:right="113"/>
              <w:jc w:val="right"/>
              <w:rPr>
                <w:sz w:val="16"/>
              </w:rPr>
            </w:pPr>
            <w:r>
              <w:rPr>
                <w:sz w:val="16"/>
              </w:rPr>
              <w:t>53.1</w:t>
            </w:r>
          </w:p>
        </w:tc>
        <w:tc>
          <w:tcPr>
            <w:tcW w:w="1134" w:type="dxa"/>
            <w:tcBorders>
              <w:top w:val="nil"/>
              <w:bottom w:val="nil"/>
            </w:tcBorders>
          </w:tcPr>
          <w:p w:rsidR="00000000" w:rsidRDefault="00000000">
            <w:pPr>
              <w:spacing w:line="360" w:lineRule="auto"/>
              <w:ind w:right="113"/>
              <w:jc w:val="right"/>
              <w:rPr>
                <w:sz w:val="16"/>
              </w:rPr>
            </w:pPr>
            <w:r>
              <w:rPr>
                <w:sz w:val="16"/>
              </w:rPr>
              <w:t>11 552 980</w:t>
            </w:r>
          </w:p>
        </w:tc>
        <w:tc>
          <w:tcPr>
            <w:tcW w:w="850" w:type="dxa"/>
            <w:tcBorders>
              <w:top w:val="nil"/>
              <w:bottom w:val="nil"/>
            </w:tcBorders>
          </w:tcPr>
          <w:p w:rsidR="00000000" w:rsidRDefault="00000000">
            <w:pPr>
              <w:spacing w:line="360" w:lineRule="auto"/>
              <w:ind w:right="113"/>
              <w:jc w:val="right"/>
              <w:rPr>
                <w:sz w:val="16"/>
              </w:rPr>
            </w:pPr>
            <w:r>
              <w:rPr>
                <w:sz w:val="16"/>
              </w:rPr>
              <w:t>42.5</w:t>
            </w:r>
          </w:p>
        </w:tc>
        <w:tc>
          <w:tcPr>
            <w:tcW w:w="851" w:type="dxa"/>
            <w:tcBorders>
              <w:top w:val="nil"/>
              <w:bottom w:val="nil"/>
            </w:tcBorders>
          </w:tcPr>
          <w:p w:rsidR="00000000" w:rsidRDefault="00000000">
            <w:pPr>
              <w:spacing w:line="360" w:lineRule="auto"/>
              <w:ind w:right="113"/>
              <w:jc w:val="right"/>
              <w:rPr>
                <w:sz w:val="16"/>
              </w:rPr>
            </w:pPr>
            <w:r>
              <w:rPr>
                <w:sz w:val="16"/>
              </w:rPr>
              <w:t>10.3</w:t>
            </w:r>
          </w:p>
        </w:tc>
        <w:tc>
          <w:tcPr>
            <w:tcW w:w="850" w:type="dxa"/>
            <w:tcBorders>
              <w:top w:val="nil"/>
              <w:bottom w:val="nil"/>
            </w:tcBorders>
          </w:tcPr>
          <w:p w:rsidR="00000000" w:rsidRDefault="00000000">
            <w:pPr>
              <w:spacing w:line="360" w:lineRule="auto"/>
              <w:ind w:right="113"/>
              <w:jc w:val="right"/>
              <w:rPr>
                <w:sz w:val="16"/>
              </w:rPr>
            </w:pPr>
            <w:r>
              <w:rPr>
                <w:sz w:val="16"/>
              </w:rPr>
              <w:t>55.5</w:t>
            </w:r>
          </w:p>
        </w:tc>
        <w:tc>
          <w:tcPr>
            <w:tcW w:w="709" w:type="dxa"/>
            <w:tcBorders>
              <w:top w:val="nil"/>
              <w:bottom w:val="nil"/>
            </w:tcBorders>
          </w:tcPr>
          <w:p w:rsidR="00000000" w:rsidRDefault="00000000">
            <w:pPr>
              <w:ind w:right="113"/>
              <w:jc w:val="right"/>
              <w:rPr>
                <w:sz w:val="16"/>
              </w:rPr>
            </w:pPr>
            <w:r>
              <w:rPr>
                <w:sz w:val="16"/>
              </w:rPr>
              <w:t>34.2</w:t>
            </w:r>
          </w:p>
        </w:tc>
      </w:tr>
      <w:tr w:rsidR="00000000">
        <w:tblPrEx>
          <w:tblCellMar>
            <w:top w:w="0" w:type="dxa"/>
            <w:bottom w:w="0" w:type="dxa"/>
          </w:tblCellMar>
        </w:tblPrEx>
        <w:tc>
          <w:tcPr>
            <w:tcW w:w="2977" w:type="dxa"/>
            <w:tcBorders>
              <w:top w:val="nil"/>
              <w:bottom w:val="nil"/>
            </w:tcBorders>
          </w:tcPr>
          <w:p w:rsidR="00000000" w:rsidRDefault="00000000">
            <w:pPr>
              <w:spacing w:line="360" w:lineRule="auto"/>
              <w:rPr>
                <w:sz w:val="16"/>
              </w:rPr>
            </w:pPr>
            <w:r>
              <w:rPr>
                <w:sz w:val="16"/>
              </w:rPr>
              <w:t>High school</w:t>
            </w:r>
          </w:p>
        </w:tc>
        <w:tc>
          <w:tcPr>
            <w:tcW w:w="1134" w:type="dxa"/>
            <w:tcBorders>
              <w:top w:val="nil"/>
              <w:bottom w:val="nil"/>
            </w:tcBorders>
          </w:tcPr>
          <w:p w:rsidR="00000000" w:rsidRDefault="00000000">
            <w:pPr>
              <w:spacing w:line="360" w:lineRule="auto"/>
              <w:ind w:right="113"/>
              <w:jc w:val="right"/>
              <w:rPr>
                <w:sz w:val="16"/>
              </w:rPr>
            </w:pPr>
            <w:r>
              <w:rPr>
                <w:sz w:val="16"/>
              </w:rPr>
              <w:t>509 642</w:t>
            </w:r>
          </w:p>
        </w:tc>
        <w:tc>
          <w:tcPr>
            <w:tcW w:w="708" w:type="dxa"/>
            <w:tcBorders>
              <w:top w:val="nil"/>
              <w:bottom w:val="nil"/>
            </w:tcBorders>
          </w:tcPr>
          <w:p w:rsidR="00000000" w:rsidRDefault="00000000">
            <w:pPr>
              <w:spacing w:line="360" w:lineRule="auto"/>
              <w:ind w:right="113"/>
              <w:jc w:val="right"/>
              <w:rPr>
                <w:sz w:val="16"/>
              </w:rPr>
            </w:pPr>
            <w:r>
              <w:rPr>
                <w:sz w:val="16"/>
              </w:rPr>
              <w:t>7.5</w:t>
            </w:r>
          </w:p>
        </w:tc>
        <w:tc>
          <w:tcPr>
            <w:tcW w:w="1134" w:type="dxa"/>
            <w:tcBorders>
              <w:top w:val="nil"/>
              <w:bottom w:val="nil"/>
            </w:tcBorders>
          </w:tcPr>
          <w:p w:rsidR="00000000" w:rsidRDefault="00000000">
            <w:pPr>
              <w:spacing w:line="360" w:lineRule="auto"/>
              <w:ind w:right="113"/>
              <w:jc w:val="right"/>
              <w:rPr>
                <w:sz w:val="16"/>
              </w:rPr>
            </w:pPr>
            <w:r>
              <w:rPr>
                <w:sz w:val="16"/>
              </w:rPr>
              <w:t>851 986</w:t>
            </w:r>
          </w:p>
        </w:tc>
        <w:tc>
          <w:tcPr>
            <w:tcW w:w="709" w:type="dxa"/>
            <w:tcBorders>
              <w:top w:val="nil"/>
              <w:bottom w:val="nil"/>
            </w:tcBorders>
          </w:tcPr>
          <w:p w:rsidR="00000000" w:rsidRDefault="00000000">
            <w:pPr>
              <w:spacing w:line="360" w:lineRule="auto"/>
              <w:ind w:right="113"/>
              <w:jc w:val="right"/>
              <w:rPr>
                <w:sz w:val="16"/>
              </w:rPr>
            </w:pPr>
            <w:r>
              <w:rPr>
                <w:sz w:val="16"/>
              </w:rPr>
              <w:t>6.6</w:t>
            </w:r>
          </w:p>
        </w:tc>
        <w:tc>
          <w:tcPr>
            <w:tcW w:w="992" w:type="dxa"/>
            <w:tcBorders>
              <w:top w:val="nil"/>
              <w:bottom w:val="nil"/>
            </w:tcBorders>
          </w:tcPr>
          <w:p w:rsidR="00000000" w:rsidRDefault="00000000">
            <w:pPr>
              <w:spacing w:line="360" w:lineRule="auto"/>
              <w:ind w:right="113"/>
              <w:jc w:val="right"/>
              <w:rPr>
                <w:sz w:val="16"/>
              </w:rPr>
            </w:pPr>
            <w:r>
              <w:rPr>
                <w:sz w:val="16"/>
              </w:rPr>
              <w:t>375 096</w:t>
            </w:r>
          </w:p>
        </w:tc>
        <w:tc>
          <w:tcPr>
            <w:tcW w:w="851" w:type="dxa"/>
            <w:tcBorders>
              <w:top w:val="nil"/>
              <w:bottom w:val="nil"/>
            </w:tcBorders>
          </w:tcPr>
          <w:p w:rsidR="00000000" w:rsidRDefault="00000000">
            <w:pPr>
              <w:spacing w:line="360" w:lineRule="auto"/>
              <w:ind w:right="113"/>
              <w:jc w:val="right"/>
              <w:rPr>
                <w:sz w:val="16"/>
              </w:rPr>
            </w:pPr>
            <w:r>
              <w:rPr>
                <w:sz w:val="16"/>
              </w:rPr>
              <w:t>5.0</w:t>
            </w:r>
          </w:p>
        </w:tc>
        <w:tc>
          <w:tcPr>
            <w:tcW w:w="1134" w:type="dxa"/>
            <w:tcBorders>
              <w:top w:val="nil"/>
              <w:bottom w:val="nil"/>
            </w:tcBorders>
          </w:tcPr>
          <w:p w:rsidR="00000000" w:rsidRDefault="00000000">
            <w:pPr>
              <w:spacing w:line="360" w:lineRule="auto"/>
              <w:ind w:right="113"/>
              <w:jc w:val="right"/>
              <w:rPr>
                <w:sz w:val="16"/>
              </w:rPr>
            </w:pPr>
            <w:r>
              <w:rPr>
                <w:sz w:val="16"/>
              </w:rPr>
              <w:t>1 736 725</w:t>
            </w:r>
          </w:p>
        </w:tc>
        <w:tc>
          <w:tcPr>
            <w:tcW w:w="850" w:type="dxa"/>
            <w:tcBorders>
              <w:top w:val="nil"/>
              <w:bottom w:val="nil"/>
            </w:tcBorders>
          </w:tcPr>
          <w:p w:rsidR="00000000" w:rsidRDefault="00000000">
            <w:pPr>
              <w:spacing w:line="360" w:lineRule="auto"/>
              <w:ind w:right="113"/>
              <w:jc w:val="right"/>
              <w:rPr>
                <w:sz w:val="16"/>
              </w:rPr>
            </w:pPr>
            <w:r>
              <w:rPr>
                <w:sz w:val="16"/>
              </w:rPr>
              <w:t>6.4</w:t>
            </w:r>
          </w:p>
        </w:tc>
        <w:tc>
          <w:tcPr>
            <w:tcW w:w="851" w:type="dxa"/>
            <w:tcBorders>
              <w:top w:val="nil"/>
              <w:bottom w:val="nil"/>
            </w:tcBorders>
          </w:tcPr>
          <w:p w:rsidR="00000000" w:rsidRDefault="00000000">
            <w:pPr>
              <w:spacing w:line="360" w:lineRule="auto"/>
              <w:ind w:right="113"/>
              <w:jc w:val="right"/>
              <w:rPr>
                <w:sz w:val="16"/>
              </w:rPr>
            </w:pPr>
            <w:r>
              <w:rPr>
                <w:sz w:val="16"/>
              </w:rPr>
              <w:t>29.3</w:t>
            </w:r>
          </w:p>
        </w:tc>
        <w:tc>
          <w:tcPr>
            <w:tcW w:w="850" w:type="dxa"/>
            <w:tcBorders>
              <w:top w:val="nil"/>
              <w:bottom w:val="nil"/>
            </w:tcBorders>
          </w:tcPr>
          <w:p w:rsidR="00000000" w:rsidRDefault="00000000">
            <w:pPr>
              <w:spacing w:line="360" w:lineRule="auto"/>
              <w:ind w:right="113"/>
              <w:jc w:val="right"/>
              <w:rPr>
                <w:sz w:val="16"/>
              </w:rPr>
            </w:pPr>
            <w:r>
              <w:rPr>
                <w:sz w:val="16"/>
              </w:rPr>
              <w:t>9.1</w:t>
            </w:r>
          </w:p>
        </w:tc>
        <w:tc>
          <w:tcPr>
            <w:tcW w:w="709" w:type="dxa"/>
            <w:tcBorders>
              <w:top w:val="nil"/>
              <w:bottom w:val="nil"/>
            </w:tcBorders>
          </w:tcPr>
          <w:p w:rsidR="00000000" w:rsidRDefault="00000000">
            <w:pPr>
              <w:ind w:right="113"/>
              <w:jc w:val="right"/>
              <w:rPr>
                <w:sz w:val="16"/>
              </w:rPr>
            </w:pPr>
            <w:r>
              <w:rPr>
                <w:sz w:val="16"/>
              </w:rPr>
              <w:t>21.6</w:t>
            </w:r>
          </w:p>
        </w:tc>
      </w:tr>
      <w:tr w:rsidR="00000000">
        <w:tblPrEx>
          <w:tblCellMar>
            <w:top w:w="0" w:type="dxa"/>
            <w:bottom w:w="0" w:type="dxa"/>
          </w:tblCellMar>
        </w:tblPrEx>
        <w:tc>
          <w:tcPr>
            <w:tcW w:w="2977" w:type="dxa"/>
            <w:tcBorders>
              <w:top w:val="nil"/>
              <w:bottom w:val="nil"/>
            </w:tcBorders>
          </w:tcPr>
          <w:p w:rsidR="00000000" w:rsidRDefault="00000000">
            <w:pPr>
              <w:spacing w:line="360" w:lineRule="auto"/>
              <w:rPr>
                <w:sz w:val="16"/>
              </w:rPr>
            </w:pPr>
            <w:r>
              <w:rPr>
                <w:sz w:val="16"/>
              </w:rPr>
              <w:t>Higher education</w:t>
            </w:r>
          </w:p>
        </w:tc>
        <w:tc>
          <w:tcPr>
            <w:tcW w:w="1134" w:type="dxa"/>
            <w:tcBorders>
              <w:top w:val="nil"/>
              <w:bottom w:val="nil"/>
            </w:tcBorders>
          </w:tcPr>
          <w:p w:rsidR="00000000" w:rsidRDefault="00000000">
            <w:pPr>
              <w:spacing w:line="360" w:lineRule="auto"/>
              <w:ind w:right="113"/>
              <w:jc w:val="right"/>
              <w:rPr>
                <w:sz w:val="16"/>
              </w:rPr>
            </w:pPr>
            <w:r>
              <w:rPr>
                <w:sz w:val="16"/>
              </w:rPr>
              <w:t>4 069 318</w:t>
            </w:r>
          </w:p>
        </w:tc>
        <w:tc>
          <w:tcPr>
            <w:tcW w:w="708" w:type="dxa"/>
            <w:tcBorders>
              <w:top w:val="nil"/>
              <w:bottom w:val="nil"/>
            </w:tcBorders>
          </w:tcPr>
          <w:p w:rsidR="00000000" w:rsidRDefault="00000000">
            <w:pPr>
              <w:spacing w:line="360" w:lineRule="auto"/>
              <w:ind w:right="113"/>
              <w:jc w:val="right"/>
              <w:rPr>
                <w:sz w:val="16"/>
              </w:rPr>
            </w:pPr>
            <w:r>
              <w:rPr>
                <w:sz w:val="16"/>
              </w:rPr>
              <w:t>60.0</w:t>
            </w:r>
          </w:p>
        </w:tc>
        <w:tc>
          <w:tcPr>
            <w:tcW w:w="1134" w:type="dxa"/>
            <w:tcBorders>
              <w:top w:val="nil"/>
              <w:bottom w:val="nil"/>
            </w:tcBorders>
          </w:tcPr>
          <w:p w:rsidR="00000000" w:rsidRDefault="00000000">
            <w:pPr>
              <w:spacing w:line="360" w:lineRule="auto"/>
              <w:ind w:right="113"/>
              <w:jc w:val="right"/>
              <w:rPr>
                <w:sz w:val="16"/>
              </w:rPr>
            </w:pPr>
            <w:r>
              <w:rPr>
                <w:sz w:val="16"/>
              </w:rPr>
              <w:t>957 728</w:t>
            </w:r>
          </w:p>
        </w:tc>
        <w:tc>
          <w:tcPr>
            <w:tcW w:w="709" w:type="dxa"/>
            <w:tcBorders>
              <w:top w:val="nil"/>
              <w:bottom w:val="nil"/>
            </w:tcBorders>
          </w:tcPr>
          <w:p w:rsidR="00000000" w:rsidRDefault="00000000">
            <w:pPr>
              <w:spacing w:line="360" w:lineRule="auto"/>
              <w:ind w:right="113"/>
              <w:jc w:val="right"/>
              <w:rPr>
                <w:sz w:val="16"/>
              </w:rPr>
            </w:pPr>
            <w:r>
              <w:rPr>
                <w:sz w:val="16"/>
              </w:rPr>
              <w:t>7.4</w:t>
            </w:r>
          </w:p>
        </w:tc>
        <w:tc>
          <w:tcPr>
            <w:tcW w:w="992" w:type="dxa"/>
            <w:tcBorders>
              <w:top w:val="nil"/>
              <w:bottom w:val="nil"/>
            </w:tcBorders>
          </w:tcPr>
          <w:p w:rsidR="00000000" w:rsidRDefault="00000000">
            <w:pPr>
              <w:spacing w:line="360" w:lineRule="auto"/>
              <w:ind w:right="113"/>
              <w:jc w:val="right"/>
              <w:rPr>
                <w:sz w:val="16"/>
              </w:rPr>
            </w:pPr>
            <w:r>
              <w:rPr>
                <w:sz w:val="16"/>
              </w:rPr>
              <w:t>101 527</w:t>
            </w:r>
          </w:p>
        </w:tc>
        <w:tc>
          <w:tcPr>
            <w:tcW w:w="851" w:type="dxa"/>
            <w:tcBorders>
              <w:top w:val="nil"/>
              <w:bottom w:val="nil"/>
            </w:tcBorders>
          </w:tcPr>
          <w:p w:rsidR="00000000" w:rsidRDefault="00000000">
            <w:pPr>
              <w:spacing w:line="360" w:lineRule="auto"/>
              <w:ind w:right="113"/>
              <w:jc w:val="right"/>
              <w:rPr>
                <w:sz w:val="16"/>
              </w:rPr>
            </w:pPr>
            <w:r>
              <w:rPr>
                <w:sz w:val="16"/>
              </w:rPr>
              <w:t>1.4</w:t>
            </w:r>
          </w:p>
        </w:tc>
        <w:tc>
          <w:tcPr>
            <w:tcW w:w="1134" w:type="dxa"/>
            <w:tcBorders>
              <w:top w:val="nil"/>
              <w:bottom w:val="nil"/>
            </w:tcBorders>
          </w:tcPr>
          <w:p w:rsidR="00000000" w:rsidRDefault="00000000">
            <w:pPr>
              <w:spacing w:line="360" w:lineRule="auto"/>
              <w:ind w:right="113"/>
              <w:jc w:val="right"/>
              <w:rPr>
                <w:sz w:val="16"/>
              </w:rPr>
            </w:pPr>
            <w:r>
              <w:rPr>
                <w:sz w:val="16"/>
              </w:rPr>
              <w:t>5 128 573</w:t>
            </w:r>
          </w:p>
        </w:tc>
        <w:tc>
          <w:tcPr>
            <w:tcW w:w="850" w:type="dxa"/>
            <w:tcBorders>
              <w:top w:val="nil"/>
              <w:bottom w:val="nil"/>
            </w:tcBorders>
          </w:tcPr>
          <w:p w:rsidR="00000000" w:rsidRDefault="00000000">
            <w:pPr>
              <w:spacing w:line="360" w:lineRule="auto"/>
              <w:ind w:right="113"/>
              <w:jc w:val="right"/>
              <w:rPr>
                <w:sz w:val="16"/>
              </w:rPr>
            </w:pPr>
            <w:r>
              <w:rPr>
                <w:sz w:val="16"/>
              </w:rPr>
              <w:t>18.9</w:t>
            </w:r>
          </w:p>
        </w:tc>
        <w:tc>
          <w:tcPr>
            <w:tcW w:w="851" w:type="dxa"/>
            <w:tcBorders>
              <w:top w:val="nil"/>
              <w:bottom w:val="nil"/>
            </w:tcBorders>
          </w:tcPr>
          <w:p w:rsidR="00000000" w:rsidRDefault="00000000">
            <w:pPr>
              <w:spacing w:line="360" w:lineRule="auto"/>
              <w:ind w:right="113"/>
              <w:jc w:val="right"/>
              <w:rPr>
                <w:sz w:val="16"/>
              </w:rPr>
            </w:pPr>
            <w:r>
              <w:rPr>
                <w:sz w:val="16"/>
              </w:rPr>
              <w:t>79.3</w:t>
            </w:r>
          </w:p>
        </w:tc>
        <w:tc>
          <w:tcPr>
            <w:tcW w:w="850" w:type="dxa"/>
            <w:tcBorders>
              <w:top w:val="nil"/>
              <w:bottom w:val="nil"/>
            </w:tcBorders>
          </w:tcPr>
          <w:p w:rsidR="00000000" w:rsidRDefault="00000000">
            <w:pPr>
              <w:spacing w:line="360" w:lineRule="auto"/>
              <w:ind w:right="113"/>
              <w:jc w:val="right"/>
              <w:rPr>
                <w:sz w:val="16"/>
              </w:rPr>
            </w:pPr>
            <w:r>
              <w:rPr>
                <w:sz w:val="16"/>
              </w:rPr>
              <w:t>18.7</w:t>
            </w:r>
          </w:p>
        </w:tc>
        <w:tc>
          <w:tcPr>
            <w:tcW w:w="709" w:type="dxa"/>
            <w:tcBorders>
              <w:top w:val="nil"/>
              <w:bottom w:val="nil"/>
            </w:tcBorders>
          </w:tcPr>
          <w:p w:rsidR="00000000" w:rsidRDefault="00000000">
            <w:pPr>
              <w:ind w:right="113"/>
              <w:jc w:val="right"/>
              <w:rPr>
                <w:sz w:val="16"/>
              </w:rPr>
            </w:pPr>
            <w:r>
              <w:rPr>
                <w:sz w:val="16"/>
              </w:rPr>
              <w:t>2.0</w:t>
            </w:r>
          </w:p>
        </w:tc>
      </w:tr>
      <w:tr w:rsidR="00000000">
        <w:tblPrEx>
          <w:tblCellMar>
            <w:top w:w="0" w:type="dxa"/>
            <w:bottom w:w="0" w:type="dxa"/>
          </w:tblCellMar>
        </w:tblPrEx>
        <w:tc>
          <w:tcPr>
            <w:tcW w:w="2977" w:type="dxa"/>
            <w:tcBorders>
              <w:top w:val="nil"/>
              <w:bottom w:val="nil"/>
            </w:tcBorders>
          </w:tcPr>
          <w:p w:rsidR="00000000" w:rsidRDefault="00000000">
            <w:pPr>
              <w:spacing w:line="360" w:lineRule="auto"/>
              <w:rPr>
                <w:sz w:val="16"/>
              </w:rPr>
            </w:pPr>
            <w:r>
              <w:rPr>
                <w:sz w:val="16"/>
              </w:rPr>
              <w:t>Catch-up classes and education for young</w:t>
            </w:r>
          </w:p>
          <w:p w:rsidR="00000000" w:rsidRDefault="00000000">
            <w:pPr>
              <w:spacing w:line="360" w:lineRule="auto"/>
              <w:rPr>
                <w:sz w:val="16"/>
              </w:rPr>
            </w:pPr>
            <w:r>
              <w:rPr>
                <w:sz w:val="16"/>
              </w:rPr>
              <w:t xml:space="preserve">  people and adults</w:t>
            </w:r>
          </w:p>
        </w:tc>
        <w:tc>
          <w:tcPr>
            <w:tcW w:w="1134" w:type="dxa"/>
            <w:tcBorders>
              <w:top w:val="nil"/>
              <w:bottom w:val="nil"/>
            </w:tcBorders>
          </w:tcPr>
          <w:p w:rsidR="00000000" w:rsidRDefault="00000000">
            <w:pPr>
              <w:spacing w:line="360" w:lineRule="auto"/>
              <w:ind w:right="113"/>
              <w:jc w:val="right"/>
              <w:rPr>
                <w:sz w:val="16"/>
              </w:rPr>
            </w:pPr>
            <w:r>
              <w:rPr>
                <w:sz w:val="16"/>
              </w:rPr>
              <w:t>11 140</w:t>
            </w:r>
          </w:p>
        </w:tc>
        <w:tc>
          <w:tcPr>
            <w:tcW w:w="708" w:type="dxa"/>
            <w:tcBorders>
              <w:top w:val="nil"/>
              <w:bottom w:val="nil"/>
            </w:tcBorders>
          </w:tcPr>
          <w:p w:rsidR="00000000" w:rsidRDefault="00000000">
            <w:pPr>
              <w:spacing w:line="360" w:lineRule="auto"/>
              <w:ind w:right="113"/>
              <w:jc w:val="right"/>
              <w:rPr>
                <w:sz w:val="16"/>
              </w:rPr>
            </w:pPr>
            <w:r>
              <w:rPr>
                <w:sz w:val="16"/>
              </w:rPr>
              <w:t>0.2</w:t>
            </w:r>
          </w:p>
        </w:tc>
        <w:tc>
          <w:tcPr>
            <w:tcW w:w="1134" w:type="dxa"/>
            <w:tcBorders>
              <w:top w:val="nil"/>
              <w:bottom w:val="nil"/>
            </w:tcBorders>
          </w:tcPr>
          <w:p w:rsidR="00000000" w:rsidRDefault="00000000">
            <w:pPr>
              <w:spacing w:line="360" w:lineRule="auto"/>
              <w:ind w:right="113"/>
              <w:jc w:val="right"/>
              <w:rPr>
                <w:sz w:val="16"/>
              </w:rPr>
            </w:pPr>
            <w:r>
              <w:rPr>
                <w:sz w:val="16"/>
              </w:rPr>
              <w:t>59 599</w:t>
            </w:r>
          </w:p>
        </w:tc>
        <w:tc>
          <w:tcPr>
            <w:tcW w:w="709" w:type="dxa"/>
            <w:tcBorders>
              <w:top w:val="nil"/>
              <w:bottom w:val="nil"/>
            </w:tcBorders>
          </w:tcPr>
          <w:p w:rsidR="00000000" w:rsidRDefault="00000000">
            <w:pPr>
              <w:spacing w:line="360" w:lineRule="auto"/>
              <w:ind w:right="113"/>
              <w:jc w:val="right"/>
              <w:rPr>
                <w:sz w:val="16"/>
              </w:rPr>
            </w:pPr>
            <w:r>
              <w:rPr>
                <w:sz w:val="16"/>
              </w:rPr>
              <w:t>0.5</w:t>
            </w:r>
          </w:p>
        </w:tc>
        <w:tc>
          <w:tcPr>
            <w:tcW w:w="992" w:type="dxa"/>
            <w:tcBorders>
              <w:top w:val="nil"/>
              <w:bottom w:val="nil"/>
            </w:tcBorders>
          </w:tcPr>
          <w:p w:rsidR="00000000" w:rsidRDefault="00000000">
            <w:pPr>
              <w:spacing w:line="360" w:lineRule="auto"/>
              <w:ind w:right="113"/>
              <w:jc w:val="right"/>
              <w:rPr>
                <w:sz w:val="16"/>
              </w:rPr>
            </w:pPr>
            <w:r>
              <w:rPr>
                <w:sz w:val="16"/>
              </w:rPr>
              <w:t>22 977</w:t>
            </w:r>
          </w:p>
        </w:tc>
        <w:tc>
          <w:tcPr>
            <w:tcW w:w="851" w:type="dxa"/>
            <w:tcBorders>
              <w:top w:val="nil"/>
              <w:bottom w:val="nil"/>
            </w:tcBorders>
          </w:tcPr>
          <w:p w:rsidR="00000000" w:rsidRDefault="00000000">
            <w:pPr>
              <w:spacing w:line="360" w:lineRule="auto"/>
              <w:ind w:right="113"/>
              <w:jc w:val="right"/>
              <w:rPr>
                <w:sz w:val="16"/>
              </w:rPr>
            </w:pPr>
            <w:r>
              <w:rPr>
                <w:sz w:val="16"/>
              </w:rPr>
              <w:t>0.3</w:t>
            </w:r>
          </w:p>
        </w:tc>
        <w:tc>
          <w:tcPr>
            <w:tcW w:w="1134" w:type="dxa"/>
            <w:tcBorders>
              <w:top w:val="nil"/>
              <w:bottom w:val="nil"/>
            </w:tcBorders>
          </w:tcPr>
          <w:p w:rsidR="00000000" w:rsidRDefault="00000000">
            <w:pPr>
              <w:spacing w:line="360" w:lineRule="auto"/>
              <w:ind w:right="113"/>
              <w:jc w:val="right"/>
              <w:rPr>
                <w:sz w:val="16"/>
              </w:rPr>
            </w:pPr>
            <w:r>
              <w:rPr>
                <w:sz w:val="16"/>
              </w:rPr>
              <w:t>93 716</w:t>
            </w:r>
          </w:p>
        </w:tc>
        <w:tc>
          <w:tcPr>
            <w:tcW w:w="850" w:type="dxa"/>
            <w:tcBorders>
              <w:top w:val="nil"/>
              <w:bottom w:val="nil"/>
            </w:tcBorders>
          </w:tcPr>
          <w:p w:rsidR="00000000" w:rsidRDefault="00000000">
            <w:pPr>
              <w:spacing w:line="360" w:lineRule="auto"/>
              <w:ind w:right="113"/>
              <w:jc w:val="right"/>
              <w:rPr>
                <w:sz w:val="16"/>
              </w:rPr>
            </w:pPr>
            <w:r>
              <w:rPr>
                <w:sz w:val="16"/>
              </w:rPr>
              <w:t>0.3</w:t>
            </w:r>
          </w:p>
        </w:tc>
        <w:tc>
          <w:tcPr>
            <w:tcW w:w="851" w:type="dxa"/>
            <w:tcBorders>
              <w:top w:val="nil"/>
              <w:bottom w:val="nil"/>
            </w:tcBorders>
          </w:tcPr>
          <w:p w:rsidR="00000000" w:rsidRDefault="00000000">
            <w:pPr>
              <w:spacing w:line="360" w:lineRule="auto"/>
              <w:ind w:right="113"/>
              <w:jc w:val="right"/>
              <w:rPr>
                <w:sz w:val="16"/>
              </w:rPr>
            </w:pPr>
            <w:r>
              <w:rPr>
                <w:sz w:val="16"/>
              </w:rPr>
              <w:t>11.9</w:t>
            </w:r>
          </w:p>
        </w:tc>
        <w:tc>
          <w:tcPr>
            <w:tcW w:w="850" w:type="dxa"/>
            <w:tcBorders>
              <w:top w:val="nil"/>
              <w:bottom w:val="nil"/>
            </w:tcBorders>
          </w:tcPr>
          <w:p w:rsidR="00000000" w:rsidRDefault="00000000">
            <w:pPr>
              <w:spacing w:line="360" w:lineRule="auto"/>
              <w:ind w:right="113"/>
              <w:jc w:val="right"/>
              <w:rPr>
                <w:sz w:val="16"/>
              </w:rPr>
            </w:pPr>
            <w:r>
              <w:rPr>
                <w:sz w:val="16"/>
              </w:rPr>
              <w:t>63.6</w:t>
            </w:r>
          </w:p>
        </w:tc>
        <w:tc>
          <w:tcPr>
            <w:tcW w:w="709" w:type="dxa"/>
            <w:tcBorders>
              <w:top w:val="nil"/>
              <w:bottom w:val="nil"/>
            </w:tcBorders>
          </w:tcPr>
          <w:p w:rsidR="00000000" w:rsidRDefault="00000000">
            <w:pPr>
              <w:ind w:right="113"/>
              <w:jc w:val="right"/>
              <w:rPr>
                <w:sz w:val="16"/>
              </w:rPr>
            </w:pPr>
            <w:r>
              <w:rPr>
                <w:sz w:val="16"/>
              </w:rPr>
              <w:t>24.5</w:t>
            </w:r>
          </w:p>
        </w:tc>
      </w:tr>
      <w:tr w:rsidR="00000000">
        <w:tblPrEx>
          <w:tblCellMar>
            <w:top w:w="0" w:type="dxa"/>
            <w:bottom w:w="0" w:type="dxa"/>
          </w:tblCellMar>
        </w:tblPrEx>
        <w:tc>
          <w:tcPr>
            <w:tcW w:w="2977" w:type="dxa"/>
            <w:tcBorders>
              <w:top w:val="nil"/>
              <w:bottom w:val="nil"/>
            </w:tcBorders>
          </w:tcPr>
          <w:p w:rsidR="00000000" w:rsidRDefault="00000000">
            <w:pPr>
              <w:spacing w:line="360" w:lineRule="auto"/>
              <w:rPr>
                <w:sz w:val="16"/>
              </w:rPr>
            </w:pPr>
            <w:r>
              <w:rPr>
                <w:sz w:val="16"/>
              </w:rPr>
              <w:t>Physical education and sports</w:t>
            </w:r>
          </w:p>
        </w:tc>
        <w:tc>
          <w:tcPr>
            <w:tcW w:w="1134" w:type="dxa"/>
            <w:tcBorders>
              <w:top w:val="nil"/>
              <w:bottom w:val="nil"/>
            </w:tcBorders>
          </w:tcPr>
          <w:p w:rsidR="00000000" w:rsidRDefault="00000000">
            <w:pPr>
              <w:spacing w:line="360" w:lineRule="auto"/>
              <w:ind w:right="113"/>
              <w:jc w:val="right"/>
              <w:rPr>
                <w:sz w:val="16"/>
              </w:rPr>
            </w:pPr>
            <w:r>
              <w:rPr>
                <w:sz w:val="16"/>
              </w:rPr>
              <w:t>58 020</w:t>
            </w:r>
          </w:p>
        </w:tc>
        <w:tc>
          <w:tcPr>
            <w:tcW w:w="708" w:type="dxa"/>
            <w:tcBorders>
              <w:top w:val="nil"/>
              <w:bottom w:val="nil"/>
            </w:tcBorders>
          </w:tcPr>
          <w:p w:rsidR="00000000" w:rsidRDefault="00000000">
            <w:pPr>
              <w:spacing w:line="360" w:lineRule="auto"/>
              <w:ind w:right="113"/>
              <w:jc w:val="right"/>
              <w:rPr>
                <w:sz w:val="16"/>
              </w:rPr>
            </w:pPr>
            <w:r>
              <w:rPr>
                <w:sz w:val="16"/>
              </w:rPr>
              <w:t>0.9</w:t>
            </w:r>
          </w:p>
        </w:tc>
        <w:tc>
          <w:tcPr>
            <w:tcW w:w="1134" w:type="dxa"/>
            <w:tcBorders>
              <w:top w:val="nil"/>
              <w:bottom w:val="nil"/>
            </w:tcBorders>
          </w:tcPr>
          <w:p w:rsidR="00000000" w:rsidRDefault="00000000">
            <w:pPr>
              <w:spacing w:line="360" w:lineRule="auto"/>
              <w:ind w:right="113"/>
              <w:jc w:val="right"/>
              <w:rPr>
                <w:sz w:val="16"/>
              </w:rPr>
            </w:pPr>
            <w:r>
              <w:rPr>
                <w:sz w:val="16"/>
              </w:rPr>
              <w:t>106 216</w:t>
            </w:r>
          </w:p>
        </w:tc>
        <w:tc>
          <w:tcPr>
            <w:tcW w:w="709" w:type="dxa"/>
            <w:tcBorders>
              <w:top w:val="nil"/>
              <w:bottom w:val="nil"/>
            </w:tcBorders>
          </w:tcPr>
          <w:p w:rsidR="00000000" w:rsidRDefault="00000000">
            <w:pPr>
              <w:spacing w:line="360" w:lineRule="auto"/>
              <w:ind w:right="113"/>
              <w:jc w:val="right"/>
              <w:rPr>
                <w:sz w:val="16"/>
              </w:rPr>
            </w:pPr>
            <w:r>
              <w:rPr>
                <w:sz w:val="16"/>
              </w:rPr>
              <w:t>0.8</w:t>
            </w:r>
          </w:p>
        </w:tc>
        <w:tc>
          <w:tcPr>
            <w:tcW w:w="992" w:type="dxa"/>
            <w:tcBorders>
              <w:top w:val="nil"/>
              <w:bottom w:val="nil"/>
            </w:tcBorders>
          </w:tcPr>
          <w:p w:rsidR="00000000" w:rsidRDefault="00000000">
            <w:pPr>
              <w:spacing w:line="360" w:lineRule="auto"/>
              <w:ind w:right="113"/>
              <w:jc w:val="right"/>
              <w:rPr>
                <w:sz w:val="16"/>
              </w:rPr>
            </w:pPr>
            <w:r>
              <w:rPr>
                <w:sz w:val="16"/>
              </w:rPr>
              <w:t>395 787</w:t>
            </w:r>
          </w:p>
        </w:tc>
        <w:tc>
          <w:tcPr>
            <w:tcW w:w="851" w:type="dxa"/>
            <w:tcBorders>
              <w:top w:val="nil"/>
              <w:bottom w:val="nil"/>
            </w:tcBorders>
          </w:tcPr>
          <w:p w:rsidR="00000000" w:rsidRDefault="00000000">
            <w:pPr>
              <w:spacing w:line="360" w:lineRule="auto"/>
              <w:ind w:right="113"/>
              <w:jc w:val="right"/>
              <w:rPr>
                <w:sz w:val="16"/>
              </w:rPr>
            </w:pPr>
            <w:r>
              <w:rPr>
                <w:sz w:val="16"/>
              </w:rPr>
              <w:t>5.3</w:t>
            </w:r>
          </w:p>
        </w:tc>
        <w:tc>
          <w:tcPr>
            <w:tcW w:w="1134" w:type="dxa"/>
            <w:tcBorders>
              <w:top w:val="nil"/>
              <w:bottom w:val="nil"/>
            </w:tcBorders>
          </w:tcPr>
          <w:p w:rsidR="00000000" w:rsidRDefault="00000000">
            <w:pPr>
              <w:spacing w:line="360" w:lineRule="auto"/>
              <w:ind w:right="113"/>
              <w:jc w:val="right"/>
              <w:rPr>
                <w:sz w:val="16"/>
              </w:rPr>
            </w:pPr>
            <w:r>
              <w:rPr>
                <w:sz w:val="16"/>
              </w:rPr>
              <w:t>560 023</w:t>
            </w:r>
          </w:p>
        </w:tc>
        <w:tc>
          <w:tcPr>
            <w:tcW w:w="850" w:type="dxa"/>
            <w:tcBorders>
              <w:top w:val="nil"/>
              <w:bottom w:val="nil"/>
            </w:tcBorders>
          </w:tcPr>
          <w:p w:rsidR="00000000" w:rsidRDefault="00000000">
            <w:pPr>
              <w:spacing w:line="360" w:lineRule="auto"/>
              <w:ind w:right="113"/>
              <w:jc w:val="right"/>
              <w:rPr>
                <w:sz w:val="16"/>
              </w:rPr>
            </w:pPr>
            <w:r>
              <w:rPr>
                <w:sz w:val="16"/>
              </w:rPr>
              <w:t>2.1</w:t>
            </w:r>
          </w:p>
        </w:tc>
        <w:tc>
          <w:tcPr>
            <w:tcW w:w="851" w:type="dxa"/>
            <w:tcBorders>
              <w:top w:val="nil"/>
              <w:bottom w:val="nil"/>
            </w:tcBorders>
          </w:tcPr>
          <w:p w:rsidR="00000000" w:rsidRDefault="00000000">
            <w:pPr>
              <w:spacing w:line="360" w:lineRule="auto"/>
              <w:ind w:right="113"/>
              <w:jc w:val="right"/>
              <w:rPr>
                <w:sz w:val="16"/>
              </w:rPr>
            </w:pPr>
            <w:r>
              <w:rPr>
                <w:sz w:val="16"/>
              </w:rPr>
              <w:t>10.4</w:t>
            </w:r>
          </w:p>
        </w:tc>
        <w:tc>
          <w:tcPr>
            <w:tcW w:w="850" w:type="dxa"/>
            <w:tcBorders>
              <w:top w:val="nil"/>
              <w:bottom w:val="nil"/>
            </w:tcBorders>
          </w:tcPr>
          <w:p w:rsidR="00000000" w:rsidRDefault="00000000">
            <w:pPr>
              <w:spacing w:line="360" w:lineRule="auto"/>
              <w:ind w:right="113"/>
              <w:jc w:val="right"/>
              <w:rPr>
                <w:sz w:val="16"/>
              </w:rPr>
            </w:pPr>
            <w:r>
              <w:rPr>
                <w:sz w:val="16"/>
              </w:rPr>
              <w:t>19.0</w:t>
            </w:r>
          </w:p>
        </w:tc>
        <w:tc>
          <w:tcPr>
            <w:tcW w:w="709" w:type="dxa"/>
            <w:tcBorders>
              <w:top w:val="nil"/>
              <w:bottom w:val="nil"/>
            </w:tcBorders>
          </w:tcPr>
          <w:p w:rsidR="00000000" w:rsidRDefault="00000000">
            <w:pPr>
              <w:ind w:right="113"/>
              <w:jc w:val="right"/>
              <w:rPr>
                <w:sz w:val="16"/>
              </w:rPr>
            </w:pPr>
            <w:r>
              <w:rPr>
                <w:sz w:val="16"/>
              </w:rPr>
              <w:t>70.7</w:t>
            </w:r>
          </w:p>
        </w:tc>
      </w:tr>
      <w:tr w:rsidR="00000000">
        <w:tblPrEx>
          <w:tblCellMar>
            <w:top w:w="0" w:type="dxa"/>
            <w:bottom w:w="0" w:type="dxa"/>
          </w:tblCellMar>
        </w:tblPrEx>
        <w:tc>
          <w:tcPr>
            <w:tcW w:w="2977" w:type="dxa"/>
            <w:tcBorders>
              <w:top w:val="nil"/>
              <w:bottom w:val="nil"/>
            </w:tcBorders>
          </w:tcPr>
          <w:p w:rsidR="00000000" w:rsidRDefault="00000000">
            <w:pPr>
              <w:spacing w:line="360" w:lineRule="auto"/>
              <w:rPr>
                <w:sz w:val="16"/>
              </w:rPr>
            </w:pPr>
            <w:r>
              <w:rPr>
                <w:sz w:val="16"/>
              </w:rPr>
              <w:t>Special education</w:t>
            </w:r>
          </w:p>
        </w:tc>
        <w:tc>
          <w:tcPr>
            <w:tcW w:w="1134" w:type="dxa"/>
            <w:tcBorders>
              <w:top w:val="nil"/>
              <w:bottom w:val="nil"/>
            </w:tcBorders>
          </w:tcPr>
          <w:p w:rsidR="00000000" w:rsidRDefault="00000000">
            <w:pPr>
              <w:spacing w:line="360" w:lineRule="auto"/>
              <w:ind w:right="113"/>
              <w:jc w:val="right"/>
              <w:rPr>
                <w:sz w:val="16"/>
              </w:rPr>
            </w:pPr>
            <w:r>
              <w:rPr>
                <w:sz w:val="16"/>
              </w:rPr>
              <w:t>20 952</w:t>
            </w:r>
          </w:p>
        </w:tc>
        <w:tc>
          <w:tcPr>
            <w:tcW w:w="708" w:type="dxa"/>
            <w:tcBorders>
              <w:top w:val="nil"/>
              <w:bottom w:val="nil"/>
            </w:tcBorders>
          </w:tcPr>
          <w:p w:rsidR="00000000" w:rsidRDefault="00000000">
            <w:pPr>
              <w:spacing w:line="360" w:lineRule="auto"/>
              <w:ind w:right="113"/>
              <w:jc w:val="right"/>
              <w:rPr>
                <w:sz w:val="16"/>
              </w:rPr>
            </w:pPr>
            <w:r>
              <w:rPr>
                <w:sz w:val="16"/>
              </w:rPr>
              <w:t>0.3</w:t>
            </w:r>
          </w:p>
        </w:tc>
        <w:tc>
          <w:tcPr>
            <w:tcW w:w="1134" w:type="dxa"/>
            <w:tcBorders>
              <w:top w:val="nil"/>
              <w:bottom w:val="nil"/>
            </w:tcBorders>
          </w:tcPr>
          <w:p w:rsidR="00000000" w:rsidRDefault="00000000">
            <w:pPr>
              <w:spacing w:line="360" w:lineRule="auto"/>
              <w:ind w:right="113"/>
              <w:jc w:val="right"/>
              <w:rPr>
                <w:sz w:val="16"/>
              </w:rPr>
            </w:pPr>
            <w:r>
              <w:rPr>
                <w:sz w:val="16"/>
              </w:rPr>
              <w:t>69 124</w:t>
            </w:r>
          </w:p>
        </w:tc>
        <w:tc>
          <w:tcPr>
            <w:tcW w:w="709" w:type="dxa"/>
            <w:tcBorders>
              <w:top w:val="nil"/>
              <w:bottom w:val="nil"/>
            </w:tcBorders>
          </w:tcPr>
          <w:p w:rsidR="00000000" w:rsidRDefault="00000000">
            <w:pPr>
              <w:spacing w:line="360" w:lineRule="auto"/>
              <w:ind w:right="113"/>
              <w:jc w:val="right"/>
              <w:rPr>
                <w:sz w:val="16"/>
              </w:rPr>
            </w:pPr>
            <w:r>
              <w:rPr>
                <w:sz w:val="16"/>
              </w:rPr>
              <w:t>0.5</w:t>
            </w:r>
          </w:p>
        </w:tc>
        <w:tc>
          <w:tcPr>
            <w:tcW w:w="992" w:type="dxa"/>
            <w:tcBorders>
              <w:top w:val="nil"/>
              <w:bottom w:val="nil"/>
            </w:tcBorders>
          </w:tcPr>
          <w:p w:rsidR="00000000" w:rsidRDefault="00000000">
            <w:pPr>
              <w:spacing w:line="360" w:lineRule="auto"/>
              <w:ind w:right="113"/>
              <w:jc w:val="right"/>
              <w:rPr>
                <w:sz w:val="16"/>
              </w:rPr>
            </w:pPr>
            <w:r>
              <w:rPr>
                <w:sz w:val="16"/>
              </w:rPr>
              <w:t>56 753</w:t>
            </w:r>
          </w:p>
        </w:tc>
        <w:tc>
          <w:tcPr>
            <w:tcW w:w="851" w:type="dxa"/>
            <w:tcBorders>
              <w:top w:val="nil"/>
              <w:bottom w:val="nil"/>
            </w:tcBorders>
          </w:tcPr>
          <w:p w:rsidR="00000000" w:rsidRDefault="00000000">
            <w:pPr>
              <w:spacing w:line="360" w:lineRule="auto"/>
              <w:ind w:right="113"/>
              <w:jc w:val="right"/>
              <w:rPr>
                <w:sz w:val="16"/>
              </w:rPr>
            </w:pPr>
            <w:r>
              <w:rPr>
                <w:sz w:val="16"/>
              </w:rPr>
              <w:t>0.8</w:t>
            </w:r>
          </w:p>
        </w:tc>
        <w:tc>
          <w:tcPr>
            <w:tcW w:w="1134" w:type="dxa"/>
            <w:tcBorders>
              <w:top w:val="nil"/>
              <w:bottom w:val="nil"/>
            </w:tcBorders>
          </w:tcPr>
          <w:p w:rsidR="00000000" w:rsidRDefault="00000000">
            <w:pPr>
              <w:spacing w:line="360" w:lineRule="auto"/>
              <w:ind w:right="113"/>
              <w:jc w:val="right"/>
              <w:rPr>
                <w:sz w:val="16"/>
              </w:rPr>
            </w:pPr>
            <w:r>
              <w:rPr>
                <w:sz w:val="16"/>
              </w:rPr>
              <w:t>146 829</w:t>
            </w:r>
          </w:p>
        </w:tc>
        <w:tc>
          <w:tcPr>
            <w:tcW w:w="850" w:type="dxa"/>
            <w:tcBorders>
              <w:top w:val="nil"/>
              <w:bottom w:val="nil"/>
            </w:tcBorders>
          </w:tcPr>
          <w:p w:rsidR="00000000" w:rsidRDefault="00000000">
            <w:pPr>
              <w:spacing w:line="360" w:lineRule="auto"/>
              <w:ind w:right="113"/>
              <w:jc w:val="right"/>
              <w:rPr>
                <w:sz w:val="16"/>
              </w:rPr>
            </w:pPr>
            <w:r>
              <w:rPr>
                <w:sz w:val="16"/>
              </w:rPr>
              <w:t>0.5</w:t>
            </w:r>
          </w:p>
        </w:tc>
        <w:tc>
          <w:tcPr>
            <w:tcW w:w="851" w:type="dxa"/>
            <w:tcBorders>
              <w:top w:val="nil"/>
              <w:bottom w:val="nil"/>
            </w:tcBorders>
          </w:tcPr>
          <w:p w:rsidR="00000000" w:rsidRDefault="00000000">
            <w:pPr>
              <w:spacing w:line="360" w:lineRule="auto"/>
              <w:ind w:right="113"/>
              <w:jc w:val="right"/>
              <w:rPr>
                <w:sz w:val="16"/>
              </w:rPr>
            </w:pPr>
            <w:r>
              <w:rPr>
                <w:sz w:val="16"/>
              </w:rPr>
              <w:t>14.3</w:t>
            </w:r>
          </w:p>
        </w:tc>
        <w:tc>
          <w:tcPr>
            <w:tcW w:w="850" w:type="dxa"/>
            <w:tcBorders>
              <w:top w:val="nil"/>
              <w:bottom w:val="nil"/>
            </w:tcBorders>
          </w:tcPr>
          <w:p w:rsidR="00000000" w:rsidRDefault="00000000">
            <w:pPr>
              <w:spacing w:line="360" w:lineRule="auto"/>
              <w:ind w:right="113"/>
              <w:jc w:val="right"/>
              <w:rPr>
                <w:sz w:val="16"/>
              </w:rPr>
            </w:pPr>
            <w:r>
              <w:rPr>
                <w:sz w:val="16"/>
              </w:rPr>
              <w:t>47.1</w:t>
            </w:r>
          </w:p>
        </w:tc>
        <w:tc>
          <w:tcPr>
            <w:tcW w:w="709" w:type="dxa"/>
            <w:tcBorders>
              <w:top w:val="nil"/>
              <w:bottom w:val="nil"/>
            </w:tcBorders>
          </w:tcPr>
          <w:p w:rsidR="00000000" w:rsidRDefault="00000000">
            <w:pPr>
              <w:ind w:right="113"/>
              <w:jc w:val="right"/>
              <w:rPr>
                <w:sz w:val="16"/>
              </w:rPr>
            </w:pPr>
            <w:r>
              <w:rPr>
                <w:sz w:val="16"/>
              </w:rPr>
              <w:t>38.7</w:t>
            </w:r>
          </w:p>
        </w:tc>
      </w:tr>
      <w:tr w:rsidR="00000000">
        <w:tblPrEx>
          <w:tblCellMar>
            <w:top w:w="0" w:type="dxa"/>
            <w:bottom w:w="0" w:type="dxa"/>
          </w:tblCellMar>
        </w:tblPrEx>
        <w:tc>
          <w:tcPr>
            <w:tcW w:w="2977" w:type="dxa"/>
            <w:tcBorders>
              <w:top w:val="nil"/>
              <w:bottom w:val="nil"/>
            </w:tcBorders>
          </w:tcPr>
          <w:p w:rsidR="00000000" w:rsidRDefault="00000000">
            <w:pPr>
              <w:spacing w:line="360" w:lineRule="auto"/>
              <w:rPr>
                <w:sz w:val="16"/>
              </w:rPr>
            </w:pPr>
            <w:r>
              <w:rPr>
                <w:sz w:val="16"/>
              </w:rPr>
              <w:t>Student aid</w:t>
            </w:r>
          </w:p>
        </w:tc>
        <w:tc>
          <w:tcPr>
            <w:tcW w:w="1134" w:type="dxa"/>
            <w:tcBorders>
              <w:top w:val="nil"/>
              <w:bottom w:val="nil"/>
            </w:tcBorders>
          </w:tcPr>
          <w:p w:rsidR="00000000" w:rsidRDefault="00000000">
            <w:pPr>
              <w:spacing w:line="360" w:lineRule="auto"/>
              <w:ind w:right="113"/>
              <w:jc w:val="right"/>
              <w:rPr>
                <w:sz w:val="16"/>
              </w:rPr>
            </w:pPr>
            <w:r>
              <w:rPr>
                <w:sz w:val="16"/>
              </w:rPr>
              <w:t>199 873</w:t>
            </w:r>
          </w:p>
        </w:tc>
        <w:tc>
          <w:tcPr>
            <w:tcW w:w="708" w:type="dxa"/>
            <w:tcBorders>
              <w:top w:val="nil"/>
              <w:bottom w:val="nil"/>
            </w:tcBorders>
          </w:tcPr>
          <w:p w:rsidR="00000000" w:rsidRDefault="00000000">
            <w:pPr>
              <w:spacing w:line="360" w:lineRule="auto"/>
              <w:ind w:right="113"/>
              <w:jc w:val="right"/>
              <w:rPr>
                <w:sz w:val="16"/>
              </w:rPr>
            </w:pPr>
            <w:r>
              <w:rPr>
                <w:sz w:val="16"/>
              </w:rPr>
              <w:t>2.9</w:t>
            </w:r>
          </w:p>
        </w:tc>
        <w:tc>
          <w:tcPr>
            <w:tcW w:w="1134" w:type="dxa"/>
            <w:tcBorders>
              <w:top w:val="nil"/>
              <w:bottom w:val="nil"/>
            </w:tcBorders>
          </w:tcPr>
          <w:p w:rsidR="00000000" w:rsidRDefault="00000000">
            <w:pPr>
              <w:spacing w:line="360" w:lineRule="auto"/>
              <w:ind w:right="113"/>
              <w:jc w:val="right"/>
              <w:rPr>
                <w:sz w:val="16"/>
              </w:rPr>
            </w:pPr>
            <w:r>
              <w:rPr>
                <w:sz w:val="16"/>
              </w:rPr>
              <w:t>250 794</w:t>
            </w:r>
          </w:p>
        </w:tc>
        <w:tc>
          <w:tcPr>
            <w:tcW w:w="709" w:type="dxa"/>
            <w:tcBorders>
              <w:top w:val="nil"/>
              <w:bottom w:val="nil"/>
            </w:tcBorders>
          </w:tcPr>
          <w:p w:rsidR="00000000" w:rsidRDefault="00000000">
            <w:pPr>
              <w:spacing w:line="360" w:lineRule="auto"/>
              <w:ind w:right="113"/>
              <w:jc w:val="right"/>
              <w:rPr>
                <w:sz w:val="16"/>
              </w:rPr>
            </w:pPr>
            <w:r>
              <w:rPr>
                <w:sz w:val="16"/>
              </w:rPr>
              <w:t>1.9</w:t>
            </w:r>
          </w:p>
        </w:tc>
        <w:tc>
          <w:tcPr>
            <w:tcW w:w="992" w:type="dxa"/>
            <w:tcBorders>
              <w:top w:val="nil"/>
              <w:bottom w:val="nil"/>
            </w:tcBorders>
          </w:tcPr>
          <w:p w:rsidR="00000000" w:rsidRDefault="00000000">
            <w:pPr>
              <w:spacing w:line="360" w:lineRule="auto"/>
              <w:ind w:right="113"/>
              <w:jc w:val="right"/>
              <w:rPr>
                <w:sz w:val="16"/>
              </w:rPr>
            </w:pPr>
            <w:r>
              <w:rPr>
                <w:sz w:val="16"/>
              </w:rPr>
              <w:t>188 086</w:t>
            </w:r>
          </w:p>
        </w:tc>
        <w:tc>
          <w:tcPr>
            <w:tcW w:w="851" w:type="dxa"/>
            <w:tcBorders>
              <w:top w:val="nil"/>
              <w:bottom w:val="nil"/>
            </w:tcBorders>
          </w:tcPr>
          <w:p w:rsidR="00000000" w:rsidRDefault="00000000">
            <w:pPr>
              <w:spacing w:line="360" w:lineRule="auto"/>
              <w:ind w:right="113"/>
              <w:jc w:val="right"/>
              <w:rPr>
                <w:sz w:val="16"/>
              </w:rPr>
            </w:pPr>
            <w:r>
              <w:rPr>
                <w:sz w:val="16"/>
              </w:rPr>
              <w:t>2.5</w:t>
            </w:r>
          </w:p>
        </w:tc>
        <w:tc>
          <w:tcPr>
            <w:tcW w:w="1134" w:type="dxa"/>
            <w:tcBorders>
              <w:top w:val="nil"/>
              <w:bottom w:val="nil"/>
            </w:tcBorders>
          </w:tcPr>
          <w:p w:rsidR="00000000" w:rsidRDefault="00000000">
            <w:pPr>
              <w:spacing w:line="360" w:lineRule="auto"/>
              <w:ind w:right="113"/>
              <w:jc w:val="right"/>
              <w:rPr>
                <w:sz w:val="16"/>
              </w:rPr>
            </w:pPr>
            <w:r>
              <w:rPr>
                <w:sz w:val="16"/>
              </w:rPr>
              <w:t>638 753</w:t>
            </w:r>
          </w:p>
        </w:tc>
        <w:tc>
          <w:tcPr>
            <w:tcW w:w="850" w:type="dxa"/>
            <w:tcBorders>
              <w:top w:val="nil"/>
              <w:bottom w:val="nil"/>
            </w:tcBorders>
          </w:tcPr>
          <w:p w:rsidR="00000000" w:rsidRDefault="00000000">
            <w:pPr>
              <w:spacing w:line="360" w:lineRule="auto"/>
              <w:ind w:right="113"/>
              <w:jc w:val="right"/>
              <w:rPr>
                <w:sz w:val="16"/>
              </w:rPr>
            </w:pPr>
            <w:r>
              <w:rPr>
                <w:sz w:val="16"/>
              </w:rPr>
              <w:t>2.3</w:t>
            </w:r>
          </w:p>
        </w:tc>
        <w:tc>
          <w:tcPr>
            <w:tcW w:w="851" w:type="dxa"/>
            <w:tcBorders>
              <w:top w:val="nil"/>
              <w:bottom w:val="nil"/>
            </w:tcBorders>
          </w:tcPr>
          <w:p w:rsidR="00000000" w:rsidRDefault="00000000">
            <w:pPr>
              <w:spacing w:line="360" w:lineRule="auto"/>
              <w:ind w:right="113"/>
              <w:jc w:val="right"/>
              <w:rPr>
                <w:sz w:val="16"/>
              </w:rPr>
            </w:pPr>
            <w:r>
              <w:rPr>
                <w:sz w:val="16"/>
              </w:rPr>
              <w:t>31.3</w:t>
            </w:r>
          </w:p>
        </w:tc>
        <w:tc>
          <w:tcPr>
            <w:tcW w:w="850" w:type="dxa"/>
            <w:tcBorders>
              <w:top w:val="nil"/>
              <w:bottom w:val="nil"/>
            </w:tcBorders>
          </w:tcPr>
          <w:p w:rsidR="00000000" w:rsidRDefault="00000000">
            <w:pPr>
              <w:spacing w:line="360" w:lineRule="auto"/>
              <w:ind w:right="113"/>
              <w:jc w:val="right"/>
              <w:rPr>
                <w:sz w:val="16"/>
              </w:rPr>
            </w:pPr>
            <w:r>
              <w:rPr>
                <w:sz w:val="16"/>
              </w:rPr>
              <w:t>39.3</w:t>
            </w:r>
          </w:p>
        </w:tc>
        <w:tc>
          <w:tcPr>
            <w:tcW w:w="709" w:type="dxa"/>
            <w:tcBorders>
              <w:top w:val="nil"/>
              <w:bottom w:val="nil"/>
            </w:tcBorders>
          </w:tcPr>
          <w:p w:rsidR="00000000" w:rsidRDefault="00000000">
            <w:pPr>
              <w:ind w:right="113"/>
              <w:jc w:val="right"/>
              <w:rPr>
                <w:sz w:val="16"/>
              </w:rPr>
            </w:pPr>
            <w:r>
              <w:rPr>
                <w:sz w:val="16"/>
              </w:rPr>
              <w:t>29.4</w:t>
            </w:r>
          </w:p>
        </w:tc>
      </w:tr>
      <w:tr w:rsidR="00000000">
        <w:tblPrEx>
          <w:tblCellMar>
            <w:top w:w="0" w:type="dxa"/>
            <w:bottom w:w="0" w:type="dxa"/>
          </w:tblCellMar>
        </w:tblPrEx>
        <w:tc>
          <w:tcPr>
            <w:tcW w:w="2977" w:type="dxa"/>
            <w:tcBorders>
              <w:top w:val="nil"/>
              <w:bottom w:val="single" w:sz="4" w:space="0" w:color="auto"/>
            </w:tcBorders>
          </w:tcPr>
          <w:p w:rsidR="00000000" w:rsidRDefault="00000000">
            <w:pPr>
              <w:spacing w:line="360" w:lineRule="auto"/>
              <w:rPr>
                <w:sz w:val="16"/>
              </w:rPr>
            </w:pPr>
            <w:r>
              <w:rPr>
                <w:sz w:val="16"/>
              </w:rPr>
              <w:t>Administrative activities</w:t>
            </w:r>
          </w:p>
        </w:tc>
        <w:tc>
          <w:tcPr>
            <w:tcW w:w="1134" w:type="dxa"/>
            <w:tcBorders>
              <w:top w:val="nil"/>
              <w:bottom w:val="single" w:sz="4" w:space="0" w:color="auto"/>
            </w:tcBorders>
          </w:tcPr>
          <w:p w:rsidR="00000000" w:rsidRDefault="00000000">
            <w:pPr>
              <w:spacing w:line="360" w:lineRule="auto"/>
              <w:ind w:right="113"/>
              <w:jc w:val="right"/>
              <w:rPr>
                <w:sz w:val="16"/>
              </w:rPr>
            </w:pPr>
            <w:r>
              <w:rPr>
                <w:sz w:val="16"/>
              </w:rPr>
              <w:t>703 670</w:t>
            </w:r>
          </w:p>
        </w:tc>
        <w:tc>
          <w:tcPr>
            <w:tcW w:w="708" w:type="dxa"/>
            <w:tcBorders>
              <w:top w:val="nil"/>
              <w:bottom w:val="single" w:sz="4" w:space="0" w:color="auto"/>
            </w:tcBorders>
          </w:tcPr>
          <w:p w:rsidR="00000000" w:rsidRDefault="00000000">
            <w:pPr>
              <w:spacing w:line="360" w:lineRule="auto"/>
              <w:ind w:right="113"/>
              <w:jc w:val="right"/>
              <w:rPr>
                <w:sz w:val="16"/>
              </w:rPr>
            </w:pPr>
            <w:r>
              <w:rPr>
                <w:sz w:val="16"/>
              </w:rPr>
              <w:t>10.4</w:t>
            </w:r>
          </w:p>
        </w:tc>
        <w:tc>
          <w:tcPr>
            <w:tcW w:w="1134" w:type="dxa"/>
            <w:tcBorders>
              <w:top w:val="nil"/>
              <w:bottom w:val="single" w:sz="4" w:space="0" w:color="auto"/>
            </w:tcBorders>
          </w:tcPr>
          <w:p w:rsidR="00000000" w:rsidRDefault="00000000">
            <w:pPr>
              <w:spacing w:line="360" w:lineRule="auto"/>
              <w:ind w:right="113"/>
              <w:jc w:val="right"/>
              <w:rPr>
                <w:sz w:val="16"/>
              </w:rPr>
            </w:pPr>
            <w:r>
              <w:rPr>
                <w:sz w:val="16"/>
              </w:rPr>
              <w:t>4 225 283</w:t>
            </w:r>
          </w:p>
        </w:tc>
        <w:tc>
          <w:tcPr>
            <w:tcW w:w="709" w:type="dxa"/>
            <w:tcBorders>
              <w:top w:val="nil"/>
              <w:bottom w:val="single" w:sz="4" w:space="0" w:color="auto"/>
            </w:tcBorders>
          </w:tcPr>
          <w:p w:rsidR="00000000" w:rsidRDefault="00000000">
            <w:pPr>
              <w:spacing w:line="360" w:lineRule="auto"/>
              <w:ind w:right="113"/>
              <w:jc w:val="right"/>
              <w:rPr>
                <w:sz w:val="16"/>
              </w:rPr>
            </w:pPr>
            <w:r>
              <w:rPr>
                <w:sz w:val="16"/>
              </w:rPr>
              <w:t>32.5</w:t>
            </w:r>
          </w:p>
        </w:tc>
        <w:tc>
          <w:tcPr>
            <w:tcW w:w="992" w:type="dxa"/>
            <w:tcBorders>
              <w:top w:val="nil"/>
              <w:bottom w:val="single" w:sz="4" w:space="0" w:color="auto"/>
            </w:tcBorders>
          </w:tcPr>
          <w:p w:rsidR="00000000" w:rsidRDefault="00000000">
            <w:pPr>
              <w:spacing w:line="360" w:lineRule="auto"/>
              <w:ind w:right="113"/>
              <w:jc w:val="right"/>
              <w:rPr>
                <w:sz w:val="16"/>
              </w:rPr>
            </w:pPr>
            <w:r>
              <w:rPr>
                <w:sz w:val="16"/>
              </w:rPr>
              <w:t>1 331 592</w:t>
            </w:r>
          </w:p>
        </w:tc>
        <w:tc>
          <w:tcPr>
            <w:tcW w:w="851" w:type="dxa"/>
            <w:tcBorders>
              <w:top w:val="nil"/>
              <w:bottom w:val="single" w:sz="4" w:space="0" w:color="auto"/>
            </w:tcBorders>
          </w:tcPr>
          <w:p w:rsidR="00000000" w:rsidRDefault="00000000">
            <w:pPr>
              <w:spacing w:line="360" w:lineRule="auto"/>
              <w:ind w:right="113"/>
              <w:jc w:val="right"/>
              <w:rPr>
                <w:sz w:val="16"/>
              </w:rPr>
            </w:pPr>
            <w:r>
              <w:rPr>
                <w:sz w:val="16"/>
              </w:rPr>
              <w:t>17.9</w:t>
            </w:r>
          </w:p>
        </w:tc>
        <w:tc>
          <w:tcPr>
            <w:tcW w:w="1134" w:type="dxa"/>
            <w:tcBorders>
              <w:top w:val="nil"/>
              <w:bottom w:val="single" w:sz="4" w:space="0" w:color="auto"/>
            </w:tcBorders>
          </w:tcPr>
          <w:p w:rsidR="00000000" w:rsidRDefault="00000000">
            <w:pPr>
              <w:spacing w:line="360" w:lineRule="auto"/>
              <w:ind w:right="113"/>
              <w:jc w:val="right"/>
              <w:rPr>
                <w:sz w:val="16"/>
              </w:rPr>
            </w:pPr>
            <w:r>
              <w:rPr>
                <w:sz w:val="16"/>
              </w:rPr>
              <w:t>6 260 546</w:t>
            </w:r>
          </w:p>
        </w:tc>
        <w:tc>
          <w:tcPr>
            <w:tcW w:w="850" w:type="dxa"/>
            <w:tcBorders>
              <w:top w:val="nil"/>
              <w:bottom w:val="single" w:sz="4" w:space="0" w:color="auto"/>
            </w:tcBorders>
          </w:tcPr>
          <w:p w:rsidR="00000000" w:rsidRDefault="00000000">
            <w:pPr>
              <w:spacing w:line="360" w:lineRule="auto"/>
              <w:ind w:right="113"/>
              <w:jc w:val="right"/>
              <w:rPr>
                <w:sz w:val="16"/>
              </w:rPr>
            </w:pPr>
            <w:r>
              <w:rPr>
                <w:sz w:val="16"/>
              </w:rPr>
              <w:t>23.0</w:t>
            </w:r>
          </w:p>
        </w:tc>
        <w:tc>
          <w:tcPr>
            <w:tcW w:w="851" w:type="dxa"/>
            <w:tcBorders>
              <w:top w:val="nil"/>
              <w:bottom w:val="single" w:sz="4" w:space="0" w:color="auto"/>
            </w:tcBorders>
          </w:tcPr>
          <w:p w:rsidR="00000000" w:rsidRDefault="00000000">
            <w:pPr>
              <w:spacing w:line="360" w:lineRule="auto"/>
              <w:ind w:right="113"/>
              <w:jc w:val="right"/>
              <w:rPr>
                <w:sz w:val="16"/>
              </w:rPr>
            </w:pPr>
            <w:r>
              <w:rPr>
                <w:sz w:val="16"/>
              </w:rPr>
              <w:t>11.2</w:t>
            </w:r>
          </w:p>
        </w:tc>
        <w:tc>
          <w:tcPr>
            <w:tcW w:w="850" w:type="dxa"/>
            <w:tcBorders>
              <w:top w:val="nil"/>
              <w:bottom w:val="single" w:sz="4" w:space="0" w:color="auto"/>
            </w:tcBorders>
          </w:tcPr>
          <w:p w:rsidR="00000000" w:rsidRDefault="00000000">
            <w:pPr>
              <w:spacing w:line="360" w:lineRule="auto"/>
              <w:ind w:right="113"/>
              <w:jc w:val="right"/>
              <w:rPr>
                <w:sz w:val="16"/>
              </w:rPr>
            </w:pPr>
            <w:r>
              <w:rPr>
                <w:sz w:val="16"/>
              </w:rPr>
              <w:t>67.5</w:t>
            </w:r>
          </w:p>
        </w:tc>
        <w:tc>
          <w:tcPr>
            <w:tcW w:w="709" w:type="dxa"/>
            <w:tcBorders>
              <w:top w:val="nil"/>
              <w:bottom w:val="single" w:sz="4" w:space="0" w:color="auto"/>
            </w:tcBorders>
          </w:tcPr>
          <w:p w:rsidR="00000000" w:rsidRDefault="00000000">
            <w:pPr>
              <w:ind w:right="113"/>
              <w:jc w:val="right"/>
              <w:rPr>
                <w:sz w:val="16"/>
              </w:rPr>
            </w:pPr>
            <w:r>
              <w:rPr>
                <w:sz w:val="16"/>
              </w:rPr>
              <w:t>21.3</w:t>
            </w:r>
          </w:p>
        </w:tc>
      </w:tr>
      <w:tr w:rsidR="00000000">
        <w:tblPrEx>
          <w:tblCellMar>
            <w:top w:w="0" w:type="dxa"/>
            <w:bottom w:w="0" w:type="dxa"/>
          </w:tblCellMar>
        </w:tblPrEx>
        <w:trPr>
          <w:trHeight w:val="365"/>
        </w:trPr>
        <w:tc>
          <w:tcPr>
            <w:tcW w:w="2977" w:type="dxa"/>
            <w:tcBorders>
              <w:top w:val="single" w:sz="4" w:space="0" w:color="auto"/>
            </w:tcBorders>
          </w:tcPr>
          <w:p w:rsidR="00000000" w:rsidRDefault="00000000">
            <w:pPr>
              <w:spacing w:line="360" w:lineRule="auto"/>
              <w:rPr>
                <w:sz w:val="16"/>
              </w:rPr>
            </w:pPr>
            <w:r>
              <w:rPr>
                <w:sz w:val="16"/>
              </w:rPr>
              <w:tab/>
              <w:t>Total</w:t>
            </w:r>
          </w:p>
        </w:tc>
        <w:tc>
          <w:tcPr>
            <w:tcW w:w="1134" w:type="dxa"/>
            <w:tcBorders>
              <w:top w:val="single" w:sz="4" w:space="0" w:color="auto"/>
            </w:tcBorders>
          </w:tcPr>
          <w:p w:rsidR="00000000" w:rsidRDefault="00000000">
            <w:pPr>
              <w:spacing w:line="360" w:lineRule="auto"/>
              <w:ind w:right="113"/>
              <w:jc w:val="right"/>
              <w:rPr>
                <w:sz w:val="16"/>
              </w:rPr>
            </w:pPr>
            <w:r>
              <w:rPr>
                <w:sz w:val="16"/>
              </w:rPr>
              <w:t>6 777 587</w:t>
            </w:r>
          </w:p>
        </w:tc>
        <w:tc>
          <w:tcPr>
            <w:tcW w:w="708" w:type="dxa"/>
            <w:tcBorders>
              <w:top w:val="single" w:sz="4" w:space="0" w:color="auto"/>
            </w:tcBorders>
          </w:tcPr>
          <w:p w:rsidR="00000000" w:rsidRDefault="00000000">
            <w:pPr>
              <w:spacing w:line="360" w:lineRule="auto"/>
              <w:ind w:right="113"/>
              <w:rPr>
                <w:sz w:val="16"/>
              </w:rPr>
            </w:pPr>
            <w:r>
              <w:rPr>
                <w:sz w:val="16"/>
              </w:rPr>
              <w:t>100</w:t>
            </w:r>
          </w:p>
        </w:tc>
        <w:tc>
          <w:tcPr>
            <w:tcW w:w="1134" w:type="dxa"/>
            <w:tcBorders>
              <w:top w:val="single" w:sz="4" w:space="0" w:color="auto"/>
            </w:tcBorders>
          </w:tcPr>
          <w:p w:rsidR="00000000" w:rsidRDefault="00000000">
            <w:pPr>
              <w:spacing w:line="360" w:lineRule="auto"/>
              <w:ind w:right="113"/>
              <w:jc w:val="right"/>
              <w:rPr>
                <w:sz w:val="16"/>
              </w:rPr>
            </w:pPr>
            <w:r>
              <w:rPr>
                <w:sz w:val="16"/>
              </w:rPr>
              <w:t>12 981 398</w:t>
            </w:r>
          </w:p>
        </w:tc>
        <w:tc>
          <w:tcPr>
            <w:tcW w:w="709" w:type="dxa"/>
            <w:tcBorders>
              <w:top w:val="single" w:sz="4" w:space="0" w:color="auto"/>
            </w:tcBorders>
          </w:tcPr>
          <w:p w:rsidR="00000000" w:rsidRDefault="00000000">
            <w:pPr>
              <w:spacing w:line="360" w:lineRule="auto"/>
              <w:ind w:right="113"/>
              <w:rPr>
                <w:sz w:val="16"/>
              </w:rPr>
            </w:pPr>
            <w:r>
              <w:rPr>
                <w:sz w:val="16"/>
              </w:rPr>
              <w:t>100</w:t>
            </w:r>
          </w:p>
        </w:tc>
        <w:tc>
          <w:tcPr>
            <w:tcW w:w="992" w:type="dxa"/>
            <w:tcBorders>
              <w:top w:val="single" w:sz="4" w:space="0" w:color="auto"/>
            </w:tcBorders>
          </w:tcPr>
          <w:p w:rsidR="00000000" w:rsidRDefault="00000000">
            <w:pPr>
              <w:spacing w:line="360" w:lineRule="auto"/>
              <w:ind w:right="113"/>
              <w:jc w:val="right"/>
              <w:rPr>
                <w:sz w:val="16"/>
              </w:rPr>
            </w:pPr>
            <w:r>
              <w:rPr>
                <w:sz w:val="16"/>
              </w:rPr>
              <w:t>7 431 554</w:t>
            </w:r>
          </w:p>
        </w:tc>
        <w:tc>
          <w:tcPr>
            <w:tcW w:w="851" w:type="dxa"/>
            <w:tcBorders>
              <w:top w:val="single" w:sz="4" w:space="0" w:color="auto"/>
            </w:tcBorders>
          </w:tcPr>
          <w:p w:rsidR="00000000" w:rsidRDefault="00000000">
            <w:pPr>
              <w:spacing w:line="360" w:lineRule="auto"/>
              <w:ind w:right="227"/>
              <w:jc w:val="right"/>
              <w:rPr>
                <w:sz w:val="16"/>
              </w:rPr>
            </w:pPr>
            <w:r>
              <w:rPr>
                <w:sz w:val="16"/>
              </w:rPr>
              <w:t>100</w:t>
            </w:r>
          </w:p>
        </w:tc>
        <w:tc>
          <w:tcPr>
            <w:tcW w:w="1134" w:type="dxa"/>
            <w:tcBorders>
              <w:top w:val="single" w:sz="4" w:space="0" w:color="auto"/>
            </w:tcBorders>
          </w:tcPr>
          <w:p w:rsidR="00000000" w:rsidRDefault="00000000">
            <w:pPr>
              <w:spacing w:line="360" w:lineRule="auto"/>
              <w:ind w:right="113"/>
              <w:jc w:val="right"/>
              <w:rPr>
                <w:sz w:val="16"/>
              </w:rPr>
            </w:pPr>
            <w:r>
              <w:rPr>
                <w:sz w:val="16"/>
              </w:rPr>
              <w:t>27 190 539</w:t>
            </w:r>
          </w:p>
        </w:tc>
        <w:tc>
          <w:tcPr>
            <w:tcW w:w="850" w:type="dxa"/>
            <w:tcBorders>
              <w:top w:val="single" w:sz="4" w:space="0" w:color="auto"/>
            </w:tcBorders>
          </w:tcPr>
          <w:p w:rsidR="00000000" w:rsidRDefault="00000000">
            <w:pPr>
              <w:spacing w:line="360" w:lineRule="auto"/>
              <w:ind w:right="227"/>
              <w:jc w:val="right"/>
              <w:rPr>
                <w:sz w:val="16"/>
              </w:rPr>
            </w:pPr>
            <w:r>
              <w:rPr>
                <w:sz w:val="16"/>
              </w:rPr>
              <w:t>100</w:t>
            </w:r>
          </w:p>
        </w:tc>
        <w:tc>
          <w:tcPr>
            <w:tcW w:w="851" w:type="dxa"/>
            <w:tcBorders>
              <w:top w:val="single" w:sz="4" w:space="0" w:color="auto"/>
            </w:tcBorders>
          </w:tcPr>
          <w:p w:rsidR="00000000" w:rsidRDefault="00000000">
            <w:pPr>
              <w:spacing w:line="360" w:lineRule="auto"/>
              <w:ind w:right="113"/>
              <w:jc w:val="right"/>
              <w:rPr>
                <w:sz w:val="16"/>
              </w:rPr>
            </w:pPr>
            <w:r>
              <w:rPr>
                <w:sz w:val="16"/>
              </w:rPr>
              <w:t>24.9</w:t>
            </w:r>
          </w:p>
        </w:tc>
        <w:tc>
          <w:tcPr>
            <w:tcW w:w="850" w:type="dxa"/>
            <w:tcBorders>
              <w:top w:val="single" w:sz="4" w:space="0" w:color="auto"/>
            </w:tcBorders>
          </w:tcPr>
          <w:p w:rsidR="00000000" w:rsidRDefault="00000000">
            <w:pPr>
              <w:spacing w:line="360" w:lineRule="auto"/>
              <w:ind w:right="113"/>
              <w:jc w:val="right"/>
              <w:rPr>
                <w:sz w:val="16"/>
              </w:rPr>
            </w:pPr>
            <w:r>
              <w:rPr>
                <w:sz w:val="16"/>
              </w:rPr>
              <w:t>47.7</w:t>
            </w:r>
          </w:p>
        </w:tc>
        <w:tc>
          <w:tcPr>
            <w:tcW w:w="709" w:type="dxa"/>
            <w:tcBorders>
              <w:top w:val="single" w:sz="4" w:space="0" w:color="auto"/>
            </w:tcBorders>
          </w:tcPr>
          <w:p w:rsidR="00000000" w:rsidRDefault="00000000">
            <w:pPr>
              <w:ind w:right="113"/>
              <w:jc w:val="right"/>
              <w:rPr>
                <w:sz w:val="16"/>
              </w:rPr>
            </w:pPr>
            <w:r>
              <w:rPr>
                <w:sz w:val="16"/>
              </w:rPr>
              <w:t>27.3</w:t>
            </w:r>
          </w:p>
        </w:tc>
      </w:tr>
    </w:tbl>
    <w:p w:rsidR="00000000" w:rsidRDefault="00000000"/>
    <w:p w:rsidR="00000000" w:rsidRDefault="00000000">
      <w:r>
        <w:tab/>
      </w:r>
      <w:r>
        <w:rPr>
          <w:u w:val="single"/>
        </w:rPr>
        <w:t>Source</w:t>
      </w:r>
      <w:r>
        <w:t>:  IPEA/DISOC.</w:t>
      </w:r>
    </w:p>
    <w:p w:rsidR="00000000" w:rsidRDefault="00000000"/>
    <w:p w:rsidR="00000000" w:rsidRDefault="00000000">
      <w:pPr>
        <w:tabs>
          <w:tab w:val="left" w:pos="1440"/>
          <w:tab w:val="left" w:pos="2160"/>
          <w:tab w:val="left" w:pos="10733"/>
        </w:tabs>
        <w:rPr>
          <w:sz w:val="20"/>
        </w:rPr>
      </w:pPr>
    </w:p>
    <w:p w:rsidR="00000000" w:rsidRDefault="00000000">
      <w:pPr>
        <w:tabs>
          <w:tab w:val="left" w:pos="1440"/>
          <w:tab w:val="left" w:pos="2160"/>
          <w:tab w:val="left" w:pos="10733"/>
        </w:tabs>
        <w:rPr>
          <w:sz w:val="18"/>
        </w:rPr>
      </w:pPr>
    </w:p>
    <w:p w:rsidR="00000000" w:rsidRDefault="00000000">
      <w:pPr>
        <w:tabs>
          <w:tab w:val="left" w:pos="1440"/>
          <w:tab w:val="left" w:pos="2160"/>
          <w:tab w:val="left" w:pos="10733"/>
        </w:tabs>
        <w:rPr>
          <w:sz w:val="18"/>
        </w:rPr>
        <w:sectPr w:rsidR="00000000">
          <w:headerReference w:type="even" r:id="rId38"/>
          <w:headerReference w:type="default" r:id="rId39"/>
          <w:endnotePr>
            <w:numFmt w:val="decimal"/>
          </w:endnotePr>
          <w:pgSz w:w="16840" w:h="11907" w:orient="landscape" w:code="9"/>
          <w:pgMar w:top="1701" w:right="567" w:bottom="851" w:left="1985" w:header="851" w:footer="1985" w:gutter="0"/>
          <w:cols w:space="720"/>
        </w:sectPr>
      </w:pPr>
    </w:p>
    <w:p w:rsidR="00000000" w:rsidRDefault="00000000">
      <w:pPr>
        <w:pStyle w:val="ParaNo"/>
        <w:tabs>
          <w:tab w:val="clear" w:pos="360"/>
          <w:tab w:val="clear" w:pos="737"/>
        </w:tabs>
        <w:ind w:left="0" w:firstLine="0"/>
        <w:rPr>
          <w:lang w:val="en-GB"/>
        </w:rPr>
      </w:pPr>
      <w:r>
        <w:rPr>
          <w:lang w:val="en-GB"/>
        </w:rPr>
        <w:t xml:space="preserve">The structuring of expenditures is also a good indicator of the sharing of responsibilities in the field of education among the three levels of government.  As shown in the above table, higher education is almost completely the responsibility of the Federal Government, as its expenditures cover 79.3 per cent of the outlays for this subgroup, with the states accounting for only 18.7 per cent.  Almost all these outlays are absorbed by higher education institutions in São Paulo and Rio de Janeiro States.  </w:t>
      </w:r>
    </w:p>
    <w:p w:rsidR="00000000" w:rsidRDefault="00000000"/>
    <w:p w:rsidR="00000000" w:rsidRDefault="00000000">
      <w:pPr>
        <w:pStyle w:val="Heading1"/>
        <w:rPr>
          <w:kern w:val="2"/>
        </w:rPr>
      </w:pPr>
      <w:r>
        <w:rPr>
          <w:kern w:val="2"/>
        </w:rPr>
        <w:t>Chart 12</w:t>
      </w:r>
    </w:p>
    <w:p w:rsidR="00000000" w:rsidRDefault="00000000"/>
    <w:p w:rsidR="00000000" w:rsidRDefault="00000000">
      <w:pPr>
        <w:pStyle w:val="Heading1"/>
        <w:rPr>
          <w:kern w:val="2"/>
        </w:rPr>
      </w:pPr>
      <w:r>
        <w:rPr>
          <w:kern w:val="2"/>
        </w:rPr>
        <w:t>Outlays in the field of education by subgroup and level of government, 1995</w:t>
      </w:r>
    </w:p>
    <w:p w:rsidR="00000000" w:rsidRDefault="00000000"/>
    <w:bookmarkStart w:id="31" w:name="_MON_1036076900"/>
    <w:bookmarkStart w:id="32" w:name="_MON_1044964429"/>
    <w:bookmarkStart w:id="33" w:name="_MON_1585035076"/>
    <w:bookmarkStart w:id="34" w:name="_MON_1068296735"/>
    <w:bookmarkStart w:id="35" w:name="_MON_1076134751"/>
    <w:bookmarkStart w:id="36" w:name="_MON_1076219322"/>
    <w:bookmarkStart w:id="37" w:name="_MON_1076220229"/>
    <w:bookmarkStart w:id="38" w:name="_MON_1076220515"/>
    <w:bookmarkEnd w:id="31"/>
    <w:bookmarkEnd w:id="32"/>
    <w:bookmarkEnd w:id="33"/>
    <w:bookmarkEnd w:id="34"/>
    <w:bookmarkEnd w:id="35"/>
    <w:bookmarkEnd w:id="36"/>
    <w:bookmarkEnd w:id="37"/>
    <w:bookmarkEnd w:id="38"/>
    <w:p w:rsidR="00000000" w:rsidRDefault="00000000">
      <w:pPr>
        <w:pStyle w:val="BodyText3"/>
        <w:spacing w:after="240"/>
        <w:jc w:val="center"/>
        <w:rPr>
          <w:rFonts w:ascii="Verdana" w:hAnsi="Verdana"/>
          <w:spacing w:val="20"/>
          <w:kern w:val="2"/>
          <w:lang w:val="en-GB"/>
        </w:rPr>
      </w:pPr>
      <w:r>
        <w:rPr>
          <w:rFonts w:ascii="Verdana" w:hAnsi="Verdana"/>
          <w:spacing w:val="20"/>
          <w:kern w:val="2"/>
          <w:lang w:val="en-GB"/>
        </w:rPr>
        <w:object w:dxaOrig="8475" w:dyaOrig="5025">
          <v:shape id="_x0000_i1034" type="#_x0000_t75" style="width:397.5pt;height:251.25pt" o:ole="" fillcolor="window">
            <v:imagedata r:id="rId40" o:title=""/>
          </v:shape>
          <o:OLEObject Type="Embed" ProgID="Word.Picture.8" ShapeID="_x0000_i1034" DrawAspect="Content" ObjectID="_1394878300" r:id="rId41"/>
        </w:object>
      </w:r>
    </w:p>
    <w:p w:rsidR="00000000" w:rsidRDefault="00000000">
      <w:pPr>
        <w:jc w:val="both"/>
        <w:rPr>
          <w:kern w:val="2"/>
        </w:rPr>
      </w:pPr>
      <w:r>
        <w:rPr>
          <w:kern w:val="2"/>
        </w:rPr>
        <w:tab/>
      </w:r>
      <w:r>
        <w:rPr>
          <w:kern w:val="2"/>
        </w:rPr>
        <w:tab/>
      </w:r>
      <w:r>
        <w:rPr>
          <w:kern w:val="2"/>
          <w:u w:val="single"/>
        </w:rPr>
        <w:t>Source</w:t>
      </w:r>
      <w:r>
        <w:rPr>
          <w:kern w:val="2"/>
        </w:rPr>
        <w:t>:  IPEA/DISOC.</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kern w:val="2"/>
          <w:lang w:val="en-GB"/>
        </w:rPr>
        <w:t>For the basic education subgroup, the states provide most of the funding (55.5 per cent) while the municipal districts account for 34.3 per cent.  The Federal Government provides only 10.3 per cent, mainly for catch-up courses and cooperation with the other spheres of government, in compliance with Brazilian law.</w:t>
      </w:r>
    </w:p>
    <w:p w:rsidR="00000000" w:rsidRDefault="00000000">
      <w:pPr>
        <w:rPr>
          <w:spacing w:val="20"/>
          <w:kern w:val="2"/>
        </w:rPr>
      </w:pPr>
    </w:p>
    <w:p w:rsidR="00000000" w:rsidRDefault="00000000">
      <w:pPr>
        <w:pStyle w:val="ParaNo"/>
        <w:tabs>
          <w:tab w:val="clear" w:pos="360"/>
          <w:tab w:val="clear" w:pos="737"/>
        </w:tabs>
        <w:ind w:left="0" w:firstLine="0"/>
        <w:rPr>
          <w:kern w:val="2"/>
          <w:lang w:val="en-GB"/>
        </w:rPr>
      </w:pPr>
      <w:r>
        <w:rPr>
          <w:kern w:val="2"/>
          <w:lang w:val="en-GB"/>
        </w:rPr>
        <w:t>These same legal provisions are valid for the high school subgroup, although in this case the Federal Government funds a group of technical schools and agricultural colleges,</w:t>
      </w:r>
      <w:r>
        <w:rPr>
          <w:rStyle w:val="EndnoteReference"/>
          <w:spacing w:val="20"/>
          <w:kern w:val="2"/>
          <w:lang w:val="en-GB"/>
        </w:rPr>
        <w:endnoteReference w:id="30"/>
      </w:r>
      <w:r>
        <w:rPr>
          <w:kern w:val="2"/>
          <w:lang w:val="en-GB"/>
        </w:rPr>
        <w:t xml:space="preserve"> bringing its share of the outlays up to 29.3 per cent.  The states account for some 49.1 per cent of all outlays in this subgroup, while the municipal districts provide only 21.6 per cent, with most of these expenditures funded by municipal districts in Minas Gerais State.</w:t>
      </w:r>
    </w:p>
    <w:p w:rsidR="00000000" w:rsidRDefault="00000000">
      <w:pPr>
        <w:rPr>
          <w:kern w:val="2"/>
        </w:rPr>
      </w:pPr>
    </w:p>
    <w:p w:rsidR="00000000" w:rsidRDefault="00000000">
      <w:pPr>
        <w:pStyle w:val="ParaNo"/>
        <w:tabs>
          <w:tab w:val="clear" w:pos="360"/>
          <w:tab w:val="clear" w:pos="737"/>
        </w:tabs>
        <w:rPr>
          <w:kern w:val="2"/>
          <w:lang w:val="en-GB"/>
        </w:rPr>
      </w:pPr>
      <w:r>
        <w:rPr>
          <w:kern w:val="2"/>
          <w:lang w:val="en-GB"/>
        </w:rPr>
        <w:br w:type="page"/>
        <w:t>In compliance with the responsibilities established by the 1998 Constitution and reaffirmed in the new Guidelines and Bases Act (LDB) which assigns the responsibility for early childhood education to the municipal districts, Chart 12 shows that the education for children aged 0-6 years (early childhood education) subgroup was underwritten by the municipal districts at the level of 94.3 per cent, with only 4.9 per cent provided by other levels of government.</w:t>
      </w:r>
    </w:p>
    <w:p w:rsidR="00000000" w:rsidRDefault="00000000">
      <w:pPr>
        <w:rPr>
          <w:kern w:val="2"/>
        </w:rPr>
      </w:pPr>
    </w:p>
    <w:p w:rsidR="00000000" w:rsidRDefault="00000000">
      <w:pPr>
        <w:pStyle w:val="ParaNo"/>
        <w:tabs>
          <w:tab w:val="clear" w:pos="360"/>
          <w:tab w:val="clear" w:pos="737"/>
        </w:tabs>
        <w:rPr>
          <w:kern w:val="2"/>
          <w:lang w:val="en-GB"/>
        </w:rPr>
      </w:pPr>
      <w:r>
        <w:rPr>
          <w:lang w:val="en-GB"/>
        </w:rPr>
        <w:t xml:space="preserve">In its guidelines, the Committee on Economic, Social and Cultural Rights questions whether vulnerable groups, in </w:t>
      </w:r>
      <w:r>
        <w:rPr>
          <w:kern w:val="2"/>
          <w:lang w:val="en-GB"/>
        </w:rPr>
        <w:t>educational</w:t>
      </w:r>
      <w:r>
        <w:rPr>
          <w:lang w:val="en-GB"/>
        </w:rPr>
        <w:t xml:space="preserve"> terms, exist.  The answer is definitely in the affirmative.  Six cross-cutting population groups are given in </w:t>
      </w:r>
      <w:r>
        <w:rPr>
          <w:kern w:val="2"/>
          <w:lang w:val="en-GB"/>
        </w:rPr>
        <w:t>the table below (race, gender, urban/rural, migrant, poor and region of residence) which were studied according to three educational indicators:  net school attendance aged 7-14 years, the percentage of children aged 10-14 years lagging more than one year behind the proper grade for their age, and the average number of years’ schooling for the population aged 15-25 years.</w:t>
      </w:r>
    </w:p>
    <w:p w:rsidR="00000000" w:rsidRDefault="00000000">
      <w:pPr>
        <w:rPr>
          <w:kern w:val="2"/>
        </w:rPr>
      </w:pPr>
    </w:p>
    <w:p w:rsidR="00000000" w:rsidRDefault="00000000">
      <w:pPr>
        <w:pStyle w:val="Heading1"/>
        <w:rPr>
          <w:kern w:val="2"/>
        </w:rPr>
      </w:pPr>
      <w:r>
        <w:rPr>
          <w:kern w:val="2"/>
        </w:rPr>
        <w:t>Table 90</w:t>
      </w:r>
    </w:p>
    <w:p w:rsidR="00000000" w:rsidRDefault="00000000"/>
    <w:p w:rsidR="00000000" w:rsidRDefault="00000000">
      <w:pPr>
        <w:pStyle w:val="Heading1"/>
        <w:rPr>
          <w:kern w:val="2"/>
        </w:rPr>
      </w:pPr>
      <w:r>
        <w:rPr>
          <w:kern w:val="2"/>
        </w:rPr>
        <w:t>Educational vulnerability, by six population divisions</w:t>
      </w:r>
    </w:p>
    <w:p w:rsidR="00000000" w:rsidRDefault="00000000">
      <w:pPr>
        <w:pStyle w:val="Heading1"/>
        <w:rPr>
          <w:kern w:val="2"/>
        </w:rPr>
      </w:pPr>
      <w:r>
        <w:rPr>
          <w:kern w:val="2"/>
        </w:rPr>
        <w:t>and three educational indicators (%)</w:t>
      </w:r>
    </w:p>
    <w:p w:rsidR="00000000" w:rsidRDefault="00000000"/>
    <w:tbl>
      <w:tblPr>
        <w:tblW w:w="0" w:type="auto"/>
        <w:tblInd w:w="30" w:type="dxa"/>
        <w:tblLayout w:type="fixed"/>
        <w:tblCellMar>
          <w:left w:w="30" w:type="dxa"/>
          <w:right w:w="30" w:type="dxa"/>
        </w:tblCellMar>
        <w:tblLook w:val="0000" w:firstRow="0" w:lastRow="0" w:firstColumn="0" w:lastColumn="0" w:noHBand="0" w:noVBand="0"/>
      </w:tblPr>
      <w:tblGrid>
        <w:gridCol w:w="2977"/>
        <w:gridCol w:w="992"/>
        <w:gridCol w:w="850"/>
        <w:gridCol w:w="1276"/>
        <w:gridCol w:w="1134"/>
        <w:gridCol w:w="1134"/>
        <w:gridCol w:w="993"/>
      </w:tblGrid>
      <w:tr w:rsidR="00000000">
        <w:tblPrEx>
          <w:tblCellMar>
            <w:top w:w="0" w:type="dxa"/>
            <w:bottom w:w="0" w:type="dxa"/>
          </w:tblCellMar>
        </w:tblPrEx>
        <w:trPr>
          <w:cantSplit/>
          <w:trHeight w:val="725"/>
        </w:trPr>
        <w:tc>
          <w:tcPr>
            <w:tcW w:w="2977" w:type="dxa"/>
            <w:vMerge w:val="restart"/>
            <w:tcBorders>
              <w:top w:val="single" w:sz="4" w:space="0" w:color="auto"/>
              <w:left w:val="single" w:sz="4" w:space="0" w:color="auto"/>
              <w:bottom w:val="single" w:sz="4" w:space="0" w:color="auto"/>
              <w:right w:val="single" w:sz="4" w:space="0" w:color="auto"/>
            </w:tcBorders>
          </w:tcPr>
          <w:p w:rsidR="00000000" w:rsidRDefault="00000000">
            <w:pPr>
              <w:ind w:left="57"/>
              <w:jc w:val="center"/>
              <w:rPr>
                <w:kern w:val="2"/>
                <w:sz w:val="20"/>
              </w:rPr>
            </w:pPr>
          </w:p>
        </w:tc>
        <w:tc>
          <w:tcPr>
            <w:tcW w:w="1842"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kern w:val="2"/>
                <w:sz w:val="20"/>
              </w:rPr>
            </w:pPr>
            <w:r>
              <w:rPr>
                <w:kern w:val="2"/>
                <w:sz w:val="20"/>
              </w:rPr>
              <w:t>Net schooling</w:t>
            </w:r>
          </w:p>
          <w:p w:rsidR="00000000" w:rsidRDefault="00000000">
            <w:pPr>
              <w:jc w:val="center"/>
              <w:rPr>
                <w:kern w:val="2"/>
                <w:sz w:val="20"/>
              </w:rPr>
            </w:pPr>
            <w:r>
              <w:rPr>
                <w:kern w:val="2"/>
                <w:sz w:val="20"/>
              </w:rPr>
              <w:t>aged 7-14 years</w:t>
            </w:r>
          </w:p>
        </w:tc>
        <w:tc>
          <w:tcPr>
            <w:tcW w:w="2410"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kern w:val="2"/>
                <w:sz w:val="20"/>
              </w:rPr>
            </w:pPr>
            <w:r>
              <w:rPr>
                <w:kern w:val="2"/>
                <w:sz w:val="20"/>
              </w:rPr>
              <w:t>Children lagging more than one year behind their proper grade, aged 10-14 years</w:t>
            </w:r>
          </w:p>
        </w:tc>
        <w:tc>
          <w:tcPr>
            <w:tcW w:w="2127"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kern w:val="2"/>
                <w:sz w:val="20"/>
              </w:rPr>
            </w:pPr>
            <w:r>
              <w:rPr>
                <w:kern w:val="2"/>
                <w:sz w:val="20"/>
              </w:rPr>
              <w:t>Average number of years schooling, aged 15</w:t>
            </w:r>
            <w:r>
              <w:rPr>
                <w:kern w:val="2"/>
                <w:sz w:val="20"/>
              </w:rPr>
              <w:noBreakHyphen/>
              <w:t>25 years</w:t>
            </w:r>
          </w:p>
        </w:tc>
      </w:tr>
      <w:tr w:rsidR="00000000">
        <w:tblPrEx>
          <w:tblCellMar>
            <w:top w:w="0" w:type="dxa"/>
            <w:bottom w:w="0" w:type="dxa"/>
          </w:tblCellMar>
        </w:tblPrEx>
        <w:trPr>
          <w:cantSplit/>
          <w:trHeight w:val="250"/>
        </w:trPr>
        <w:tc>
          <w:tcPr>
            <w:tcW w:w="2977" w:type="dxa"/>
            <w:vMerge/>
            <w:tcBorders>
              <w:top w:val="single" w:sz="4" w:space="0" w:color="auto"/>
              <w:left w:val="single" w:sz="4" w:space="0" w:color="auto"/>
              <w:bottom w:val="single" w:sz="4" w:space="0" w:color="auto"/>
              <w:right w:val="single" w:sz="4" w:space="0" w:color="auto"/>
            </w:tcBorders>
          </w:tcPr>
          <w:p w:rsidR="00000000" w:rsidRDefault="00000000">
            <w:pPr>
              <w:ind w:left="57"/>
              <w:jc w:val="center"/>
              <w:rPr>
                <w:kern w:val="2"/>
                <w:sz w:val="20"/>
              </w:rPr>
            </w:pPr>
          </w:p>
        </w:tc>
        <w:tc>
          <w:tcPr>
            <w:tcW w:w="992" w:type="dxa"/>
            <w:tcBorders>
              <w:top w:val="single" w:sz="4" w:space="0" w:color="auto"/>
              <w:left w:val="single" w:sz="4" w:space="0" w:color="auto"/>
              <w:bottom w:val="single" w:sz="4" w:space="0" w:color="auto"/>
              <w:right w:val="single" w:sz="4" w:space="0" w:color="auto"/>
            </w:tcBorders>
          </w:tcPr>
          <w:p w:rsidR="00000000" w:rsidRDefault="00000000">
            <w:pPr>
              <w:jc w:val="center"/>
              <w:rPr>
                <w:kern w:val="2"/>
                <w:sz w:val="20"/>
              </w:rPr>
            </w:pPr>
            <w:r>
              <w:rPr>
                <w:kern w:val="2"/>
                <w:sz w:val="20"/>
              </w:rPr>
              <w:t>Proportion</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center"/>
              <w:rPr>
                <w:kern w:val="2"/>
                <w:sz w:val="20"/>
              </w:rPr>
            </w:pPr>
            <w:r>
              <w:rPr>
                <w:kern w:val="2"/>
                <w:sz w:val="20"/>
              </w:rPr>
              <w:t>Standard deviation</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jc w:val="center"/>
              <w:rPr>
                <w:kern w:val="2"/>
                <w:sz w:val="20"/>
              </w:rPr>
            </w:pPr>
            <w:r>
              <w:rPr>
                <w:kern w:val="2"/>
                <w:sz w:val="20"/>
              </w:rPr>
              <w:t>Proportion</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kern w:val="2"/>
                <w:sz w:val="20"/>
              </w:rPr>
            </w:pPr>
            <w:r>
              <w:rPr>
                <w:kern w:val="2"/>
                <w:sz w:val="20"/>
              </w:rPr>
              <w:t>Standard deviation</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kern w:val="2"/>
                <w:sz w:val="20"/>
              </w:rPr>
            </w:pPr>
            <w:r>
              <w:rPr>
                <w:kern w:val="2"/>
                <w:sz w:val="20"/>
              </w:rPr>
              <w:t>Mean</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jc w:val="center"/>
              <w:rPr>
                <w:kern w:val="2"/>
                <w:sz w:val="20"/>
              </w:rPr>
            </w:pPr>
            <w:r>
              <w:rPr>
                <w:kern w:val="2"/>
                <w:sz w:val="20"/>
              </w:rPr>
              <w:t>Standard deviation</w:t>
            </w:r>
          </w:p>
        </w:tc>
      </w:tr>
      <w:tr w:rsidR="00000000">
        <w:tblPrEx>
          <w:tblCellMar>
            <w:top w:w="0" w:type="dxa"/>
            <w:bottom w:w="0" w:type="dxa"/>
          </w:tblCellMar>
        </w:tblPrEx>
        <w:trPr>
          <w:cantSplit/>
          <w:trHeight w:val="214"/>
        </w:trPr>
        <w:tc>
          <w:tcPr>
            <w:tcW w:w="2977" w:type="dxa"/>
            <w:tcBorders>
              <w:top w:val="single" w:sz="4" w:space="0" w:color="auto"/>
              <w:left w:val="single" w:sz="4" w:space="0" w:color="auto"/>
              <w:right w:val="single" w:sz="4" w:space="0" w:color="auto"/>
            </w:tcBorders>
          </w:tcPr>
          <w:p w:rsidR="00000000" w:rsidRDefault="00000000">
            <w:pPr>
              <w:spacing w:before="12" w:after="12"/>
              <w:ind w:left="57"/>
              <w:rPr>
                <w:kern w:val="2"/>
                <w:sz w:val="20"/>
              </w:rPr>
            </w:pPr>
            <w:r>
              <w:rPr>
                <w:kern w:val="2"/>
                <w:sz w:val="20"/>
              </w:rPr>
              <w:t>Overall</w:t>
            </w:r>
          </w:p>
        </w:tc>
        <w:tc>
          <w:tcPr>
            <w:tcW w:w="992" w:type="dxa"/>
            <w:tcBorders>
              <w:top w:val="single" w:sz="4" w:space="0" w:color="auto"/>
              <w:left w:val="single" w:sz="4" w:space="0" w:color="auto"/>
              <w:right w:val="single" w:sz="4" w:space="0" w:color="auto"/>
            </w:tcBorders>
          </w:tcPr>
          <w:p w:rsidR="00000000" w:rsidRDefault="00000000">
            <w:pPr>
              <w:ind w:right="284"/>
              <w:jc w:val="right"/>
              <w:rPr>
                <w:kern w:val="2"/>
                <w:sz w:val="20"/>
              </w:rPr>
            </w:pPr>
            <w:r>
              <w:rPr>
                <w:kern w:val="2"/>
                <w:sz w:val="20"/>
              </w:rPr>
              <w:t>93.0</w:t>
            </w:r>
          </w:p>
        </w:tc>
        <w:tc>
          <w:tcPr>
            <w:tcW w:w="850" w:type="dxa"/>
            <w:tcBorders>
              <w:top w:val="single" w:sz="4" w:space="0" w:color="auto"/>
              <w:left w:val="single" w:sz="4" w:space="0" w:color="auto"/>
              <w:right w:val="single" w:sz="4" w:space="0" w:color="auto"/>
            </w:tcBorders>
          </w:tcPr>
          <w:p w:rsidR="00000000" w:rsidRDefault="00000000">
            <w:pPr>
              <w:ind w:right="284"/>
              <w:jc w:val="right"/>
              <w:rPr>
                <w:kern w:val="2"/>
                <w:sz w:val="20"/>
              </w:rPr>
            </w:pPr>
            <w:r>
              <w:rPr>
                <w:kern w:val="2"/>
                <w:sz w:val="20"/>
              </w:rPr>
              <w:t>0.1</w:t>
            </w:r>
          </w:p>
        </w:tc>
        <w:tc>
          <w:tcPr>
            <w:tcW w:w="1276" w:type="dxa"/>
            <w:tcBorders>
              <w:top w:val="single" w:sz="4" w:space="0" w:color="auto"/>
              <w:left w:val="single" w:sz="4" w:space="0" w:color="auto"/>
              <w:right w:val="single" w:sz="4" w:space="0" w:color="auto"/>
            </w:tcBorders>
          </w:tcPr>
          <w:p w:rsidR="00000000" w:rsidRDefault="00000000">
            <w:pPr>
              <w:ind w:right="395"/>
              <w:jc w:val="right"/>
              <w:rPr>
                <w:kern w:val="2"/>
                <w:sz w:val="20"/>
              </w:rPr>
            </w:pPr>
            <w:r>
              <w:rPr>
                <w:kern w:val="2"/>
                <w:sz w:val="20"/>
              </w:rPr>
              <w:t>29.8</w:t>
            </w:r>
          </w:p>
        </w:tc>
        <w:tc>
          <w:tcPr>
            <w:tcW w:w="1134" w:type="dxa"/>
            <w:tcBorders>
              <w:top w:val="single" w:sz="4" w:space="0" w:color="auto"/>
              <w:left w:val="single" w:sz="4" w:space="0" w:color="auto"/>
              <w:right w:val="single" w:sz="4" w:space="0" w:color="auto"/>
            </w:tcBorders>
          </w:tcPr>
          <w:p w:rsidR="00000000" w:rsidRDefault="00000000">
            <w:pPr>
              <w:ind w:right="397"/>
              <w:jc w:val="right"/>
              <w:rPr>
                <w:kern w:val="2"/>
                <w:sz w:val="20"/>
              </w:rPr>
            </w:pPr>
            <w:r>
              <w:rPr>
                <w:kern w:val="2"/>
                <w:sz w:val="20"/>
              </w:rPr>
              <w:t>0.2</w:t>
            </w:r>
          </w:p>
        </w:tc>
        <w:tc>
          <w:tcPr>
            <w:tcW w:w="1134" w:type="dxa"/>
            <w:tcBorders>
              <w:top w:val="single" w:sz="4" w:space="0" w:color="auto"/>
              <w:left w:val="single" w:sz="4" w:space="0" w:color="auto"/>
              <w:right w:val="single" w:sz="4" w:space="0" w:color="auto"/>
            </w:tcBorders>
          </w:tcPr>
          <w:p w:rsidR="00000000" w:rsidRDefault="00000000">
            <w:pPr>
              <w:ind w:right="397"/>
              <w:jc w:val="right"/>
              <w:rPr>
                <w:kern w:val="2"/>
                <w:sz w:val="20"/>
              </w:rPr>
            </w:pPr>
            <w:r>
              <w:rPr>
                <w:kern w:val="2"/>
                <w:sz w:val="20"/>
              </w:rPr>
              <w:t>6.77</w:t>
            </w:r>
          </w:p>
        </w:tc>
        <w:tc>
          <w:tcPr>
            <w:tcW w:w="993" w:type="dxa"/>
            <w:tcBorders>
              <w:top w:val="single" w:sz="4" w:space="0" w:color="auto"/>
              <w:left w:val="single" w:sz="4" w:space="0" w:color="auto"/>
              <w:right w:val="single" w:sz="4" w:space="0" w:color="auto"/>
            </w:tcBorders>
          </w:tcPr>
          <w:p w:rsidR="00000000" w:rsidRDefault="00000000">
            <w:pPr>
              <w:ind w:right="284"/>
              <w:jc w:val="right"/>
              <w:rPr>
                <w:kern w:val="2"/>
                <w:sz w:val="20"/>
              </w:rPr>
            </w:pPr>
            <w:r>
              <w:rPr>
                <w:kern w:val="2"/>
                <w:sz w:val="20"/>
              </w:rPr>
              <w:t>0.01</w:t>
            </w:r>
          </w:p>
        </w:tc>
      </w:tr>
      <w:tr w:rsidR="00000000">
        <w:tblPrEx>
          <w:tblCellMar>
            <w:top w:w="0" w:type="dxa"/>
            <w:bottom w:w="0" w:type="dxa"/>
          </w:tblCellMar>
        </w:tblPrEx>
        <w:trPr>
          <w:cantSplit/>
          <w:trHeight w:val="250"/>
        </w:trPr>
        <w:tc>
          <w:tcPr>
            <w:tcW w:w="2977" w:type="dxa"/>
            <w:tcBorders>
              <w:left w:val="single" w:sz="4" w:space="0" w:color="auto"/>
              <w:right w:val="single" w:sz="4" w:space="0" w:color="auto"/>
            </w:tcBorders>
          </w:tcPr>
          <w:p w:rsidR="00000000" w:rsidRDefault="00000000">
            <w:pPr>
              <w:spacing w:before="12" w:after="12"/>
              <w:ind w:left="57"/>
              <w:rPr>
                <w:kern w:val="2"/>
                <w:sz w:val="20"/>
              </w:rPr>
            </w:pPr>
            <w:r>
              <w:rPr>
                <w:kern w:val="2"/>
                <w:sz w:val="20"/>
              </w:rPr>
              <w:t>Indigenous</w:t>
            </w:r>
          </w:p>
        </w:tc>
        <w:tc>
          <w:tcPr>
            <w:tcW w:w="992" w:type="dxa"/>
            <w:tcBorders>
              <w:left w:val="single" w:sz="4" w:space="0" w:color="auto"/>
              <w:right w:val="single" w:sz="4" w:space="0" w:color="auto"/>
            </w:tcBorders>
          </w:tcPr>
          <w:p w:rsidR="00000000" w:rsidRDefault="00000000">
            <w:pPr>
              <w:ind w:right="284"/>
              <w:jc w:val="right"/>
              <w:rPr>
                <w:kern w:val="2"/>
                <w:sz w:val="20"/>
              </w:rPr>
            </w:pPr>
            <w:r>
              <w:rPr>
                <w:kern w:val="2"/>
                <w:sz w:val="20"/>
              </w:rPr>
              <w:t>85.0</w:t>
            </w:r>
          </w:p>
        </w:tc>
        <w:tc>
          <w:tcPr>
            <w:tcW w:w="850" w:type="dxa"/>
            <w:tcBorders>
              <w:left w:val="single" w:sz="4" w:space="0" w:color="auto"/>
              <w:right w:val="single" w:sz="4" w:space="0" w:color="auto"/>
            </w:tcBorders>
          </w:tcPr>
          <w:p w:rsidR="00000000" w:rsidRDefault="00000000">
            <w:pPr>
              <w:ind w:right="284"/>
              <w:jc w:val="right"/>
              <w:rPr>
                <w:kern w:val="2"/>
                <w:sz w:val="20"/>
              </w:rPr>
            </w:pPr>
            <w:r>
              <w:rPr>
                <w:kern w:val="2"/>
                <w:sz w:val="20"/>
              </w:rPr>
              <w:t>3.5</w:t>
            </w:r>
          </w:p>
        </w:tc>
        <w:tc>
          <w:tcPr>
            <w:tcW w:w="1276" w:type="dxa"/>
            <w:tcBorders>
              <w:left w:val="single" w:sz="4" w:space="0" w:color="auto"/>
              <w:right w:val="single" w:sz="4" w:space="0" w:color="auto"/>
            </w:tcBorders>
          </w:tcPr>
          <w:p w:rsidR="00000000" w:rsidRDefault="00000000">
            <w:pPr>
              <w:ind w:right="395"/>
              <w:jc w:val="right"/>
              <w:rPr>
                <w:kern w:val="2"/>
                <w:sz w:val="20"/>
              </w:rPr>
            </w:pPr>
            <w:r>
              <w:rPr>
                <w:kern w:val="2"/>
                <w:sz w:val="20"/>
              </w:rPr>
              <w:t>52.9</w:t>
            </w:r>
          </w:p>
        </w:tc>
        <w:tc>
          <w:tcPr>
            <w:tcW w:w="1134" w:type="dxa"/>
            <w:tcBorders>
              <w:left w:val="single" w:sz="4" w:space="0" w:color="auto"/>
              <w:right w:val="single" w:sz="4" w:space="0" w:color="auto"/>
            </w:tcBorders>
          </w:tcPr>
          <w:p w:rsidR="00000000" w:rsidRDefault="00000000">
            <w:pPr>
              <w:ind w:right="397"/>
              <w:jc w:val="right"/>
              <w:rPr>
                <w:kern w:val="2"/>
                <w:sz w:val="20"/>
              </w:rPr>
            </w:pPr>
            <w:r>
              <w:rPr>
                <w:kern w:val="2"/>
                <w:sz w:val="20"/>
              </w:rPr>
              <w:t>6.1</w:t>
            </w:r>
          </w:p>
        </w:tc>
        <w:tc>
          <w:tcPr>
            <w:tcW w:w="1134" w:type="dxa"/>
            <w:tcBorders>
              <w:left w:val="single" w:sz="4" w:space="0" w:color="auto"/>
              <w:right w:val="single" w:sz="4" w:space="0" w:color="auto"/>
            </w:tcBorders>
          </w:tcPr>
          <w:p w:rsidR="00000000" w:rsidRDefault="00000000">
            <w:pPr>
              <w:ind w:right="397"/>
              <w:jc w:val="right"/>
              <w:rPr>
                <w:kern w:val="2"/>
                <w:sz w:val="20"/>
              </w:rPr>
            </w:pPr>
            <w:r>
              <w:rPr>
                <w:kern w:val="2"/>
                <w:sz w:val="20"/>
              </w:rPr>
              <w:t>4.14</w:t>
            </w:r>
          </w:p>
        </w:tc>
        <w:tc>
          <w:tcPr>
            <w:tcW w:w="993" w:type="dxa"/>
            <w:tcBorders>
              <w:left w:val="single" w:sz="4" w:space="0" w:color="auto"/>
              <w:right w:val="single" w:sz="4" w:space="0" w:color="auto"/>
            </w:tcBorders>
          </w:tcPr>
          <w:p w:rsidR="00000000" w:rsidRDefault="00000000">
            <w:pPr>
              <w:ind w:right="284"/>
              <w:jc w:val="right"/>
              <w:rPr>
                <w:kern w:val="2"/>
                <w:sz w:val="20"/>
              </w:rPr>
            </w:pPr>
            <w:r>
              <w:rPr>
                <w:kern w:val="2"/>
                <w:sz w:val="20"/>
              </w:rPr>
              <w:t>0.19</w:t>
            </w:r>
          </w:p>
        </w:tc>
      </w:tr>
      <w:tr w:rsidR="00000000">
        <w:tblPrEx>
          <w:tblCellMar>
            <w:top w:w="0" w:type="dxa"/>
            <w:bottom w:w="0" w:type="dxa"/>
          </w:tblCellMar>
        </w:tblPrEx>
        <w:trPr>
          <w:cantSplit/>
          <w:trHeight w:val="250"/>
        </w:trPr>
        <w:tc>
          <w:tcPr>
            <w:tcW w:w="2977" w:type="dxa"/>
            <w:tcBorders>
              <w:left w:val="single" w:sz="4" w:space="0" w:color="auto"/>
              <w:right w:val="single" w:sz="4" w:space="0" w:color="auto"/>
            </w:tcBorders>
          </w:tcPr>
          <w:p w:rsidR="00000000" w:rsidRDefault="00000000">
            <w:pPr>
              <w:spacing w:before="12" w:after="12"/>
              <w:ind w:left="57"/>
              <w:rPr>
                <w:kern w:val="2"/>
                <w:sz w:val="20"/>
              </w:rPr>
            </w:pPr>
            <w:r>
              <w:rPr>
                <w:kern w:val="2"/>
                <w:sz w:val="20"/>
              </w:rPr>
              <w:t>White</w:t>
            </w:r>
          </w:p>
        </w:tc>
        <w:tc>
          <w:tcPr>
            <w:tcW w:w="992" w:type="dxa"/>
            <w:tcBorders>
              <w:left w:val="single" w:sz="4" w:space="0" w:color="auto"/>
              <w:right w:val="single" w:sz="4" w:space="0" w:color="auto"/>
            </w:tcBorders>
          </w:tcPr>
          <w:p w:rsidR="00000000" w:rsidRDefault="00000000">
            <w:pPr>
              <w:ind w:right="284"/>
              <w:jc w:val="right"/>
              <w:rPr>
                <w:kern w:val="2"/>
                <w:sz w:val="20"/>
              </w:rPr>
            </w:pPr>
            <w:r>
              <w:rPr>
                <w:kern w:val="2"/>
                <w:sz w:val="20"/>
              </w:rPr>
              <w:t>95.5</w:t>
            </w:r>
          </w:p>
        </w:tc>
        <w:tc>
          <w:tcPr>
            <w:tcW w:w="850" w:type="dxa"/>
            <w:tcBorders>
              <w:left w:val="single" w:sz="4" w:space="0" w:color="auto"/>
              <w:right w:val="single" w:sz="4" w:space="0" w:color="auto"/>
            </w:tcBorders>
          </w:tcPr>
          <w:p w:rsidR="00000000" w:rsidRDefault="00000000">
            <w:pPr>
              <w:ind w:right="284"/>
              <w:jc w:val="right"/>
              <w:rPr>
                <w:kern w:val="2"/>
                <w:sz w:val="20"/>
              </w:rPr>
            </w:pPr>
            <w:r>
              <w:rPr>
                <w:kern w:val="2"/>
                <w:sz w:val="20"/>
              </w:rPr>
              <w:t>0.1</w:t>
            </w:r>
          </w:p>
        </w:tc>
        <w:tc>
          <w:tcPr>
            <w:tcW w:w="1276" w:type="dxa"/>
            <w:tcBorders>
              <w:left w:val="single" w:sz="4" w:space="0" w:color="auto"/>
              <w:right w:val="single" w:sz="4" w:space="0" w:color="auto"/>
            </w:tcBorders>
          </w:tcPr>
          <w:p w:rsidR="00000000" w:rsidRDefault="00000000">
            <w:pPr>
              <w:ind w:right="395"/>
              <w:jc w:val="right"/>
              <w:rPr>
                <w:kern w:val="2"/>
                <w:sz w:val="20"/>
              </w:rPr>
            </w:pPr>
            <w:r>
              <w:rPr>
                <w:kern w:val="2"/>
                <w:sz w:val="20"/>
              </w:rPr>
              <w:t>16.8</w:t>
            </w:r>
          </w:p>
        </w:tc>
        <w:tc>
          <w:tcPr>
            <w:tcW w:w="1134" w:type="dxa"/>
            <w:tcBorders>
              <w:left w:val="single" w:sz="4" w:space="0" w:color="auto"/>
              <w:right w:val="single" w:sz="4" w:space="0" w:color="auto"/>
            </w:tcBorders>
          </w:tcPr>
          <w:p w:rsidR="00000000" w:rsidRDefault="00000000">
            <w:pPr>
              <w:ind w:right="397"/>
              <w:jc w:val="right"/>
              <w:rPr>
                <w:kern w:val="2"/>
                <w:sz w:val="20"/>
              </w:rPr>
            </w:pPr>
            <w:r>
              <w:rPr>
                <w:kern w:val="2"/>
                <w:sz w:val="20"/>
              </w:rPr>
              <w:t>0.3</w:t>
            </w:r>
          </w:p>
        </w:tc>
        <w:tc>
          <w:tcPr>
            <w:tcW w:w="1134" w:type="dxa"/>
            <w:tcBorders>
              <w:left w:val="single" w:sz="4" w:space="0" w:color="auto"/>
              <w:right w:val="single" w:sz="4" w:space="0" w:color="auto"/>
            </w:tcBorders>
          </w:tcPr>
          <w:p w:rsidR="00000000" w:rsidRDefault="00000000">
            <w:pPr>
              <w:ind w:right="397"/>
              <w:jc w:val="right"/>
              <w:rPr>
                <w:kern w:val="2"/>
                <w:sz w:val="20"/>
              </w:rPr>
            </w:pPr>
            <w:r>
              <w:rPr>
                <w:kern w:val="2"/>
                <w:sz w:val="20"/>
              </w:rPr>
              <w:t>7.82</w:t>
            </w:r>
          </w:p>
        </w:tc>
        <w:tc>
          <w:tcPr>
            <w:tcW w:w="993" w:type="dxa"/>
            <w:tcBorders>
              <w:left w:val="single" w:sz="4" w:space="0" w:color="auto"/>
              <w:right w:val="single" w:sz="4" w:space="0" w:color="auto"/>
            </w:tcBorders>
          </w:tcPr>
          <w:p w:rsidR="00000000" w:rsidRDefault="00000000">
            <w:pPr>
              <w:ind w:right="284"/>
              <w:jc w:val="right"/>
              <w:rPr>
                <w:kern w:val="2"/>
                <w:sz w:val="20"/>
              </w:rPr>
            </w:pPr>
            <w:r>
              <w:rPr>
                <w:kern w:val="2"/>
                <w:sz w:val="20"/>
              </w:rPr>
              <w:t>0.01</w:t>
            </w:r>
          </w:p>
        </w:tc>
      </w:tr>
      <w:tr w:rsidR="00000000">
        <w:tblPrEx>
          <w:tblCellMar>
            <w:top w:w="0" w:type="dxa"/>
            <w:bottom w:w="0" w:type="dxa"/>
          </w:tblCellMar>
        </w:tblPrEx>
        <w:trPr>
          <w:cantSplit/>
          <w:trHeight w:val="250"/>
        </w:trPr>
        <w:tc>
          <w:tcPr>
            <w:tcW w:w="2977" w:type="dxa"/>
            <w:tcBorders>
              <w:left w:val="single" w:sz="4" w:space="0" w:color="auto"/>
              <w:right w:val="single" w:sz="4" w:space="0" w:color="auto"/>
            </w:tcBorders>
          </w:tcPr>
          <w:p w:rsidR="00000000" w:rsidRDefault="00000000">
            <w:pPr>
              <w:spacing w:before="12" w:after="12"/>
              <w:ind w:left="57"/>
              <w:rPr>
                <w:kern w:val="2"/>
                <w:sz w:val="20"/>
              </w:rPr>
            </w:pPr>
            <w:r>
              <w:rPr>
                <w:kern w:val="2"/>
                <w:sz w:val="20"/>
              </w:rPr>
              <w:t>Black</w:t>
            </w:r>
          </w:p>
        </w:tc>
        <w:tc>
          <w:tcPr>
            <w:tcW w:w="992" w:type="dxa"/>
            <w:tcBorders>
              <w:left w:val="single" w:sz="4" w:space="0" w:color="auto"/>
              <w:right w:val="single" w:sz="4" w:space="0" w:color="auto"/>
            </w:tcBorders>
          </w:tcPr>
          <w:p w:rsidR="00000000" w:rsidRDefault="00000000">
            <w:pPr>
              <w:ind w:right="284"/>
              <w:jc w:val="right"/>
              <w:rPr>
                <w:kern w:val="2"/>
                <w:sz w:val="20"/>
              </w:rPr>
            </w:pPr>
            <w:r>
              <w:rPr>
                <w:kern w:val="2"/>
                <w:sz w:val="20"/>
              </w:rPr>
              <w:t>90.0</w:t>
            </w:r>
          </w:p>
        </w:tc>
        <w:tc>
          <w:tcPr>
            <w:tcW w:w="850" w:type="dxa"/>
            <w:tcBorders>
              <w:left w:val="single" w:sz="4" w:space="0" w:color="auto"/>
              <w:right w:val="single" w:sz="4" w:space="0" w:color="auto"/>
            </w:tcBorders>
          </w:tcPr>
          <w:p w:rsidR="00000000" w:rsidRDefault="00000000">
            <w:pPr>
              <w:ind w:right="284"/>
              <w:jc w:val="right"/>
              <w:rPr>
                <w:kern w:val="2"/>
                <w:sz w:val="20"/>
              </w:rPr>
            </w:pPr>
            <w:r>
              <w:rPr>
                <w:kern w:val="2"/>
                <w:sz w:val="20"/>
              </w:rPr>
              <w:t>0.6</w:t>
            </w:r>
          </w:p>
        </w:tc>
        <w:tc>
          <w:tcPr>
            <w:tcW w:w="1276" w:type="dxa"/>
            <w:tcBorders>
              <w:left w:val="single" w:sz="4" w:space="0" w:color="auto"/>
              <w:right w:val="single" w:sz="4" w:space="0" w:color="auto"/>
            </w:tcBorders>
          </w:tcPr>
          <w:p w:rsidR="00000000" w:rsidRDefault="00000000">
            <w:pPr>
              <w:ind w:right="395"/>
              <w:jc w:val="right"/>
              <w:rPr>
                <w:kern w:val="2"/>
                <w:sz w:val="20"/>
              </w:rPr>
            </w:pPr>
            <w:r>
              <w:rPr>
                <w:kern w:val="2"/>
                <w:sz w:val="20"/>
              </w:rPr>
              <w:t>39.5</w:t>
            </w:r>
          </w:p>
        </w:tc>
        <w:tc>
          <w:tcPr>
            <w:tcW w:w="1134" w:type="dxa"/>
            <w:tcBorders>
              <w:left w:val="single" w:sz="4" w:space="0" w:color="auto"/>
              <w:right w:val="single" w:sz="4" w:space="0" w:color="auto"/>
            </w:tcBorders>
          </w:tcPr>
          <w:p w:rsidR="00000000" w:rsidRDefault="00000000">
            <w:pPr>
              <w:ind w:right="397"/>
              <w:jc w:val="right"/>
              <w:rPr>
                <w:kern w:val="2"/>
                <w:sz w:val="20"/>
              </w:rPr>
            </w:pPr>
            <w:r>
              <w:rPr>
                <w:kern w:val="2"/>
                <w:sz w:val="20"/>
              </w:rPr>
              <w:t>1.1</w:t>
            </w:r>
          </w:p>
        </w:tc>
        <w:tc>
          <w:tcPr>
            <w:tcW w:w="1134" w:type="dxa"/>
            <w:tcBorders>
              <w:left w:val="single" w:sz="4" w:space="0" w:color="auto"/>
              <w:right w:val="single" w:sz="4" w:space="0" w:color="auto"/>
            </w:tcBorders>
          </w:tcPr>
          <w:p w:rsidR="00000000" w:rsidRDefault="00000000">
            <w:pPr>
              <w:ind w:right="397"/>
              <w:jc w:val="right"/>
              <w:rPr>
                <w:kern w:val="2"/>
                <w:sz w:val="20"/>
              </w:rPr>
            </w:pPr>
            <w:r>
              <w:rPr>
                <w:kern w:val="2"/>
                <w:sz w:val="20"/>
              </w:rPr>
              <w:t>5.64</w:t>
            </w:r>
          </w:p>
        </w:tc>
        <w:tc>
          <w:tcPr>
            <w:tcW w:w="993" w:type="dxa"/>
            <w:tcBorders>
              <w:left w:val="single" w:sz="4" w:space="0" w:color="auto"/>
              <w:right w:val="single" w:sz="4" w:space="0" w:color="auto"/>
            </w:tcBorders>
          </w:tcPr>
          <w:p w:rsidR="00000000" w:rsidRDefault="00000000">
            <w:pPr>
              <w:ind w:right="284"/>
              <w:jc w:val="right"/>
              <w:rPr>
                <w:kern w:val="2"/>
                <w:sz w:val="20"/>
              </w:rPr>
            </w:pPr>
            <w:r>
              <w:rPr>
                <w:kern w:val="2"/>
                <w:sz w:val="20"/>
              </w:rPr>
              <w:t>0.04</w:t>
            </w:r>
          </w:p>
        </w:tc>
      </w:tr>
      <w:tr w:rsidR="00000000">
        <w:tblPrEx>
          <w:tblCellMar>
            <w:top w:w="0" w:type="dxa"/>
            <w:bottom w:w="0" w:type="dxa"/>
          </w:tblCellMar>
        </w:tblPrEx>
        <w:trPr>
          <w:cantSplit/>
          <w:trHeight w:val="250"/>
        </w:trPr>
        <w:tc>
          <w:tcPr>
            <w:tcW w:w="2977" w:type="dxa"/>
            <w:tcBorders>
              <w:left w:val="single" w:sz="4" w:space="0" w:color="auto"/>
              <w:right w:val="single" w:sz="4" w:space="0" w:color="auto"/>
            </w:tcBorders>
          </w:tcPr>
          <w:p w:rsidR="00000000" w:rsidRDefault="00000000">
            <w:pPr>
              <w:spacing w:before="12" w:after="12"/>
              <w:ind w:left="57"/>
              <w:rPr>
                <w:kern w:val="2"/>
                <w:sz w:val="20"/>
              </w:rPr>
            </w:pPr>
            <w:r>
              <w:rPr>
                <w:kern w:val="2"/>
                <w:sz w:val="20"/>
              </w:rPr>
              <w:t>Yellow</w:t>
            </w:r>
          </w:p>
        </w:tc>
        <w:tc>
          <w:tcPr>
            <w:tcW w:w="992" w:type="dxa"/>
            <w:tcBorders>
              <w:left w:val="single" w:sz="4" w:space="0" w:color="auto"/>
              <w:right w:val="single" w:sz="4" w:space="0" w:color="auto"/>
            </w:tcBorders>
          </w:tcPr>
          <w:p w:rsidR="00000000" w:rsidRDefault="00000000">
            <w:pPr>
              <w:ind w:right="284"/>
              <w:jc w:val="right"/>
              <w:rPr>
                <w:kern w:val="2"/>
                <w:sz w:val="20"/>
              </w:rPr>
            </w:pPr>
            <w:r>
              <w:rPr>
                <w:kern w:val="2"/>
                <w:sz w:val="20"/>
              </w:rPr>
              <w:t>99.4</w:t>
            </w:r>
          </w:p>
        </w:tc>
        <w:tc>
          <w:tcPr>
            <w:tcW w:w="850" w:type="dxa"/>
            <w:tcBorders>
              <w:left w:val="single" w:sz="4" w:space="0" w:color="auto"/>
              <w:right w:val="single" w:sz="4" w:space="0" w:color="auto"/>
            </w:tcBorders>
          </w:tcPr>
          <w:p w:rsidR="00000000" w:rsidRDefault="00000000">
            <w:pPr>
              <w:ind w:right="284"/>
              <w:jc w:val="right"/>
              <w:rPr>
                <w:kern w:val="2"/>
                <w:sz w:val="20"/>
              </w:rPr>
            </w:pPr>
            <w:r>
              <w:rPr>
                <w:kern w:val="2"/>
                <w:sz w:val="20"/>
              </w:rPr>
              <w:t>0.6</w:t>
            </w:r>
          </w:p>
        </w:tc>
        <w:tc>
          <w:tcPr>
            <w:tcW w:w="1276" w:type="dxa"/>
            <w:tcBorders>
              <w:left w:val="single" w:sz="4" w:space="0" w:color="auto"/>
              <w:right w:val="single" w:sz="4" w:space="0" w:color="auto"/>
            </w:tcBorders>
          </w:tcPr>
          <w:p w:rsidR="00000000" w:rsidRDefault="00000000">
            <w:pPr>
              <w:ind w:right="395"/>
              <w:jc w:val="right"/>
              <w:rPr>
                <w:kern w:val="2"/>
                <w:sz w:val="20"/>
              </w:rPr>
            </w:pPr>
            <w:r>
              <w:rPr>
                <w:kern w:val="2"/>
                <w:sz w:val="20"/>
              </w:rPr>
              <w:t>10.6</w:t>
            </w:r>
          </w:p>
        </w:tc>
        <w:tc>
          <w:tcPr>
            <w:tcW w:w="1134" w:type="dxa"/>
            <w:tcBorders>
              <w:left w:val="single" w:sz="4" w:space="0" w:color="auto"/>
              <w:right w:val="single" w:sz="4" w:space="0" w:color="auto"/>
            </w:tcBorders>
          </w:tcPr>
          <w:p w:rsidR="00000000" w:rsidRDefault="00000000">
            <w:pPr>
              <w:ind w:right="397"/>
              <w:jc w:val="right"/>
              <w:rPr>
                <w:kern w:val="2"/>
                <w:sz w:val="20"/>
              </w:rPr>
            </w:pPr>
            <w:r>
              <w:rPr>
                <w:kern w:val="2"/>
                <w:sz w:val="20"/>
              </w:rPr>
              <w:t>3.1</w:t>
            </w:r>
          </w:p>
        </w:tc>
        <w:tc>
          <w:tcPr>
            <w:tcW w:w="1134" w:type="dxa"/>
            <w:tcBorders>
              <w:left w:val="single" w:sz="4" w:space="0" w:color="auto"/>
              <w:right w:val="single" w:sz="4" w:space="0" w:color="auto"/>
            </w:tcBorders>
          </w:tcPr>
          <w:p w:rsidR="00000000" w:rsidRDefault="00000000">
            <w:pPr>
              <w:ind w:right="397"/>
              <w:jc w:val="right"/>
              <w:rPr>
                <w:kern w:val="2"/>
                <w:sz w:val="20"/>
              </w:rPr>
            </w:pPr>
            <w:r>
              <w:rPr>
                <w:kern w:val="2"/>
                <w:sz w:val="20"/>
              </w:rPr>
              <w:t>10.75</w:t>
            </w:r>
          </w:p>
        </w:tc>
        <w:tc>
          <w:tcPr>
            <w:tcW w:w="993" w:type="dxa"/>
            <w:tcBorders>
              <w:left w:val="single" w:sz="4" w:space="0" w:color="auto"/>
              <w:right w:val="single" w:sz="4" w:space="0" w:color="auto"/>
            </w:tcBorders>
          </w:tcPr>
          <w:p w:rsidR="00000000" w:rsidRDefault="00000000">
            <w:pPr>
              <w:ind w:right="284"/>
              <w:jc w:val="right"/>
              <w:rPr>
                <w:kern w:val="2"/>
                <w:sz w:val="20"/>
              </w:rPr>
            </w:pPr>
            <w:r>
              <w:rPr>
                <w:kern w:val="2"/>
                <w:sz w:val="20"/>
              </w:rPr>
              <w:t>0.25</w:t>
            </w:r>
          </w:p>
        </w:tc>
      </w:tr>
      <w:tr w:rsidR="00000000">
        <w:tblPrEx>
          <w:tblCellMar>
            <w:top w:w="0" w:type="dxa"/>
            <w:bottom w:w="0" w:type="dxa"/>
          </w:tblCellMar>
        </w:tblPrEx>
        <w:trPr>
          <w:cantSplit/>
          <w:trHeight w:val="250"/>
        </w:trPr>
        <w:tc>
          <w:tcPr>
            <w:tcW w:w="2977" w:type="dxa"/>
            <w:tcBorders>
              <w:left w:val="single" w:sz="4" w:space="0" w:color="auto"/>
              <w:right w:val="single" w:sz="4" w:space="0" w:color="auto"/>
            </w:tcBorders>
          </w:tcPr>
          <w:p w:rsidR="00000000" w:rsidRDefault="00000000">
            <w:pPr>
              <w:spacing w:before="12" w:after="12"/>
              <w:ind w:left="57"/>
              <w:rPr>
                <w:kern w:val="2"/>
                <w:sz w:val="20"/>
              </w:rPr>
            </w:pPr>
            <w:r>
              <w:rPr>
                <w:kern w:val="2"/>
                <w:sz w:val="20"/>
              </w:rPr>
              <w:t>Brown</w:t>
            </w:r>
          </w:p>
        </w:tc>
        <w:tc>
          <w:tcPr>
            <w:tcW w:w="992" w:type="dxa"/>
            <w:tcBorders>
              <w:left w:val="single" w:sz="4" w:space="0" w:color="auto"/>
              <w:right w:val="single" w:sz="4" w:space="0" w:color="auto"/>
            </w:tcBorders>
          </w:tcPr>
          <w:p w:rsidR="00000000" w:rsidRDefault="00000000">
            <w:pPr>
              <w:ind w:right="284"/>
              <w:jc w:val="right"/>
              <w:rPr>
                <w:kern w:val="2"/>
                <w:sz w:val="20"/>
              </w:rPr>
            </w:pPr>
            <w:r>
              <w:rPr>
                <w:kern w:val="2"/>
                <w:sz w:val="20"/>
              </w:rPr>
              <w:t>90.7</w:t>
            </w:r>
          </w:p>
        </w:tc>
        <w:tc>
          <w:tcPr>
            <w:tcW w:w="850" w:type="dxa"/>
            <w:tcBorders>
              <w:left w:val="single" w:sz="4" w:space="0" w:color="auto"/>
              <w:right w:val="single" w:sz="4" w:space="0" w:color="auto"/>
            </w:tcBorders>
          </w:tcPr>
          <w:p w:rsidR="00000000" w:rsidRDefault="00000000">
            <w:pPr>
              <w:ind w:right="284"/>
              <w:jc w:val="right"/>
              <w:rPr>
                <w:kern w:val="2"/>
                <w:sz w:val="20"/>
              </w:rPr>
            </w:pPr>
            <w:r>
              <w:rPr>
                <w:kern w:val="2"/>
                <w:sz w:val="20"/>
              </w:rPr>
              <w:t>0.2</w:t>
            </w:r>
          </w:p>
        </w:tc>
        <w:tc>
          <w:tcPr>
            <w:tcW w:w="1276" w:type="dxa"/>
            <w:tcBorders>
              <w:left w:val="single" w:sz="4" w:space="0" w:color="auto"/>
              <w:right w:val="single" w:sz="4" w:space="0" w:color="auto"/>
            </w:tcBorders>
          </w:tcPr>
          <w:p w:rsidR="00000000" w:rsidRDefault="00000000">
            <w:pPr>
              <w:ind w:right="395"/>
              <w:jc w:val="right"/>
              <w:rPr>
                <w:kern w:val="2"/>
                <w:sz w:val="20"/>
              </w:rPr>
            </w:pPr>
            <w:r>
              <w:rPr>
                <w:kern w:val="2"/>
                <w:sz w:val="20"/>
              </w:rPr>
              <w:t>42.7</w:t>
            </w:r>
          </w:p>
        </w:tc>
        <w:tc>
          <w:tcPr>
            <w:tcW w:w="1134" w:type="dxa"/>
            <w:tcBorders>
              <w:left w:val="single" w:sz="4" w:space="0" w:color="auto"/>
              <w:right w:val="single" w:sz="4" w:space="0" w:color="auto"/>
            </w:tcBorders>
          </w:tcPr>
          <w:p w:rsidR="00000000" w:rsidRDefault="00000000">
            <w:pPr>
              <w:ind w:right="397"/>
              <w:jc w:val="right"/>
              <w:rPr>
                <w:kern w:val="2"/>
                <w:sz w:val="20"/>
              </w:rPr>
            </w:pPr>
            <w:r>
              <w:rPr>
                <w:kern w:val="2"/>
                <w:sz w:val="20"/>
              </w:rPr>
              <w:t>0.4</w:t>
            </w:r>
          </w:p>
        </w:tc>
        <w:tc>
          <w:tcPr>
            <w:tcW w:w="1134" w:type="dxa"/>
            <w:tcBorders>
              <w:left w:val="single" w:sz="4" w:space="0" w:color="auto"/>
              <w:right w:val="single" w:sz="4" w:space="0" w:color="auto"/>
            </w:tcBorders>
          </w:tcPr>
          <w:p w:rsidR="00000000" w:rsidRDefault="00000000">
            <w:pPr>
              <w:ind w:right="397"/>
              <w:jc w:val="right"/>
              <w:rPr>
                <w:kern w:val="2"/>
                <w:sz w:val="20"/>
              </w:rPr>
            </w:pPr>
            <w:r>
              <w:rPr>
                <w:kern w:val="2"/>
                <w:sz w:val="20"/>
              </w:rPr>
              <w:t>5.62</w:t>
            </w:r>
          </w:p>
        </w:tc>
        <w:tc>
          <w:tcPr>
            <w:tcW w:w="993" w:type="dxa"/>
            <w:tcBorders>
              <w:left w:val="single" w:sz="4" w:space="0" w:color="auto"/>
              <w:right w:val="single" w:sz="4" w:space="0" w:color="auto"/>
            </w:tcBorders>
          </w:tcPr>
          <w:p w:rsidR="00000000" w:rsidRDefault="00000000">
            <w:pPr>
              <w:ind w:right="284"/>
              <w:jc w:val="right"/>
              <w:rPr>
                <w:kern w:val="2"/>
                <w:sz w:val="20"/>
              </w:rPr>
            </w:pPr>
            <w:r>
              <w:rPr>
                <w:kern w:val="2"/>
                <w:sz w:val="20"/>
              </w:rPr>
              <w:t>0.01</w:t>
            </w:r>
          </w:p>
        </w:tc>
      </w:tr>
      <w:tr w:rsidR="00000000">
        <w:tblPrEx>
          <w:tblCellMar>
            <w:top w:w="0" w:type="dxa"/>
            <w:bottom w:w="0" w:type="dxa"/>
          </w:tblCellMar>
        </w:tblPrEx>
        <w:trPr>
          <w:cantSplit/>
          <w:trHeight w:val="250"/>
        </w:trPr>
        <w:tc>
          <w:tcPr>
            <w:tcW w:w="2977" w:type="dxa"/>
            <w:tcBorders>
              <w:left w:val="single" w:sz="4" w:space="0" w:color="auto"/>
              <w:right w:val="single" w:sz="4" w:space="0" w:color="auto"/>
            </w:tcBorders>
          </w:tcPr>
          <w:p w:rsidR="00000000" w:rsidRDefault="00000000">
            <w:pPr>
              <w:spacing w:before="12" w:after="12"/>
              <w:ind w:left="57"/>
              <w:rPr>
                <w:kern w:val="2"/>
                <w:sz w:val="20"/>
              </w:rPr>
            </w:pPr>
            <w:r>
              <w:rPr>
                <w:kern w:val="2"/>
                <w:sz w:val="20"/>
              </w:rPr>
              <w:t>Boys</w:t>
            </w:r>
          </w:p>
        </w:tc>
        <w:tc>
          <w:tcPr>
            <w:tcW w:w="992" w:type="dxa"/>
            <w:tcBorders>
              <w:left w:val="single" w:sz="4" w:space="0" w:color="auto"/>
              <w:right w:val="single" w:sz="4" w:space="0" w:color="auto"/>
            </w:tcBorders>
          </w:tcPr>
          <w:p w:rsidR="00000000" w:rsidRDefault="00000000">
            <w:pPr>
              <w:ind w:right="284"/>
              <w:jc w:val="right"/>
              <w:rPr>
                <w:kern w:val="2"/>
                <w:sz w:val="20"/>
              </w:rPr>
            </w:pPr>
            <w:r>
              <w:rPr>
                <w:kern w:val="2"/>
                <w:sz w:val="20"/>
              </w:rPr>
              <w:t>92.5</w:t>
            </w:r>
          </w:p>
        </w:tc>
        <w:tc>
          <w:tcPr>
            <w:tcW w:w="850" w:type="dxa"/>
            <w:tcBorders>
              <w:left w:val="single" w:sz="4" w:space="0" w:color="auto"/>
              <w:right w:val="single" w:sz="4" w:space="0" w:color="auto"/>
            </w:tcBorders>
          </w:tcPr>
          <w:p w:rsidR="00000000" w:rsidRDefault="00000000">
            <w:pPr>
              <w:ind w:right="284"/>
              <w:jc w:val="right"/>
              <w:rPr>
                <w:kern w:val="2"/>
                <w:sz w:val="20"/>
              </w:rPr>
            </w:pPr>
            <w:r>
              <w:rPr>
                <w:kern w:val="2"/>
                <w:sz w:val="20"/>
              </w:rPr>
              <w:t>0.2</w:t>
            </w:r>
          </w:p>
        </w:tc>
        <w:tc>
          <w:tcPr>
            <w:tcW w:w="1276" w:type="dxa"/>
            <w:tcBorders>
              <w:left w:val="single" w:sz="4" w:space="0" w:color="auto"/>
              <w:right w:val="single" w:sz="4" w:space="0" w:color="auto"/>
            </w:tcBorders>
          </w:tcPr>
          <w:p w:rsidR="00000000" w:rsidRDefault="00000000">
            <w:pPr>
              <w:ind w:right="395"/>
              <w:jc w:val="right"/>
              <w:rPr>
                <w:kern w:val="2"/>
                <w:sz w:val="20"/>
              </w:rPr>
            </w:pPr>
            <w:r>
              <w:rPr>
                <w:kern w:val="2"/>
                <w:sz w:val="20"/>
              </w:rPr>
              <w:t>34.0</w:t>
            </w:r>
          </w:p>
        </w:tc>
        <w:tc>
          <w:tcPr>
            <w:tcW w:w="1134" w:type="dxa"/>
            <w:tcBorders>
              <w:left w:val="single" w:sz="4" w:space="0" w:color="auto"/>
              <w:right w:val="single" w:sz="4" w:space="0" w:color="auto"/>
            </w:tcBorders>
          </w:tcPr>
          <w:p w:rsidR="00000000" w:rsidRDefault="00000000">
            <w:pPr>
              <w:ind w:right="397"/>
              <w:jc w:val="right"/>
              <w:rPr>
                <w:kern w:val="2"/>
                <w:sz w:val="20"/>
              </w:rPr>
            </w:pPr>
            <w:r>
              <w:rPr>
                <w:kern w:val="2"/>
                <w:sz w:val="20"/>
              </w:rPr>
              <w:t>0.3</w:t>
            </w:r>
          </w:p>
        </w:tc>
        <w:tc>
          <w:tcPr>
            <w:tcW w:w="1134" w:type="dxa"/>
            <w:tcBorders>
              <w:left w:val="single" w:sz="4" w:space="0" w:color="auto"/>
              <w:right w:val="single" w:sz="4" w:space="0" w:color="auto"/>
            </w:tcBorders>
          </w:tcPr>
          <w:p w:rsidR="00000000" w:rsidRDefault="00000000">
            <w:pPr>
              <w:ind w:right="397"/>
              <w:jc w:val="right"/>
              <w:rPr>
                <w:kern w:val="2"/>
                <w:sz w:val="20"/>
              </w:rPr>
            </w:pPr>
            <w:r>
              <w:rPr>
                <w:kern w:val="2"/>
                <w:sz w:val="20"/>
              </w:rPr>
              <w:t>6.34</w:t>
            </w:r>
          </w:p>
        </w:tc>
        <w:tc>
          <w:tcPr>
            <w:tcW w:w="993" w:type="dxa"/>
            <w:tcBorders>
              <w:left w:val="single" w:sz="4" w:space="0" w:color="auto"/>
              <w:right w:val="single" w:sz="4" w:space="0" w:color="auto"/>
            </w:tcBorders>
          </w:tcPr>
          <w:p w:rsidR="00000000" w:rsidRDefault="00000000">
            <w:pPr>
              <w:ind w:right="284"/>
              <w:jc w:val="right"/>
              <w:rPr>
                <w:kern w:val="2"/>
                <w:sz w:val="20"/>
              </w:rPr>
            </w:pPr>
            <w:r>
              <w:rPr>
                <w:kern w:val="2"/>
                <w:sz w:val="20"/>
              </w:rPr>
              <w:t>0.01</w:t>
            </w:r>
          </w:p>
        </w:tc>
      </w:tr>
      <w:tr w:rsidR="00000000">
        <w:tblPrEx>
          <w:tblCellMar>
            <w:top w:w="0" w:type="dxa"/>
            <w:bottom w:w="0" w:type="dxa"/>
          </w:tblCellMar>
        </w:tblPrEx>
        <w:trPr>
          <w:cantSplit/>
          <w:trHeight w:val="250"/>
        </w:trPr>
        <w:tc>
          <w:tcPr>
            <w:tcW w:w="2977" w:type="dxa"/>
            <w:tcBorders>
              <w:left w:val="single" w:sz="4" w:space="0" w:color="auto"/>
              <w:right w:val="single" w:sz="4" w:space="0" w:color="auto"/>
            </w:tcBorders>
          </w:tcPr>
          <w:p w:rsidR="00000000" w:rsidRDefault="00000000">
            <w:pPr>
              <w:spacing w:before="12" w:after="12"/>
              <w:ind w:left="57"/>
              <w:rPr>
                <w:kern w:val="2"/>
                <w:sz w:val="20"/>
              </w:rPr>
            </w:pPr>
            <w:r>
              <w:rPr>
                <w:kern w:val="2"/>
                <w:sz w:val="20"/>
              </w:rPr>
              <w:t>Girls</w:t>
            </w:r>
          </w:p>
        </w:tc>
        <w:tc>
          <w:tcPr>
            <w:tcW w:w="992" w:type="dxa"/>
            <w:tcBorders>
              <w:left w:val="single" w:sz="4" w:space="0" w:color="auto"/>
              <w:right w:val="single" w:sz="4" w:space="0" w:color="auto"/>
            </w:tcBorders>
          </w:tcPr>
          <w:p w:rsidR="00000000" w:rsidRDefault="00000000">
            <w:pPr>
              <w:ind w:right="284"/>
              <w:jc w:val="right"/>
              <w:rPr>
                <w:kern w:val="2"/>
                <w:sz w:val="20"/>
              </w:rPr>
            </w:pPr>
            <w:r>
              <w:rPr>
                <w:kern w:val="2"/>
                <w:sz w:val="20"/>
              </w:rPr>
              <w:t>93.6</w:t>
            </w:r>
          </w:p>
        </w:tc>
        <w:tc>
          <w:tcPr>
            <w:tcW w:w="850" w:type="dxa"/>
            <w:tcBorders>
              <w:left w:val="single" w:sz="4" w:space="0" w:color="auto"/>
              <w:right w:val="single" w:sz="4" w:space="0" w:color="auto"/>
            </w:tcBorders>
          </w:tcPr>
          <w:p w:rsidR="00000000" w:rsidRDefault="00000000">
            <w:pPr>
              <w:ind w:right="284"/>
              <w:jc w:val="right"/>
              <w:rPr>
                <w:kern w:val="2"/>
                <w:sz w:val="20"/>
              </w:rPr>
            </w:pPr>
            <w:r>
              <w:rPr>
                <w:kern w:val="2"/>
                <w:sz w:val="20"/>
              </w:rPr>
              <w:t>0.1</w:t>
            </w:r>
          </w:p>
        </w:tc>
        <w:tc>
          <w:tcPr>
            <w:tcW w:w="1276" w:type="dxa"/>
            <w:tcBorders>
              <w:left w:val="single" w:sz="4" w:space="0" w:color="auto"/>
              <w:right w:val="single" w:sz="4" w:space="0" w:color="auto"/>
            </w:tcBorders>
          </w:tcPr>
          <w:p w:rsidR="00000000" w:rsidRDefault="00000000">
            <w:pPr>
              <w:ind w:right="395"/>
              <w:jc w:val="right"/>
              <w:rPr>
                <w:kern w:val="2"/>
                <w:sz w:val="20"/>
              </w:rPr>
            </w:pPr>
            <w:r>
              <w:rPr>
                <w:kern w:val="2"/>
                <w:sz w:val="20"/>
              </w:rPr>
              <w:t>25.6</w:t>
            </w:r>
          </w:p>
        </w:tc>
        <w:tc>
          <w:tcPr>
            <w:tcW w:w="1134" w:type="dxa"/>
            <w:tcBorders>
              <w:left w:val="single" w:sz="4" w:space="0" w:color="auto"/>
              <w:right w:val="single" w:sz="4" w:space="0" w:color="auto"/>
            </w:tcBorders>
          </w:tcPr>
          <w:p w:rsidR="00000000" w:rsidRDefault="00000000">
            <w:pPr>
              <w:ind w:right="397"/>
              <w:jc w:val="right"/>
              <w:rPr>
                <w:kern w:val="2"/>
                <w:sz w:val="20"/>
              </w:rPr>
            </w:pPr>
            <w:r>
              <w:rPr>
                <w:kern w:val="2"/>
                <w:sz w:val="20"/>
              </w:rPr>
              <w:t>0.3</w:t>
            </w:r>
          </w:p>
        </w:tc>
        <w:tc>
          <w:tcPr>
            <w:tcW w:w="1134" w:type="dxa"/>
            <w:tcBorders>
              <w:left w:val="single" w:sz="4" w:space="0" w:color="auto"/>
              <w:right w:val="single" w:sz="4" w:space="0" w:color="auto"/>
            </w:tcBorders>
          </w:tcPr>
          <w:p w:rsidR="00000000" w:rsidRDefault="00000000">
            <w:pPr>
              <w:ind w:right="397"/>
              <w:jc w:val="right"/>
              <w:rPr>
                <w:kern w:val="2"/>
                <w:sz w:val="20"/>
              </w:rPr>
            </w:pPr>
            <w:r>
              <w:rPr>
                <w:kern w:val="2"/>
                <w:sz w:val="20"/>
              </w:rPr>
              <w:t>7.19</w:t>
            </w:r>
          </w:p>
        </w:tc>
        <w:tc>
          <w:tcPr>
            <w:tcW w:w="993" w:type="dxa"/>
            <w:tcBorders>
              <w:left w:val="single" w:sz="4" w:space="0" w:color="auto"/>
              <w:right w:val="single" w:sz="4" w:space="0" w:color="auto"/>
            </w:tcBorders>
          </w:tcPr>
          <w:p w:rsidR="00000000" w:rsidRDefault="00000000">
            <w:pPr>
              <w:ind w:right="284"/>
              <w:jc w:val="right"/>
              <w:rPr>
                <w:kern w:val="2"/>
                <w:sz w:val="20"/>
              </w:rPr>
            </w:pPr>
            <w:r>
              <w:rPr>
                <w:kern w:val="2"/>
                <w:sz w:val="20"/>
              </w:rPr>
              <w:t>0.01</w:t>
            </w:r>
          </w:p>
        </w:tc>
      </w:tr>
      <w:tr w:rsidR="00000000">
        <w:tblPrEx>
          <w:tblCellMar>
            <w:top w:w="0" w:type="dxa"/>
            <w:bottom w:w="0" w:type="dxa"/>
          </w:tblCellMar>
        </w:tblPrEx>
        <w:trPr>
          <w:cantSplit/>
          <w:trHeight w:val="250"/>
        </w:trPr>
        <w:tc>
          <w:tcPr>
            <w:tcW w:w="2977" w:type="dxa"/>
            <w:tcBorders>
              <w:left w:val="single" w:sz="4" w:space="0" w:color="auto"/>
              <w:right w:val="single" w:sz="4" w:space="0" w:color="auto"/>
            </w:tcBorders>
          </w:tcPr>
          <w:p w:rsidR="00000000" w:rsidRDefault="00000000">
            <w:pPr>
              <w:spacing w:before="12" w:after="12"/>
              <w:ind w:left="57"/>
              <w:rPr>
                <w:kern w:val="2"/>
                <w:sz w:val="20"/>
              </w:rPr>
            </w:pPr>
            <w:r>
              <w:rPr>
                <w:kern w:val="2"/>
                <w:sz w:val="20"/>
              </w:rPr>
              <w:t>Urban</w:t>
            </w:r>
          </w:p>
        </w:tc>
        <w:tc>
          <w:tcPr>
            <w:tcW w:w="992" w:type="dxa"/>
            <w:tcBorders>
              <w:left w:val="single" w:sz="4" w:space="0" w:color="auto"/>
              <w:right w:val="single" w:sz="4" w:space="0" w:color="auto"/>
            </w:tcBorders>
          </w:tcPr>
          <w:p w:rsidR="00000000" w:rsidRDefault="00000000">
            <w:pPr>
              <w:ind w:right="284"/>
              <w:jc w:val="right"/>
              <w:rPr>
                <w:kern w:val="2"/>
                <w:sz w:val="20"/>
              </w:rPr>
            </w:pPr>
            <w:r>
              <w:rPr>
                <w:kern w:val="2"/>
                <w:sz w:val="20"/>
              </w:rPr>
              <w:t>94.6</w:t>
            </w:r>
          </w:p>
        </w:tc>
        <w:tc>
          <w:tcPr>
            <w:tcW w:w="850" w:type="dxa"/>
            <w:tcBorders>
              <w:left w:val="single" w:sz="4" w:space="0" w:color="auto"/>
              <w:right w:val="single" w:sz="4" w:space="0" w:color="auto"/>
            </w:tcBorders>
          </w:tcPr>
          <w:p w:rsidR="00000000" w:rsidRDefault="00000000">
            <w:pPr>
              <w:ind w:right="284"/>
              <w:jc w:val="right"/>
              <w:rPr>
                <w:kern w:val="2"/>
                <w:sz w:val="20"/>
              </w:rPr>
            </w:pPr>
            <w:r>
              <w:rPr>
                <w:kern w:val="2"/>
                <w:sz w:val="20"/>
              </w:rPr>
              <w:t>0.1</w:t>
            </w:r>
          </w:p>
        </w:tc>
        <w:tc>
          <w:tcPr>
            <w:tcW w:w="1276" w:type="dxa"/>
            <w:tcBorders>
              <w:left w:val="single" w:sz="4" w:space="0" w:color="auto"/>
              <w:right w:val="single" w:sz="4" w:space="0" w:color="auto"/>
            </w:tcBorders>
          </w:tcPr>
          <w:p w:rsidR="00000000" w:rsidRDefault="00000000">
            <w:pPr>
              <w:ind w:right="395"/>
              <w:jc w:val="right"/>
              <w:rPr>
                <w:kern w:val="2"/>
                <w:sz w:val="20"/>
              </w:rPr>
            </w:pPr>
            <w:r>
              <w:rPr>
                <w:kern w:val="2"/>
                <w:sz w:val="20"/>
              </w:rPr>
              <w:t>23.0</w:t>
            </w:r>
          </w:p>
        </w:tc>
        <w:tc>
          <w:tcPr>
            <w:tcW w:w="1134" w:type="dxa"/>
            <w:tcBorders>
              <w:left w:val="single" w:sz="4" w:space="0" w:color="auto"/>
              <w:right w:val="single" w:sz="4" w:space="0" w:color="auto"/>
            </w:tcBorders>
          </w:tcPr>
          <w:p w:rsidR="00000000" w:rsidRDefault="00000000">
            <w:pPr>
              <w:ind w:right="397"/>
              <w:jc w:val="right"/>
              <w:rPr>
                <w:kern w:val="2"/>
                <w:sz w:val="20"/>
              </w:rPr>
            </w:pPr>
            <w:r>
              <w:rPr>
                <w:kern w:val="2"/>
                <w:sz w:val="20"/>
              </w:rPr>
              <w:t>0.2</w:t>
            </w:r>
          </w:p>
        </w:tc>
        <w:tc>
          <w:tcPr>
            <w:tcW w:w="1134" w:type="dxa"/>
            <w:tcBorders>
              <w:left w:val="single" w:sz="4" w:space="0" w:color="auto"/>
              <w:right w:val="single" w:sz="4" w:space="0" w:color="auto"/>
            </w:tcBorders>
          </w:tcPr>
          <w:p w:rsidR="00000000" w:rsidRDefault="00000000">
            <w:pPr>
              <w:ind w:right="397"/>
              <w:jc w:val="right"/>
              <w:rPr>
                <w:kern w:val="2"/>
                <w:sz w:val="20"/>
              </w:rPr>
            </w:pPr>
            <w:r>
              <w:rPr>
                <w:kern w:val="2"/>
                <w:sz w:val="20"/>
              </w:rPr>
              <w:t>7.36</w:t>
            </w:r>
          </w:p>
        </w:tc>
        <w:tc>
          <w:tcPr>
            <w:tcW w:w="993" w:type="dxa"/>
            <w:tcBorders>
              <w:left w:val="single" w:sz="4" w:space="0" w:color="auto"/>
              <w:right w:val="single" w:sz="4" w:space="0" w:color="auto"/>
            </w:tcBorders>
          </w:tcPr>
          <w:p w:rsidR="00000000" w:rsidRDefault="00000000">
            <w:pPr>
              <w:ind w:right="284"/>
              <w:jc w:val="right"/>
              <w:rPr>
                <w:kern w:val="2"/>
                <w:sz w:val="20"/>
              </w:rPr>
            </w:pPr>
            <w:r>
              <w:rPr>
                <w:kern w:val="2"/>
                <w:sz w:val="20"/>
              </w:rPr>
              <w:t>0.01</w:t>
            </w:r>
          </w:p>
        </w:tc>
      </w:tr>
      <w:tr w:rsidR="00000000">
        <w:tblPrEx>
          <w:tblCellMar>
            <w:top w:w="0" w:type="dxa"/>
            <w:bottom w:w="0" w:type="dxa"/>
          </w:tblCellMar>
        </w:tblPrEx>
        <w:trPr>
          <w:cantSplit/>
          <w:trHeight w:val="250"/>
        </w:trPr>
        <w:tc>
          <w:tcPr>
            <w:tcW w:w="2977" w:type="dxa"/>
            <w:tcBorders>
              <w:left w:val="single" w:sz="4" w:space="0" w:color="auto"/>
              <w:right w:val="single" w:sz="4" w:space="0" w:color="auto"/>
            </w:tcBorders>
          </w:tcPr>
          <w:p w:rsidR="00000000" w:rsidRDefault="00000000">
            <w:pPr>
              <w:spacing w:before="12" w:after="12"/>
              <w:ind w:left="57"/>
              <w:rPr>
                <w:kern w:val="2"/>
                <w:sz w:val="20"/>
              </w:rPr>
            </w:pPr>
            <w:r>
              <w:rPr>
                <w:kern w:val="2"/>
                <w:sz w:val="20"/>
              </w:rPr>
              <w:t>Rural</w:t>
            </w:r>
          </w:p>
        </w:tc>
        <w:tc>
          <w:tcPr>
            <w:tcW w:w="992" w:type="dxa"/>
            <w:tcBorders>
              <w:left w:val="single" w:sz="4" w:space="0" w:color="auto"/>
              <w:right w:val="single" w:sz="4" w:space="0" w:color="auto"/>
            </w:tcBorders>
          </w:tcPr>
          <w:p w:rsidR="00000000" w:rsidRDefault="00000000">
            <w:pPr>
              <w:ind w:right="284"/>
              <w:jc w:val="right"/>
              <w:rPr>
                <w:kern w:val="2"/>
                <w:sz w:val="20"/>
              </w:rPr>
            </w:pPr>
            <w:r>
              <w:rPr>
                <w:kern w:val="2"/>
                <w:sz w:val="20"/>
              </w:rPr>
              <w:t>88.0</w:t>
            </w:r>
          </w:p>
        </w:tc>
        <w:tc>
          <w:tcPr>
            <w:tcW w:w="850" w:type="dxa"/>
            <w:tcBorders>
              <w:left w:val="single" w:sz="4" w:space="0" w:color="auto"/>
              <w:right w:val="single" w:sz="4" w:space="0" w:color="auto"/>
            </w:tcBorders>
          </w:tcPr>
          <w:p w:rsidR="00000000" w:rsidRDefault="00000000">
            <w:pPr>
              <w:ind w:right="284"/>
              <w:jc w:val="right"/>
              <w:rPr>
                <w:kern w:val="2"/>
                <w:sz w:val="20"/>
              </w:rPr>
            </w:pPr>
            <w:r>
              <w:rPr>
                <w:kern w:val="2"/>
                <w:sz w:val="20"/>
              </w:rPr>
              <w:t>0.3</w:t>
            </w:r>
          </w:p>
        </w:tc>
        <w:tc>
          <w:tcPr>
            <w:tcW w:w="1276" w:type="dxa"/>
            <w:tcBorders>
              <w:left w:val="single" w:sz="4" w:space="0" w:color="auto"/>
              <w:right w:val="single" w:sz="4" w:space="0" w:color="auto"/>
            </w:tcBorders>
          </w:tcPr>
          <w:p w:rsidR="00000000" w:rsidRDefault="00000000">
            <w:pPr>
              <w:ind w:right="395"/>
              <w:jc w:val="right"/>
              <w:rPr>
                <w:kern w:val="2"/>
                <w:sz w:val="20"/>
              </w:rPr>
            </w:pPr>
            <w:r>
              <w:rPr>
                <w:kern w:val="2"/>
                <w:sz w:val="20"/>
              </w:rPr>
              <w:t>52.3</w:t>
            </w:r>
          </w:p>
        </w:tc>
        <w:tc>
          <w:tcPr>
            <w:tcW w:w="1134" w:type="dxa"/>
            <w:tcBorders>
              <w:left w:val="single" w:sz="4" w:space="0" w:color="auto"/>
              <w:right w:val="single" w:sz="4" w:space="0" w:color="auto"/>
            </w:tcBorders>
          </w:tcPr>
          <w:p w:rsidR="00000000" w:rsidRDefault="00000000">
            <w:pPr>
              <w:ind w:right="397"/>
              <w:jc w:val="right"/>
              <w:rPr>
                <w:kern w:val="2"/>
                <w:sz w:val="20"/>
              </w:rPr>
            </w:pPr>
            <w:r>
              <w:rPr>
                <w:kern w:val="2"/>
                <w:sz w:val="20"/>
              </w:rPr>
              <w:t>0.6</w:t>
            </w:r>
          </w:p>
        </w:tc>
        <w:tc>
          <w:tcPr>
            <w:tcW w:w="1134" w:type="dxa"/>
            <w:tcBorders>
              <w:left w:val="single" w:sz="4" w:space="0" w:color="auto"/>
              <w:right w:val="single" w:sz="4" w:space="0" w:color="auto"/>
            </w:tcBorders>
          </w:tcPr>
          <w:p w:rsidR="00000000" w:rsidRDefault="00000000">
            <w:pPr>
              <w:ind w:right="397"/>
              <w:jc w:val="right"/>
              <w:rPr>
                <w:kern w:val="2"/>
                <w:sz w:val="20"/>
              </w:rPr>
            </w:pPr>
            <w:r>
              <w:rPr>
                <w:kern w:val="2"/>
                <w:sz w:val="20"/>
              </w:rPr>
              <w:t>4.36</w:t>
            </w:r>
          </w:p>
        </w:tc>
        <w:tc>
          <w:tcPr>
            <w:tcW w:w="993" w:type="dxa"/>
            <w:tcBorders>
              <w:left w:val="single" w:sz="4" w:space="0" w:color="auto"/>
              <w:right w:val="single" w:sz="4" w:space="0" w:color="auto"/>
            </w:tcBorders>
          </w:tcPr>
          <w:p w:rsidR="00000000" w:rsidRDefault="00000000">
            <w:pPr>
              <w:ind w:right="284"/>
              <w:jc w:val="right"/>
              <w:rPr>
                <w:kern w:val="2"/>
                <w:sz w:val="20"/>
              </w:rPr>
            </w:pPr>
            <w:r>
              <w:rPr>
                <w:kern w:val="2"/>
                <w:sz w:val="20"/>
              </w:rPr>
              <w:t>0.02</w:t>
            </w:r>
          </w:p>
        </w:tc>
      </w:tr>
      <w:tr w:rsidR="00000000">
        <w:tblPrEx>
          <w:tblCellMar>
            <w:top w:w="0" w:type="dxa"/>
            <w:bottom w:w="0" w:type="dxa"/>
          </w:tblCellMar>
        </w:tblPrEx>
        <w:trPr>
          <w:cantSplit/>
          <w:trHeight w:val="250"/>
        </w:trPr>
        <w:tc>
          <w:tcPr>
            <w:tcW w:w="2977" w:type="dxa"/>
            <w:tcBorders>
              <w:left w:val="single" w:sz="4" w:space="0" w:color="auto"/>
              <w:right w:val="single" w:sz="4" w:space="0" w:color="auto"/>
            </w:tcBorders>
          </w:tcPr>
          <w:p w:rsidR="00000000" w:rsidRDefault="00000000">
            <w:pPr>
              <w:spacing w:before="12" w:after="12"/>
              <w:ind w:left="57"/>
              <w:rPr>
                <w:kern w:val="2"/>
                <w:sz w:val="20"/>
              </w:rPr>
            </w:pPr>
            <w:r>
              <w:rPr>
                <w:kern w:val="2"/>
                <w:sz w:val="20"/>
              </w:rPr>
              <w:t>Non-migrant</w:t>
            </w:r>
          </w:p>
        </w:tc>
        <w:tc>
          <w:tcPr>
            <w:tcW w:w="992" w:type="dxa"/>
            <w:tcBorders>
              <w:left w:val="single" w:sz="4" w:space="0" w:color="auto"/>
              <w:right w:val="single" w:sz="4" w:space="0" w:color="auto"/>
            </w:tcBorders>
          </w:tcPr>
          <w:p w:rsidR="00000000" w:rsidRDefault="00000000">
            <w:pPr>
              <w:ind w:right="284"/>
              <w:jc w:val="right"/>
              <w:rPr>
                <w:kern w:val="2"/>
                <w:sz w:val="20"/>
              </w:rPr>
            </w:pPr>
            <w:r>
              <w:rPr>
                <w:kern w:val="2"/>
                <w:sz w:val="20"/>
              </w:rPr>
              <w:t>93.0</w:t>
            </w:r>
          </w:p>
        </w:tc>
        <w:tc>
          <w:tcPr>
            <w:tcW w:w="850" w:type="dxa"/>
            <w:tcBorders>
              <w:left w:val="single" w:sz="4" w:space="0" w:color="auto"/>
              <w:right w:val="single" w:sz="4" w:space="0" w:color="auto"/>
            </w:tcBorders>
          </w:tcPr>
          <w:p w:rsidR="00000000" w:rsidRDefault="00000000">
            <w:pPr>
              <w:ind w:right="284"/>
              <w:jc w:val="right"/>
              <w:rPr>
                <w:kern w:val="2"/>
                <w:sz w:val="20"/>
              </w:rPr>
            </w:pPr>
            <w:r>
              <w:rPr>
                <w:kern w:val="2"/>
                <w:sz w:val="20"/>
              </w:rPr>
              <w:t>0.1</w:t>
            </w:r>
          </w:p>
        </w:tc>
        <w:tc>
          <w:tcPr>
            <w:tcW w:w="1276" w:type="dxa"/>
            <w:tcBorders>
              <w:left w:val="single" w:sz="4" w:space="0" w:color="auto"/>
              <w:right w:val="single" w:sz="4" w:space="0" w:color="auto"/>
            </w:tcBorders>
          </w:tcPr>
          <w:p w:rsidR="00000000" w:rsidRDefault="00000000">
            <w:pPr>
              <w:ind w:right="395"/>
              <w:jc w:val="right"/>
              <w:rPr>
                <w:kern w:val="2"/>
                <w:sz w:val="20"/>
              </w:rPr>
            </w:pPr>
            <w:r>
              <w:rPr>
                <w:kern w:val="2"/>
                <w:sz w:val="20"/>
              </w:rPr>
              <w:t>30.0</w:t>
            </w:r>
          </w:p>
        </w:tc>
        <w:tc>
          <w:tcPr>
            <w:tcW w:w="1134" w:type="dxa"/>
            <w:tcBorders>
              <w:left w:val="single" w:sz="4" w:space="0" w:color="auto"/>
              <w:right w:val="single" w:sz="4" w:space="0" w:color="auto"/>
            </w:tcBorders>
          </w:tcPr>
          <w:p w:rsidR="00000000" w:rsidRDefault="00000000">
            <w:pPr>
              <w:ind w:right="397"/>
              <w:jc w:val="right"/>
              <w:rPr>
                <w:kern w:val="2"/>
                <w:sz w:val="20"/>
              </w:rPr>
            </w:pPr>
            <w:r>
              <w:rPr>
                <w:kern w:val="2"/>
                <w:sz w:val="20"/>
              </w:rPr>
              <w:t>0.2</w:t>
            </w:r>
          </w:p>
        </w:tc>
        <w:tc>
          <w:tcPr>
            <w:tcW w:w="1134" w:type="dxa"/>
            <w:tcBorders>
              <w:left w:val="single" w:sz="4" w:space="0" w:color="auto"/>
              <w:right w:val="single" w:sz="4" w:space="0" w:color="auto"/>
            </w:tcBorders>
          </w:tcPr>
          <w:p w:rsidR="00000000" w:rsidRDefault="00000000">
            <w:pPr>
              <w:ind w:right="397"/>
              <w:jc w:val="right"/>
              <w:rPr>
                <w:kern w:val="2"/>
                <w:sz w:val="20"/>
              </w:rPr>
            </w:pPr>
            <w:r>
              <w:rPr>
                <w:kern w:val="2"/>
                <w:sz w:val="20"/>
              </w:rPr>
              <w:t>6.76</w:t>
            </w:r>
          </w:p>
        </w:tc>
        <w:tc>
          <w:tcPr>
            <w:tcW w:w="993" w:type="dxa"/>
            <w:tcBorders>
              <w:left w:val="single" w:sz="4" w:space="0" w:color="auto"/>
              <w:right w:val="single" w:sz="4" w:space="0" w:color="auto"/>
            </w:tcBorders>
          </w:tcPr>
          <w:p w:rsidR="00000000" w:rsidRDefault="00000000">
            <w:pPr>
              <w:ind w:right="284"/>
              <w:jc w:val="right"/>
              <w:rPr>
                <w:kern w:val="2"/>
                <w:sz w:val="20"/>
              </w:rPr>
            </w:pPr>
            <w:r>
              <w:rPr>
                <w:kern w:val="2"/>
                <w:sz w:val="20"/>
              </w:rPr>
              <w:t>0.01</w:t>
            </w:r>
          </w:p>
        </w:tc>
      </w:tr>
      <w:tr w:rsidR="00000000">
        <w:tblPrEx>
          <w:tblCellMar>
            <w:top w:w="0" w:type="dxa"/>
            <w:bottom w:w="0" w:type="dxa"/>
          </w:tblCellMar>
        </w:tblPrEx>
        <w:trPr>
          <w:cantSplit/>
          <w:trHeight w:val="250"/>
        </w:trPr>
        <w:tc>
          <w:tcPr>
            <w:tcW w:w="2977" w:type="dxa"/>
            <w:tcBorders>
              <w:left w:val="single" w:sz="4" w:space="0" w:color="auto"/>
              <w:right w:val="single" w:sz="4" w:space="0" w:color="auto"/>
            </w:tcBorders>
          </w:tcPr>
          <w:p w:rsidR="00000000" w:rsidRDefault="00000000">
            <w:pPr>
              <w:spacing w:before="12" w:after="12"/>
              <w:ind w:left="57"/>
              <w:rPr>
                <w:kern w:val="2"/>
                <w:sz w:val="20"/>
              </w:rPr>
            </w:pPr>
            <w:r>
              <w:rPr>
                <w:kern w:val="2"/>
                <w:sz w:val="20"/>
              </w:rPr>
              <w:t>Migrant</w:t>
            </w:r>
          </w:p>
        </w:tc>
        <w:tc>
          <w:tcPr>
            <w:tcW w:w="992" w:type="dxa"/>
            <w:tcBorders>
              <w:left w:val="single" w:sz="4" w:space="0" w:color="auto"/>
              <w:right w:val="single" w:sz="4" w:space="0" w:color="auto"/>
            </w:tcBorders>
          </w:tcPr>
          <w:p w:rsidR="00000000" w:rsidRDefault="00000000">
            <w:pPr>
              <w:ind w:right="284"/>
              <w:jc w:val="right"/>
              <w:rPr>
                <w:kern w:val="2"/>
                <w:sz w:val="20"/>
              </w:rPr>
            </w:pPr>
            <w:r>
              <w:rPr>
                <w:kern w:val="2"/>
                <w:sz w:val="20"/>
              </w:rPr>
              <w:t>93.1</w:t>
            </w:r>
          </w:p>
        </w:tc>
        <w:tc>
          <w:tcPr>
            <w:tcW w:w="850" w:type="dxa"/>
            <w:tcBorders>
              <w:left w:val="single" w:sz="4" w:space="0" w:color="auto"/>
              <w:right w:val="single" w:sz="4" w:space="0" w:color="auto"/>
            </w:tcBorders>
          </w:tcPr>
          <w:p w:rsidR="00000000" w:rsidRDefault="00000000">
            <w:pPr>
              <w:ind w:right="284"/>
              <w:jc w:val="right"/>
              <w:rPr>
                <w:kern w:val="2"/>
                <w:sz w:val="20"/>
              </w:rPr>
            </w:pPr>
            <w:r>
              <w:rPr>
                <w:kern w:val="2"/>
                <w:sz w:val="20"/>
              </w:rPr>
              <w:t>0.4</w:t>
            </w:r>
          </w:p>
        </w:tc>
        <w:tc>
          <w:tcPr>
            <w:tcW w:w="1276" w:type="dxa"/>
            <w:tcBorders>
              <w:left w:val="single" w:sz="4" w:space="0" w:color="auto"/>
              <w:right w:val="single" w:sz="4" w:space="0" w:color="auto"/>
            </w:tcBorders>
          </w:tcPr>
          <w:p w:rsidR="00000000" w:rsidRDefault="00000000">
            <w:pPr>
              <w:ind w:right="395"/>
              <w:jc w:val="right"/>
              <w:rPr>
                <w:kern w:val="2"/>
                <w:sz w:val="20"/>
              </w:rPr>
            </w:pPr>
            <w:r>
              <w:rPr>
                <w:kern w:val="2"/>
                <w:sz w:val="20"/>
              </w:rPr>
              <w:t>27.8</w:t>
            </w:r>
          </w:p>
        </w:tc>
        <w:tc>
          <w:tcPr>
            <w:tcW w:w="1134" w:type="dxa"/>
            <w:tcBorders>
              <w:left w:val="single" w:sz="4" w:space="0" w:color="auto"/>
              <w:right w:val="single" w:sz="4" w:space="0" w:color="auto"/>
            </w:tcBorders>
          </w:tcPr>
          <w:p w:rsidR="00000000" w:rsidRDefault="00000000">
            <w:pPr>
              <w:ind w:right="397"/>
              <w:jc w:val="right"/>
              <w:rPr>
                <w:kern w:val="2"/>
                <w:sz w:val="20"/>
              </w:rPr>
            </w:pPr>
            <w:r>
              <w:rPr>
                <w:kern w:val="2"/>
                <w:sz w:val="20"/>
              </w:rPr>
              <w:t>0.8</w:t>
            </w:r>
          </w:p>
        </w:tc>
        <w:tc>
          <w:tcPr>
            <w:tcW w:w="1134" w:type="dxa"/>
            <w:tcBorders>
              <w:left w:val="single" w:sz="4" w:space="0" w:color="auto"/>
              <w:right w:val="single" w:sz="4" w:space="0" w:color="auto"/>
            </w:tcBorders>
          </w:tcPr>
          <w:p w:rsidR="00000000" w:rsidRDefault="00000000">
            <w:pPr>
              <w:ind w:right="397"/>
              <w:jc w:val="right"/>
              <w:rPr>
                <w:kern w:val="2"/>
                <w:sz w:val="20"/>
              </w:rPr>
            </w:pPr>
            <w:r>
              <w:rPr>
                <w:kern w:val="2"/>
                <w:sz w:val="20"/>
              </w:rPr>
              <w:t>6.81</w:t>
            </w:r>
          </w:p>
        </w:tc>
        <w:tc>
          <w:tcPr>
            <w:tcW w:w="993" w:type="dxa"/>
            <w:tcBorders>
              <w:left w:val="single" w:sz="4" w:space="0" w:color="auto"/>
              <w:right w:val="single" w:sz="4" w:space="0" w:color="auto"/>
            </w:tcBorders>
          </w:tcPr>
          <w:p w:rsidR="00000000" w:rsidRDefault="00000000">
            <w:pPr>
              <w:ind w:right="284"/>
              <w:jc w:val="right"/>
              <w:rPr>
                <w:kern w:val="2"/>
                <w:sz w:val="20"/>
              </w:rPr>
            </w:pPr>
            <w:r>
              <w:rPr>
                <w:kern w:val="2"/>
                <w:sz w:val="20"/>
              </w:rPr>
              <w:t>0.03</w:t>
            </w:r>
          </w:p>
        </w:tc>
      </w:tr>
      <w:tr w:rsidR="00000000">
        <w:tblPrEx>
          <w:tblCellMar>
            <w:top w:w="0" w:type="dxa"/>
            <w:bottom w:w="0" w:type="dxa"/>
          </w:tblCellMar>
        </w:tblPrEx>
        <w:trPr>
          <w:cantSplit/>
          <w:trHeight w:val="250"/>
        </w:trPr>
        <w:tc>
          <w:tcPr>
            <w:tcW w:w="2977" w:type="dxa"/>
            <w:tcBorders>
              <w:left w:val="single" w:sz="4" w:space="0" w:color="auto"/>
              <w:right w:val="single" w:sz="4" w:space="0" w:color="auto"/>
            </w:tcBorders>
          </w:tcPr>
          <w:p w:rsidR="00000000" w:rsidRDefault="00000000">
            <w:pPr>
              <w:spacing w:before="12" w:after="12"/>
              <w:ind w:left="57"/>
              <w:rPr>
                <w:kern w:val="2"/>
                <w:sz w:val="20"/>
              </w:rPr>
            </w:pPr>
            <w:r>
              <w:rPr>
                <w:kern w:val="2"/>
                <w:sz w:val="20"/>
              </w:rPr>
              <w:t>Not poor</w:t>
            </w:r>
          </w:p>
        </w:tc>
        <w:tc>
          <w:tcPr>
            <w:tcW w:w="992" w:type="dxa"/>
            <w:tcBorders>
              <w:left w:val="single" w:sz="4" w:space="0" w:color="auto"/>
              <w:right w:val="single" w:sz="4" w:space="0" w:color="auto"/>
            </w:tcBorders>
          </w:tcPr>
          <w:p w:rsidR="00000000" w:rsidRDefault="00000000">
            <w:pPr>
              <w:ind w:right="284"/>
              <w:jc w:val="right"/>
              <w:rPr>
                <w:kern w:val="2"/>
                <w:sz w:val="20"/>
              </w:rPr>
            </w:pPr>
            <w:r>
              <w:rPr>
                <w:kern w:val="2"/>
                <w:sz w:val="20"/>
              </w:rPr>
              <w:t>96.5</w:t>
            </w:r>
          </w:p>
        </w:tc>
        <w:tc>
          <w:tcPr>
            <w:tcW w:w="850" w:type="dxa"/>
            <w:tcBorders>
              <w:left w:val="single" w:sz="4" w:space="0" w:color="auto"/>
              <w:right w:val="single" w:sz="4" w:space="0" w:color="auto"/>
            </w:tcBorders>
          </w:tcPr>
          <w:p w:rsidR="00000000" w:rsidRDefault="00000000">
            <w:pPr>
              <w:ind w:right="284"/>
              <w:jc w:val="right"/>
              <w:rPr>
                <w:kern w:val="2"/>
                <w:sz w:val="20"/>
              </w:rPr>
            </w:pPr>
            <w:r>
              <w:rPr>
                <w:kern w:val="2"/>
                <w:sz w:val="20"/>
              </w:rPr>
              <w:t>0.1</w:t>
            </w:r>
          </w:p>
        </w:tc>
        <w:tc>
          <w:tcPr>
            <w:tcW w:w="1276" w:type="dxa"/>
            <w:tcBorders>
              <w:left w:val="single" w:sz="4" w:space="0" w:color="auto"/>
              <w:right w:val="single" w:sz="4" w:space="0" w:color="auto"/>
            </w:tcBorders>
          </w:tcPr>
          <w:p w:rsidR="00000000" w:rsidRDefault="00000000">
            <w:pPr>
              <w:ind w:right="395"/>
              <w:jc w:val="right"/>
              <w:rPr>
                <w:kern w:val="2"/>
                <w:sz w:val="20"/>
              </w:rPr>
            </w:pPr>
            <w:r>
              <w:rPr>
                <w:kern w:val="2"/>
                <w:sz w:val="20"/>
              </w:rPr>
              <w:t>14.8</w:t>
            </w:r>
          </w:p>
        </w:tc>
        <w:tc>
          <w:tcPr>
            <w:tcW w:w="1134" w:type="dxa"/>
            <w:tcBorders>
              <w:left w:val="single" w:sz="4" w:space="0" w:color="auto"/>
              <w:right w:val="single" w:sz="4" w:space="0" w:color="auto"/>
            </w:tcBorders>
          </w:tcPr>
          <w:p w:rsidR="00000000" w:rsidRDefault="00000000">
            <w:pPr>
              <w:ind w:right="397"/>
              <w:jc w:val="right"/>
              <w:rPr>
                <w:kern w:val="2"/>
                <w:sz w:val="20"/>
              </w:rPr>
            </w:pPr>
            <w:r>
              <w:rPr>
                <w:kern w:val="2"/>
                <w:sz w:val="20"/>
              </w:rPr>
              <w:t>0.2</w:t>
            </w:r>
          </w:p>
        </w:tc>
        <w:tc>
          <w:tcPr>
            <w:tcW w:w="1134" w:type="dxa"/>
            <w:tcBorders>
              <w:left w:val="single" w:sz="4" w:space="0" w:color="auto"/>
              <w:right w:val="single" w:sz="4" w:space="0" w:color="auto"/>
            </w:tcBorders>
          </w:tcPr>
          <w:p w:rsidR="00000000" w:rsidRDefault="00000000">
            <w:pPr>
              <w:ind w:right="397"/>
              <w:jc w:val="right"/>
              <w:rPr>
                <w:kern w:val="2"/>
                <w:sz w:val="20"/>
              </w:rPr>
            </w:pPr>
          </w:p>
        </w:tc>
        <w:tc>
          <w:tcPr>
            <w:tcW w:w="993" w:type="dxa"/>
            <w:tcBorders>
              <w:left w:val="single" w:sz="4" w:space="0" w:color="auto"/>
              <w:right w:val="single" w:sz="4" w:space="0" w:color="auto"/>
            </w:tcBorders>
          </w:tcPr>
          <w:p w:rsidR="00000000" w:rsidRDefault="00000000">
            <w:pPr>
              <w:ind w:right="284"/>
              <w:jc w:val="right"/>
              <w:rPr>
                <w:kern w:val="2"/>
                <w:sz w:val="20"/>
              </w:rPr>
            </w:pPr>
          </w:p>
        </w:tc>
      </w:tr>
      <w:tr w:rsidR="00000000">
        <w:tblPrEx>
          <w:tblCellMar>
            <w:top w:w="0" w:type="dxa"/>
            <w:bottom w:w="0" w:type="dxa"/>
          </w:tblCellMar>
        </w:tblPrEx>
        <w:trPr>
          <w:cantSplit/>
          <w:trHeight w:val="129"/>
        </w:trPr>
        <w:tc>
          <w:tcPr>
            <w:tcW w:w="2977" w:type="dxa"/>
            <w:tcBorders>
              <w:left w:val="single" w:sz="4" w:space="0" w:color="auto"/>
              <w:right w:val="single" w:sz="4" w:space="0" w:color="auto"/>
            </w:tcBorders>
          </w:tcPr>
          <w:p w:rsidR="00000000" w:rsidRDefault="00000000">
            <w:pPr>
              <w:spacing w:before="12" w:after="12"/>
              <w:ind w:left="57"/>
              <w:rPr>
                <w:kern w:val="2"/>
                <w:sz w:val="20"/>
              </w:rPr>
            </w:pPr>
            <w:r>
              <w:rPr>
                <w:kern w:val="2"/>
                <w:sz w:val="20"/>
              </w:rPr>
              <w:t>Poor</w:t>
            </w:r>
          </w:p>
        </w:tc>
        <w:tc>
          <w:tcPr>
            <w:tcW w:w="992" w:type="dxa"/>
            <w:tcBorders>
              <w:left w:val="single" w:sz="4" w:space="0" w:color="auto"/>
              <w:right w:val="single" w:sz="4" w:space="0" w:color="auto"/>
            </w:tcBorders>
          </w:tcPr>
          <w:p w:rsidR="00000000" w:rsidRDefault="00000000">
            <w:pPr>
              <w:ind w:right="284"/>
              <w:jc w:val="right"/>
              <w:rPr>
                <w:kern w:val="2"/>
                <w:sz w:val="20"/>
              </w:rPr>
            </w:pPr>
            <w:r>
              <w:rPr>
                <w:kern w:val="2"/>
                <w:sz w:val="20"/>
              </w:rPr>
              <w:t>88.9</w:t>
            </w:r>
          </w:p>
        </w:tc>
        <w:tc>
          <w:tcPr>
            <w:tcW w:w="850" w:type="dxa"/>
            <w:tcBorders>
              <w:left w:val="single" w:sz="4" w:space="0" w:color="auto"/>
              <w:right w:val="single" w:sz="4" w:space="0" w:color="auto"/>
            </w:tcBorders>
          </w:tcPr>
          <w:p w:rsidR="00000000" w:rsidRDefault="00000000">
            <w:pPr>
              <w:ind w:right="284"/>
              <w:jc w:val="right"/>
              <w:rPr>
                <w:kern w:val="2"/>
                <w:sz w:val="20"/>
              </w:rPr>
            </w:pPr>
            <w:r>
              <w:rPr>
                <w:kern w:val="2"/>
                <w:sz w:val="20"/>
              </w:rPr>
              <w:t>0.2</w:t>
            </w:r>
          </w:p>
        </w:tc>
        <w:tc>
          <w:tcPr>
            <w:tcW w:w="1276" w:type="dxa"/>
            <w:tcBorders>
              <w:left w:val="single" w:sz="4" w:space="0" w:color="auto"/>
              <w:right w:val="single" w:sz="4" w:space="0" w:color="auto"/>
            </w:tcBorders>
          </w:tcPr>
          <w:p w:rsidR="00000000" w:rsidRDefault="00000000">
            <w:pPr>
              <w:ind w:right="395"/>
              <w:jc w:val="right"/>
              <w:rPr>
                <w:kern w:val="2"/>
                <w:sz w:val="20"/>
              </w:rPr>
            </w:pPr>
            <w:r>
              <w:rPr>
                <w:kern w:val="2"/>
                <w:sz w:val="20"/>
              </w:rPr>
              <w:t>48.7</w:t>
            </w:r>
          </w:p>
        </w:tc>
        <w:tc>
          <w:tcPr>
            <w:tcW w:w="1134" w:type="dxa"/>
            <w:tcBorders>
              <w:left w:val="single" w:sz="4" w:space="0" w:color="auto"/>
              <w:right w:val="single" w:sz="4" w:space="0" w:color="auto"/>
            </w:tcBorders>
          </w:tcPr>
          <w:p w:rsidR="00000000" w:rsidRDefault="00000000">
            <w:pPr>
              <w:ind w:right="397"/>
              <w:jc w:val="right"/>
              <w:rPr>
                <w:kern w:val="2"/>
                <w:sz w:val="20"/>
              </w:rPr>
            </w:pPr>
            <w:r>
              <w:rPr>
                <w:kern w:val="2"/>
                <w:sz w:val="20"/>
              </w:rPr>
              <w:t>0.4</w:t>
            </w:r>
          </w:p>
        </w:tc>
        <w:tc>
          <w:tcPr>
            <w:tcW w:w="1134" w:type="dxa"/>
            <w:tcBorders>
              <w:left w:val="single" w:sz="4" w:space="0" w:color="auto"/>
              <w:right w:val="single" w:sz="4" w:space="0" w:color="auto"/>
            </w:tcBorders>
          </w:tcPr>
          <w:p w:rsidR="00000000" w:rsidRDefault="00000000">
            <w:pPr>
              <w:ind w:right="397"/>
              <w:jc w:val="right"/>
              <w:rPr>
                <w:kern w:val="2"/>
                <w:sz w:val="20"/>
              </w:rPr>
            </w:pPr>
          </w:p>
        </w:tc>
        <w:tc>
          <w:tcPr>
            <w:tcW w:w="993" w:type="dxa"/>
            <w:tcBorders>
              <w:left w:val="single" w:sz="4" w:space="0" w:color="auto"/>
              <w:right w:val="single" w:sz="4" w:space="0" w:color="auto"/>
            </w:tcBorders>
          </w:tcPr>
          <w:p w:rsidR="00000000" w:rsidRDefault="00000000">
            <w:pPr>
              <w:ind w:right="284"/>
              <w:jc w:val="right"/>
              <w:rPr>
                <w:kern w:val="2"/>
                <w:sz w:val="20"/>
              </w:rPr>
            </w:pPr>
          </w:p>
        </w:tc>
      </w:tr>
      <w:tr w:rsidR="00000000">
        <w:tblPrEx>
          <w:tblCellMar>
            <w:top w:w="0" w:type="dxa"/>
            <w:bottom w:w="0" w:type="dxa"/>
          </w:tblCellMar>
        </w:tblPrEx>
        <w:trPr>
          <w:cantSplit/>
          <w:trHeight w:val="250"/>
        </w:trPr>
        <w:tc>
          <w:tcPr>
            <w:tcW w:w="2977" w:type="dxa"/>
            <w:tcBorders>
              <w:left w:val="single" w:sz="4" w:space="0" w:color="auto"/>
              <w:right w:val="single" w:sz="4" w:space="0" w:color="auto"/>
            </w:tcBorders>
          </w:tcPr>
          <w:p w:rsidR="00000000" w:rsidRDefault="00000000">
            <w:pPr>
              <w:spacing w:before="12" w:after="12"/>
              <w:ind w:left="57"/>
              <w:rPr>
                <w:kern w:val="2"/>
                <w:sz w:val="20"/>
              </w:rPr>
            </w:pPr>
            <w:r>
              <w:rPr>
                <w:kern w:val="2"/>
                <w:sz w:val="20"/>
              </w:rPr>
              <w:t>South/south-east and centre-west</w:t>
            </w:r>
          </w:p>
        </w:tc>
        <w:tc>
          <w:tcPr>
            <w:tcW w:w="992" w:type="dxa"/>
            <w:tcBorders>
              <w:left w:val="single" w:sz="4" w:space="0" w:color="auto"/>
              <w:right w:val="single" w:sz="4" w:space="0" w:color="auto"/>
            </w:tcBorders>
          </w:tcPr>
          <w:p w:rsidR="00000000" w:rsidRDefault="00000000">
            <w:pPr>
              <w:ind w:right="284"/>
              <w:jc w:val="right"/>
              <w:rPr>
                <w:kern w:val="2"/>
                <w:sz w:val="20"/>
              </w:rPr>
            </w:pPr>
            <w:r>
              <w:rPr>
                <w:kern w:val="2"/>
                <w:sz w:val="20"/>
              </w:rPr>
              <w:t>95.1</w:t>
            </w:r>
          </w:p>
        </w:tc>
        <w:tc>
          <w:tcPr>
            <w:tcW w:w="850" w:type="dxa"/>
            <w:tcBorders>
              <w:left w:val="single" w:sz="4" w:space="0" w:color="auto"/>
              <w:right w:val="single" w:sz="4" w:space="0" w:color="auto"/>
            </w:tcBorders>
          </w:tcPr>
          <w:p w:rsidR="00000000" w:rsidRDefault="00000000">
            <w:pPr>
              <w:ind w:right="284"/>
              <w:jc w:val="right"/>
              <w:rPr>
                <w:kern w:val="2"/>
                <w:sz w:val="20"/>
              </w:rPr>
            </w:pPr>
            <w:r>
              <w:rPr>
                <w:kern w:val="2"/>
                <w:sz w:val="20"/>
              </w:rPr>
              <w:t>0.1</w:t>
            </w:r>
          </w:p>
        </w:tc>
        <w:tc>
          <w:tcPr>
            <w:tcW w:w="1276" w:type="dxa"/>
            <w:tcBorders>
              <w:left w:val="single" w:sz="4" w:space="0" w:color="auto"/>
              <w:right w:val="single" w:sz="4" w:space="0" w:color="auto"/>
            </w:tcBorders>
          </w:tcPr>
          <w:p w:rsidR="00000000" w:rsidRDefault="00000000">
            <w:pPr>
              <w:ind w:right="395"/>
              <w:jc w:val="right"/>
              <w:rPr>
                <w:kern w:val="2"/>
                <w:sz w:val="20"/>
              </w:rPr>
            </w:pPr>
            <w:r>
              <w:rPr>
                <w:kern w:val="2"/>
                <w:sz w:val="20"/>
              </w:rPr>
              <w:t>16.2</w:t>
            </w:r>
          </w:p>
        </w:tc>
        <w:tc>
          <w:tcPr>
            <w:tcW w:w="1134" w:type="dxa"/>
            <w:tcBorders>
              <w:left w:val="single" w:sz="4" w:space="0" w:color="auto"/>
              <w:right w:val="single" w:sz="4" w:space="0" w:color="auto"/>
            </w:tcBorders>
          </w:tcPr>
          <w:p w:rsidR="00000000" w:rsidRDefault="00000000">
            <w:pPr>
              <w:ind w:right="397"/>
              <w:jc w:val="right"/>
              <w:rPr>
                <w:kern w:val="2"/>
                <w:sz w:val="20"/>
              </w:rPr>
            </w:pPr>
            <w:r>
              <w:rPr>
                <w:kern w:val="2"/>
                <w:sz w:val="20"/>
              </w:rPr>
              <w:t>0.3</w:t>
            </w:r>
          </w:p>
        </w:tc>
        <w:tc>
          <w:tcPr>
            <w:tcW w:w="1134" w:type="dxa"/>
            <w:tcBorders>
              <w:left w:val="single" w:sz="4" w:space="0" w:color="auto"/>
              <w:right w:val="single" w:sz="4" w:space="0" w:color="auto"/>
            </w:tcBorders>
          </w:tcPr>
          <w:p w:rsidR="00000000" w:rsidRDefault="00000000">
            <w:pPr>
              <w:ind w:right="397"/>
              <w:jc w:val="right"/>
              <w:rPr>
                <w:kern w:val="2"/>
                <w:sz w:val="20"/>
              </w:rPr>
            </w:pPr>
            <w:r>
              <w:rPr>
                <w:kern w:val="2"/>
                <w:sz w:val="20"/>
              </w:rPr>
              <w:t>7.54</w:t>
            </w:r>
          </w:p>
        </w:tc>
        <w:tc>
          <w:tcPr>
            <w:tcW w:w="993" w:type="dxa"/>
            <w:tcBorders>
              <w:left w:val="single" w:sz="4" w:space="0" w:color="auto"/>
              <w:right w:val="single" w:sz="4" w:space="0" w:color="auto"/>
            </w:tcBorders>
          </w:tcPr>
          <w:p w:rsidR="00000000" w:rsidRDefault="00000000">
            <w:pPr>
              <w:ind w:right="284"/>
              <w:jc w:val="right"/>
              <w:rPr>
                <w:kern w:val="2"/>
                <w:sz w:val="20"/>
              </w:rPr>
            </w:pPr>
            <w:r>
              <w:rPr>
                <w:kern w:val="2"/>
                <w:sz w:val="20"/>
              </w:rPr>
              <w:t>0.01</w:t>
            </w:r>
          </w:p>
        </w:tc>
      </w:tr>
      <w:tr w:rsidR="00000000">
        <w:tblPrEx>
          <w:tblCellMar>
            <w:top w:w="0" w:type="dxa"/>
            <w:bottom w:w="0" w:type="dxa"/>
          </w:tblCellMar>
        </w:tblPrEx>
        <w:trPr>
          <w:cantSplit/>
          <w:trHeight w:val="250"/>
        </w:trPr>
        <w:tc>
          <w:tcPr>
            <w:tcW w:w="2977" w:type="dxa"/>
            <w:tcBorders>
              <w:left w:val="single" w:sz="4" w:space="0" w:color="auto"/>
              <w:bottom w:val="single" w:sz="4" w:space="0" w:color="auto"/>
              <w:right w:val="single" w:sz="4" w:space="0" w:color="auto"/>
            </w:tcBorders>
          </w:tcPr>
          <w:p w:rsidR="00000000" w:rsidRDefault="00000000">
            <w:pPr>
              <w:spacing w:before="12" w:after="12"/>
              <w:ind w:left="57"/>
              <w:rPr>
                <w:kern w:val="2"/>
                <w:sz w:val="20"/>
              </w:rPr>
            </w:pPr>
            <w:r>
              <w:rPr>
                <w:kern w:val="2"/>
                <w:sz w:val="20"/>
              </w:rPr>
              <w:t>North and north-east</w:t>
            </w:r>
          </w:p>
        </w:tc>
        <w:tc>
          <w:tcPr>
            <w:tcW w:w="992" w:type="dxa"/>
            <w:tcBorders>
              <w:left w:val="single" w:sz="4" w:space="0" w:color="auto"/>
              <w:bottom w:val="single" w:sz="4" w:space="0" w:color="auto"/>
              <w:right w:val="single" w:sz="4" w:space="0" w:color="auto"/>
            </w:tcBorders>
          </w:tcPr>
          <w:p w:rsidR="00000000" w:rsidRDefault="00000000">
            <w:pPr>
              <w:ind w:right="284"/>
              <w:jc w:val="right"/>
              <w:rPr>
                <w:kern w:val="2"/>
                <w:sz w:val="20"/>
              </w:rPr>
            </w:pPr>
            <w:r>
              <w:rPr>
                <w:kern w:val="2"/>
                <w:sz w:val="20"/>
              </w:rPr>
              <w:t>89.8</w:t>
            </w:r>
          </w:p>
        </w:tc>
        <w:tc>
          <w:tcPr>
            <w:tcW w:w="850" w:type="dxa"/>
            <w:tcBorders>
              <w:left w:val="single" w:sz="4" w:space="0" w:color="auto"/>
              <w:bottom w:val="single" w:sz="4" w:space="0" w:color="auto"/>
              <w:right w:val="single" w:sz="4" w:space="0" w:color="auto"/>
            </w:tcBorders>
          </w:tcPr>
          <w:p w:rsidR="00000000" w:rsidRDefault="00000000">
            <w:pPr>
              <w:ind w:right="284"/>
              <w:jc w:val="right"/>
              <w:rPr>
                <w:kern w:val="2"/>
                <w:sz w:val="20"/>
              </w:rPr>
            </w:pPr>
            <w:r>
              <w:rPr>
                <w:kern w:val="2"/>
                <w:sz w:val="20"/>
              </w:rPr>
              <w:t>0.2</w:t>
            </w:r>
          </w:p>
        </w:tc>
        <w:tc>
          <w:tcPr>
            <w:tcW w:w="1276" w:type="dxa"/>
            <w:tcBorders>
              <w:left w:val="single" w:sz="4" w:space="0" w:color="auto"/>
              <w:bottom w:val="single" w:sz="4" w:space="0" w:color="auto"/>
              <w:right w:val="single" w:sz="4" w:space="0" w:color="auto"/>
            </w:tcBorders>
          </w:tcPr>
          <w:p w:rsidR="00000000" w:rsidRDefault="00000000">
            <w:pPr>
              <w:ind w:right="395"/>
              <w:jc w:val="right"/>
              <w:rPr>
                <w:kern w:val="2"/>
                <w:sz w:val="20"/>
              </w:rPr>
            </w:pPr>
            <w:r>
              <w:rPr>
                <w:kern w:val="2"/>
                <w:sz w:val="20"/>
              </w:rPr>
              <w:t>50.8</w:t>
            </w:r>
          </w:p>
        </w:tc>
        <w:tc>
          <w:tcPr>
            <w:tcW w:w="1134" w:type="dxa"/>
            <w:tcBorders>
              <w:left w:val="single" w:sz="4" w:space="0" w:color="auto"/>
              <w:bottom w:val="single" w:sz="4" w:space="0" w:color="auto"/>
              <w:right w:val="single" w:sz="4" w:space="0" w:color="auto"/>
            </w:tcBorders>
          </w:tcPr>
          <w:p w:rsidR="00000000" w:rsidRDefault="00000000">
            <w:pPr>
              <w:ind w:right="397"/>
              <w:jc w:val="right"/>
              <w:rPr>
                <w:kern w:val="2"/>
                <w:sz w:val="20"/>
              </w:rPr>
            </w:pPr>
            <w:r>
              <w:rPr>
                <w:kern w:val="2"/>
                <w:sz w:val="20"/>
              </w:rPr>
              <w:t>0.4</w:t>
            </w:r>
          </w:p>
        </w:tc>
        <w:tc>
          <w:tcPr>
            <w:tcW w:w="1134" w:type="dxa"/>
            <w:tcBorders>
              <w:left w:val="single" w:sz="4" w:space="0" w:color="auto"/>
              <w:bottom w:val="single" w:sz="4" w:space="0" w:color="auto"/>
              <w:right w:val="single" w:sz="4" w:space="0" w:color="auto"/>
            </w:tcBorders>
          </w:tcPr>
          <w:p w:rsidR="00000000" w:rsidRDefault="00000000">
            <w:pPr>
              <w:ind w:right="397"/>
              <w:jc w:val="right"/>
              <w:rPr>
                <w:kern w:val="2"/>
                <w:sz w:val="20"/>
              </w:rPr>
            </w:pPr>
            <w:r>
              <w:rPr>
                <w:kern w:val="2"/>
                <w:sz w:val="20"/>
              </w:rPr>
              <w:t>5.39</w:t>
            </w:r>
          </w:p>
        </w:tc>
        <w:tc>
          <w:tcPr>
            <w:tcW w:w="993" w:type="dxa"/>
            <w:tcBorders>
              <w:left w:val="single" w:sz="4" w:space="0" w:color="auto"/>
              <w:bottom w:val="single" w:sz="4" w:space="0" w:color="auto"/>
              <w:right w:val="single" w:sz="4" w:space="0" w:color="auto"/>
            </w:tcBorders>
          </w:tcPr>
          <w:p w:rsidR="00000000" w:rsidRDefault="00000000">
            <w:pPr>
              <w:ind w:right="284"/>
              <w:jc w:val="right"/>
              <w:rPr>
                <w:kern w:val="2"/>
                <w:sz w:val="20"/>
              </w:rPr>
            </w:pPr>
            <w:r>
              <w:rPr>
                <w:kern w:val="2"/>
                <w:sz w:val="20"/>
              </w:rPr>
              <w:t>0.01</w:t>
            </w:r>
          </w:p>
        </w:tc>
      </w:tr>
    </w:tbl>
    <w:p w:rsidR="00000000" w:rsidRDefault="00000000">
      <w:pPr>
        <w:rPr>
          <w:kern w:val="2"/>
        </w:rPr>
      </w:pPr>
    </w:p>
    <w:p w:rsidR="00000000" w:rsidRDefault="00000000">
      <w:pPr>
        <w:rPr>
          <w:kern w:val="2"/>
        </w:rPr>
      </w:pPr>
      <w:r>
        <w:rPr>
          <w:kern w:val="2"/>
        </w:rPr>
        <w:tab/>
      </w:r>
      <w:r>
        <w:rPr>
          <w:kern w:val="2"/>
          <w:u w:val="single"/>
        </w:rPr>
        <w:t>Source</w:t>
      </w:r>
      <w:r>
        <w:rPr>
          <w:kern w:val="2"/>
        </w:rPr>
        <w:t>:  Prepared in-house based on micro-data taken from the 1997 Household Sampling Survey (PNAD).</w:t>
      </w:r>
    </w:p>
    <w:p w:rsidR="00000000" w:rsidRDefault="00000000">
      <w:pPr>
        <w:rPr>
          <w:b/>
          <w:kern w:val="2"/>
        </w:rPr>
      </w:pPr>
    </w:p>
    <w:p w:rsidR="00000000" w:rsidRDefault="00000000">
      <w:pPr>
        <w:rPr>
          <w:kern w:val="2"/>
        </w:rPr>
      </w:pPr>
      <w:r>
        <w:rPr>
          <w:b/>
          <w:kern w:val="2"/>
        </w:rPr>
        <w:tab/>
      </w:r>
      <w:r>
        <w:rPr>
          <w:kern w:val="2"/>
          <w:u w:val="single"/>
        </w:rPr>
        <w:t>Note</w:t>
      </w:r>
      <w:r>
        <w:rPr>
          <w:kern w:val="2"/>
        </w:rPr>
        <w:t>:  The word “poor” describes persons whose per capita family income was less than Cr$ 75 in September 1997; “migrant” means a person born in a state other than his place of residence; “average number of years of schooling” is not used as a factor in determining poverty as education is a powerful determining factor in income and the figure presents an inverse causality.</w:t>
      </w:r>
    </w:p>
    <w:p w:rsidR="00000000" w:rsidRDefault="00000000">
      <w:pPr>
        <w:pStyle w:val="ParaNo"/>
        <w:tabs>
          <w:tab w:val="clear" w:pos="360"/>
          <w:tab w:val="clear" w:pos="737"/>
        </w:tabs>
        <w:ind w:left="0" w:firstLine="0"/>
        <w:rPr>
          <w:kern w:val="2"/>
          <w:lang w:val="en-GB"/>
        </w:rPr>
      </w:pPr>
      <w:r>
        <w:rPr>
          <w:kern w:val="2"/>
          <w:lang w:val="en-GB"/>
        </w:rPr>
        <w:t>The population groups given in the table above demonstrate quite clearly that the groups in unfavourable educational situations are as follows, ranked by severity:  poor, rural dwellers, people living in north and north-east Brazil, indigenous communities, Blacks.  Migrants - taken as being people living in a state other than that where they were born - are in a situation that is statistically identical to non-migrants, surprisingly enough.  The situation of boys is worse than that of girls:  this gap is statistically significant, although the difference is less than for the other groups.</w:t>
      </w:r>
    </w:p>
    <w:p w:rsidR="00000000" w:rsidRDefault="00000000">
      <w:pPr>
        <w:rPr>
          <w:kern w:val="2"/>
        </w:rPr>
      </w:pPr>
    </w:p>
    <w:p w:rsidR="00000000" w:rsidRDefault="00000000">
      <w:pPr>
        <w:pStyle w:val="ParaNo"/>
        <w:tabs>
          <w:tab w:val="clear" w:pos="360"/>
          <w:tab w:val="clear" w:pos="737"/>
        </w:tabs>
        <w:ind w:left="0" w:firstLine="0"/>
        <w:rPr>
          <w:lang w:val="en-GB"/>
        </w:rPr>
      </w:pPr>
      <w:r>
        <w:rPr>
          <w:lang w:val="en-GB"/>
        </w:rPr>
        <w:t>In order to deal with this problem, Brazil’s new National Curricular Parameters (</w:t>
      </w:r>
      <w:r>
        <w:rPr>
          <w:iCs/>
          <w:u w:val="single"/>
          <w:lang w:val="en-GB"/>
        </w:rPr>
        <w:t>Parâmetros Curriculares Nac</w:t>
      </w:r>
      <w:r>
        <w:rPr>
          <w:kern w:val="2"/>
          <w:u w:val="single"/>
          <w:lang w:val="en-GB"/>
        </w:rPr>
        <w:t>ionais</w:t>
      </w:r>
      <w:r>
        <w:rPr>
          <w:kern w:val="2"/>
          <w:lang w:val="en-GB"/>
        </w:rPr>
        <w:t>) assign much importance to the issue of cultural plurality with a view to eliminating th</w:t>
      </w:r>
      <w:r>
        <w:rPr>
          <w:lang w:val="en-GB"/>
        </w:rPr>
        <w:t xml:space="preserve">e discrimination to which </w:t>
      </w:r>
      <w:r>
        <w:rPr>
          <w:spacing w:val="20"/>
          <w:kern w:val="2"/>
          <w:lang w:val="en-GB"/>
        </w:rPr>
        <w:t>the</w:t>
      </w:r>
      <w:r>
        <w:rPr>
          <w:lang w:val="en-GB"/>
        </w:rPr>
        <w:t xml:space="preserve"> groups listed above are particularly subject.  This involves a quest for knowledge, enhancing the value of the ethnic and cultural characteristics of the many different social groups that live in Brazil.  Through a study of the many different contexts in which they live, including social and economic inequalities and discriminatory social relationships that still permeate Brazilian society, students are offered the possibility of learning about Brazil, a complex and multifaceted country that is at times paradoxical.  Through this, the affirmation of diversity in the classroom grows into a key characteristic for building up a national identity, representing the commitment of the Brazilian Government to society.  The Government also feels that it is vital to implement minimum income programmes, with investments in the neediest parts of the country - such as the </w:t>
      </w:r>
      <w:r>
        <w:rPr>
          <w:iCs/>
          <w:u w:val="single"/>
          <w:lang w:val="en-GB"/>
        </w:rPr>
        <w:t>Projeto Nordeste</w:t>
      </w:r>
      <w:r>
        <w:rPr>
          <w:lang w:val="en-GB"/>
        </w:rPr>
        <w:t xml:space="preserve"> project targeting the north-east, and the </w:t>
      </w:r>
      <w:r>
        <w:rPr>
          <w:iCs/>
          <w:u w:val="single"/>
          <w:lang w:val="en-GB"/>
        </w:rPr>
        <w:t>FUNDESCOLA</w:t>
      </w:r>
      <w:r>
        <w:rPr>
          <w:lang w:val="en-GB"/>
        </w:rPr>
        <w:t xml:space="preserve"> Education Fund - while also encouraging inclusive special education and supporting educational initiatives in indigenous communities.  The examples mentioned above are covered by government policies that are focused directly on assuring access to education for the most underprivileged groups.</w:t>
      </w:r>
    </w:p>
    <w:p w:rsidR="00000000" w:rsidRDefault="00000000">
      <w:pPr>
        <w:rPr>
          <w:spacing w:val="20"/>
          <w:kern w:val="2"/>
        </w:rPr>
      </w:pPr>
    </w:p>
    <w:p w:rsidR="00000000" w:rsidRDefault="00000000">
      <w:pPr>
        <w:pStyle w:val="ParaNo"/>
        <w:tabs>
          <w:tab w:val="clear" w:pos="360"/>
          <w:tab w:val="clear" w:pos="737"/>
        </w:tabs>
        <w:ind w:left="0" w:firstLine="0"/>
        <w:rPr>
          <w:kern w:val="2"/>
          <w:lang w:val="en-GB"/>
        </w:rPr>
      </w:pPr>
      <w:r>
        <w:rPr>
          <w:kern w:val="2"/>
          <w:lang w:val="en-GB"/>
        </w:rPr>
        <w:t xml:space="preserve">The Brazilian Government is also deeply concerned about the quality of basic education, establishing the Teaching Development and Enhancement Maintenance Fund (FUNDEF) to underwrite its activities.  This fund stipulates a minimum outlay per student per year, with financing provided under the Brazilian Constitution.  Any state failing to achieve this </w:t>
      </w:r>
      <w:r>
        <w:rPr>
          <w:iCs/>
          <w:kern w:val="2"/>
          <w:lang w:val="en-GB"/>
        </w:rPr>
        <w:t>per capita</w:t>
      </w:r>
      <w:r>
        <w:rPr>
          <w:kern w:val="2"/>
          <w:lang w:val="en-GB"/>
        </w:rPr>
        <w:t xml:space="preserve"> minimum will receive supplementary funding from the Federal Government.</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kern w:val="2"/>
          <w:lang w:val="en-GB"/>
        </w:rPr>
        <w:t xml:space="preserve">Another measure designed to assure a steady stream of funding to government schools is the programme run by the Ministry of Education called </w:t>
      </w:r>
      <w:r>
        <w:rPr>
          <w:iCs/>
          <w:kern w:val="2"/>
          <w:u w:val="single"/>
          <w:lang w:val="en-GB"/>
        </w:rPr>
        <w:t>Dinheiro na Escola</w:t>
      </w:r>
      <w:r>
        <w:rPr>
          <w:iCs/>
          <w:kern w:val="2"/>
          <w:lang w:val="en-GB"/>
        </w:rPr>
        <w:t>.</w:t>
      </w:r>
      <w:r>
        <w:rPr>
          <w:kern w:val="2"/>
          <w:lang w:val="en-GB"/>
        </w:rPr>
        <w:t xml:space="preserve">  Through this financing programme, funds are transferred directly to schools in order to underwrite some of their basic requirements, which are relatively minor but demand immediate solutions.</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kern w:val="2"/>
          <w:lang w:val="en-GB"/>
        </w:rPr>
        <w:t>The progressive mandatory nature of high school education was introduced through the new Education Bases and Guidelines Act, promulgated in 1996.  Owing to its stipulations, as well as the rising completion rates for basic education, initial student registration rose appreciably at this level in government schools to 65.4 per cent in the period 1994-1998 compared with 18.0 per cent for the private school network.</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kern w:val="2"/>
          <w:lang w:val="en-GB"/>
        </w:rPr>
        <w:t>Since 1975, Brazil has run a student loan system for private higher education institutions called the Educational Credit Programme (</w:t>
      </w:r>
      <w:r>
        <w:rPr>
          <w:iCs/>
          <w:kern w:val="2"/>
          <w:u w:val="single"/>
          <w:lang w:val="en-GB"/>
        </w:rPr>
        <w:t>Programa de Crédito Educativo</w:t>
      </w:r>
      <w:r>
        <w:rPr>
          <w:kern w:val="2"/>
          <w:lang w:val="en-GB"/>
        </w:rPr>
        <w:t xml:space="preserve">).  In May 1999, this programme was replaced by the University Students Financing Fund (FIES - </w:t>
      </w:r>
      <w:r>
        <w:rPr>
          <w:iCs/>
          <w:kern w:val="2"/>
          <w:u w:val="single"/>
          <w:lang w:val="en-GB"/>
        </w:rPr>
        <w:t>Fundo de Financiamento ao Estudante de Ensino Superior</w:t>
      </w:r>
      <w:r>
        <w:rPr>
          <w:kern w:val="2"/>
          <w:lang w:val="en-GB"/>
        </w:rPr>
        <w:t>) that is designed to defray up to 70 per cent of the fees charged to students by higher education institutions.</w:t>
      </w:r>
    </w:p>
    <w:p w:rsidR="00000000" w:rsidRDefault="00000000">
      <w:pPr>
        <w:pStyle w:val="ParaNo"/>
        <w:tabs>
          <w:tab w:val="clear" w:pos="360"/>
          <w:tab w:val="clear" w:pos="737"/>
        </w:tabs>
        <w:ind w:left="0" w:firstLine="0"/>
        <w:rPr>
          <w:kern w:val="2"/>
          <w:lang w:val="en-GB"/>
        </w:rPr>
      </w:pPr>
      <w:r>
        <w:rPr>
          <w:kern w:val="2"/>
          <w:lang w:val="en-GB"/>
        </w:rPr>
        <w:t>Although the official language of Brazil is Portuguese, the Government confirms its dedication to enhancing cultural diversity by phasing in classes for indigenous communities in their own languages.  Similarly, textbook programmes have also sought to include the wide variety of indigenous languages found in Brazil, wherever possible.</w:t>
      </w:r>
    </w:p>
    <w:p w:rsidR="00000000" w:rsidRDefault="00000000">
      <w:pPr>
        <w:rPr>
          <w:kern w:val="2"/>
        </w:rPr>
      </w:pPr>
    </w:p>
    <w:p w:rsidR="00000000" w:rsidRDefault="00000000">
      <w:pPr>
        <w:pStyle w:val="ParaNo"/>
        <w:tabs>
          <w:tab w:val="clear" w:pos="360"/>
          <w:tab w:val="clear" w:pos="737"/>
        </w:tabs>
        <w:rPr>
          <w:kern w:val="2"/>
          <w:lang w:val="en-GB"/>
        </w:rPr>
      </w:pPr>
      <w:r>
        <w:rPr>
          <w:lang w:val="en-GB"/>
        </w:rPr>
        <w:t xml:space="preserve">Backed by the Government, broad-ranging and promising discussions are under way nationwide on the issue of education, reflecting rising expectations deriving from the strengthening of citizens’ rights.  The </w:t>
      </w:r>
      <w:r>
        <w:rPr>
          <w:kern w:val="2"/>
          <w:lang w:val="en-GB"/>
        </w:rPr>
        <w:t>allocation</w:t>
      </w:r>
      <w:r>
        <w:rPr>
          <w:lang w:val="en-GB"/>
        </w:rPr>
        <w:t xml:space="preserve"> of funding has played an important part in these discussions, with the Government seeking to meet the needs of the population progressively, </w:t>
      </w:r>
      <w:r>
        <w:rPr>
          <w:kern w:val="2"/>
          <w:lang w:val="en-GB"/>
        </w:rPr>
        <w:t>making the best possible use of budget allocations.  The right to education is rated as fundamental by the Brazilian Government.</w:t>
      </w:r>
    </w:p>
    <w:p w:rsidR="00000000" w:rsidRDefault="00000000">
      <w:pPr>
        <w:rPr>
          <w:kern w:val="2"/>
        </w:rPr>
      </w:pPr>
    </w:p>
    <w:p w:rsidR="00000000" w:rsidRDefault="00000000">
      <w:pPr>
        <w:pStyle w:val="ParaNo"/>
        <w:tabs>
          <w:tab w:val="clear" w:pos="360"/>
          <w:tab w:val="clear" w:pos="737"/>
        </w:tabs>
        <w:rPr>
          <w:kern w:val="2"/>
          <w:lang w:val="en-GB"/>
        </w:rPr>
      </w:pPr>
      <w:r>
        <w:rPr>
          <w:kern w:val="2"/>
          <w:lang w:val="en-GB"/>
        </w:rPr>
        <w:t>As already mentioned, the Teaching Development and Enhancement Maintenance Fund (FUNDEF) was established in 1998.  This fund consists of 15 per cent of the tax revenues, including constitutional transfers, and should be invested in maintaining and developing basic education.  The distribution of funding at the level of each state and the Federal District, shared out between the state and municipal governments, is based on the proportions of the number of students registered each year in school at the basic education level.  The Federal Government supplements the financing provided by this fund whenever its value per student in each state and the Federal District fails to reach the nationwide minimum, established at Cr$ 315 in 1999.</w:t>
      </w:r>
    </w:p>
    <w:p w:rsidR="00000000" w:rsidRDefault="00000000">
      <w:pPr>
        <w:rPr>
          <w:kern w:val="2"/>
        </w:rPr>
      </w:pPr>
    </w:p>
    <w:p w:rsidR="00000000" w:rsidRDefault="00000000">
      <w:pPr>
        <w:pStyle w:val="ParaNo"/>
        <w:tabs>
          <w:tab w:val="clear" w:pos="360"/>
          <w:tab w:val="clear" w:pos="737"/>
        </w:tabs>
        <w:rPr>
          <w:kern w:val="2"/>
          <w:lang w:val="en-GB"/>
        </w:rPr>
      </w:pPr>
      <w:r>
        <w:rPr>
          <w:kern w:val="2"/>
          <w:lang w:val="en-GB"/>
        </w:rPr>
        <w:t>FUNDEF financing, including supplementary Federal Government funds when necessary, underwrites 60 per cent of teacher remuneration for those working in the Government</w:t>
      </w:r>
      <w:r>
        <w:rPr>
          <w:kern w:val="2"/>
          <w:lang w:val="en-GB"/>
        </w:rPr>
        <w:noBreakHyphen/>
        <w:t>run Basic Education System.  During the first five years that the law remains in effect, a portion of the funds may be used to train lay teachers.  They are given a period of five years in which to obtain the necessary teaching qualifications, a necessary condition for joining the permanent staff on a career basis.</w:t>
      </w:r>
    </w:p>
    <w:p w:rsidR="00000000" w:rsidRDefault="00000000">
      <w:pPr>
        <w:rPr>
          <w:kern w:val="2"/>
        </w:rPr>
      </w:pPr>
    </w:p>
    <w:p w:rsidR="00000000" w:rsidRDefault="00000000">
      <w:pPr>
        <w:pStyle w:val="ParaNo"/>
        <w:tabs>
          <w:tab w:val="clear" w:pos="360"/>
          <w:tab w:val="clear" w:pos="737"/>
        </w:tabs>
        <w:rPr>
          <w:kern w:val="2"/>
          <w:lang w:val="en-GB"/>
        </w:rPr>
      </w:pPr>
      <w:r>
        <w:rPr>
          <w:kern w:val="2"/>
          <w:lang w:val="en-GB"/>
        </w:rPr>
        <w:t>According to the FUNDEF Act, the states, the Federal District and the municipal districts should prepare a new Teacher Remuneration and Career Plan (</w:t>
      </w:r>
      <w:r>
        <w:rPr>
          <w:iCs/>
          <w:kern w:val="2"/>
          <w:u w:val="single"/>
          <w:lang w:val="en-GB"/>
        </w:rPr>
        <w:t>Plano de Carreira e Remuneração do Magistério</w:t>
      </w:r>
      <w:r>
        <w:rPr>
          <w:kern w:val="2"/>
          <w:lang w:val="en-GB"/>
        </w:rPr>
        <w:t>) within six months of the law coming into effect, complying with the guidelines issued by the National Education Council (</w:t>
      </w:r>
      <w:r>
        <w:rPr>
          <w:bCs/>
          <w:kern w:val="2"/>
          <w:lang w:val="en-GB"/>
        </w:rPr>
        <w:t>CNE</w:t>
      </w:r>
      <w:r>
        <w:rPr>
          <w:iCs/>
          <w:kern w:val="2"/>
          <w:lang w:val="en-GB"/>
        </w:rPr>
        <w:t xml:space="preserve"> - </w:t>
      </w:r>
      <w:r>
        <w:rPr>
          <w:iCs/>
          <w:kern w:val="2"/>
          <w:u w:val="single"/>
          <w:lang w:val="en-GB"/>
        </w:rPr>
        <w:t>Conselho Nacional de Educação</w:t>
      </w:r>
      <w:r>
        <w:rPr>
          <w:kern w:val="2"/>
          <w:lang w:val="en-GB"/>
        </w:rPr>
        <w:t>).  This deadline is included in the provisions that were challenged through a preliminary injunction filed with the Federal Supreme Court.  Another adverse factor was the fact that the guidelines were only issued by the National Education Council in October 1997.</w:t>
      </w:r>
    </w:p>
    <w:p w:rsidR="00000000" w:rsidRDefault="00000000">
      <w:pPr>
        <w:rPr>
          <w:kern w:val="2"/>
        </w:rPr>
      </w:pPr>
    </w:p>
    <w:p w:rsidR="00000000" w:rsidRDefault="00000000">
      <w:pPr>
        <w:pStyle w:val="ParaNo"/>
        <w:tabs>
          <w:tab w:val="clear" w:pos="360"/>
          <w:tab w:val="clear" w:pos="737"/>
        </w:tabs>
        <w:rPr>
          <w:kern w:val="2"/>
          <w:lang w:val="en-GB"/>
        </w:rPr>
      </w:pPr>
      <w:r>
        <w:rPr>
          <w:kern w:val="2"/>
          <w:lang w:val="en-GB"/>
        </w:rPr>
        <w:t xml:space="preserve">Teacher remuneration is a particularly sensitive matter.  The Fund has a positive effect on the wages received by the teaching staff.  From December 1997 to June 2000, the wages paid to teachers in the state and municipal school networks providing basic education rose by an average of 29.5 per cent, compared with an inflation rate of 12 per cent over the same period, according to the National Consumer Price Index (INPC - </w:t>
      </w:r>
      <w:r>
        <w:rPr>
          <w:iCs/>
          <w:kern w:val="2"/>
          <w:u w:val="single"/>
          <w:lang w:val="en-GB"/>
        </w:rPr>
        <w:t>Índice Nacional de Preços ao Consumidor</w:t>
      </w:r>
      <w:r>
        <w:rPr>
          <w:kern w:val="2"/>
          <w:lang w:val="en-GB"/>
        </w:rPr>
        <w:t>).  The average wage rose from Cr$ 717 to Cr$ 929, with the highest increase in the municipal network, up 33.3 per cent from Cr$ 620 to Cr$ 826.</w:t>
      </w:r>
    </w:p>
    <w:p w:rsidR="00000000" w:rsidRDefault="00000000">
      <w:pPr>
        <w:rPr>
          <w:kern w:val="2"/>
        </w:rPr>
      </w:pPr>
    </w:p>
    <w:p w:rsidR="00000000" w:rsidRDefault="00000000">
      <w:pPr>
        <w:pStyle w:val="ParaNo"/>
        <w:tabs>
          <w:tab w:val="clear" w:pos="360"/>
          <w:tab w:val="clear" w:pos="737"/>
        </w:tabs>
        <w:rPr>
          <w:kern w:val="2"/>
          <w:lang w:val="en-GB"/>
        </w:rPr>
      </w:pPr>
      <w:r>
        <w:rPr>
          <w:kern w:val="2"/>
          <w:lang w:val="en-GB"/>
        </w:rPr>
        <w:br w:type="page"/>
        <w:t>The rate for north and north-east Brazil was higher than the national average.  In the north-east, teacher remuneration rose 59.7 per cent, with an average increase for the municipal network of 70.1 per cent.  The average increase in northern Brazil reached 35 per cent, and was slightly higher in the state network at 37.9 per cent.  In centre-west Brazil, the average wage increase was 26.5 per cent, 23.6 per cent in the south-east, and 22.1 per cent in the south.</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kern w:val="2"/>
          <w:lang w:val="en-GB"/>
        </w:rPr>
        <w:t>These data are part of the Survey Assessing the FUNDEF Implementation Process (</w:t>
      </w:r>
      <w:r>
        <w:rPr>
          <w:iCs/>
          <w:kern w:val="2"/>
          <w:u w:val="single"/>
          <w:lang w:val="en-GB"/>
        </w:rPr>
        <w:t xml:space="preserve">Pesquisa sobre Avaliação do </w:t>
      </w:r>
      <w:r>
        <w:rPr>
          <w:kern w:val="2"/>
          <w:u w:val="single"/>
          <w:lang w:val="en-GB"/>
        </w:rPr>
        <w:t>Processo</w:t>
      </w:r>
      <w:r>
        <w:rPr>
          <w:iCs/>
          <w:kern w:val="2"/>
          <w:u w:val="single"/>
          <w:lang w:val="en-GB"/>
        </w:rPr>
        <w:t xml:space="preserve"> de Implantação do FUNDEF</w:t>
      </w:r>
      <w:r>
        <w:rPr>
          <w:kern w:val="2"/>
          <w:lang w:val="en-GB"/>
        </w:rPr>
        <w:t xml:space="preserve">) that the Applied Economic Research Institute Foundation (FIPE - </w:t>
      </w:r>
      <w:r>
        <w:rPr>
          <w:iCs/>
          <w:kern w:val="2"/>
          <w:u w:val="single"/>
          <w:lang w:val="en-GB"/>
        </w:rPr>
        <w:t>Fundação Instituto de Pesquisas Econômicas Aplicadas</w:t>
      </w:r>
      <w:r>
        <w:rPr>
          <w:kern w:val="2"/>
          <w:lang w:val="en-GB"/>
        </w:rPr>
        <w:t>) at the University of São Paulo was commissioned to carry out by the Ministry of Education.  This survey gathered information on the distribution of resources among the states and municipal districts, as well as on improvements in teacher qualifications.  This analysis was based on the average remuneration of teachers working an equivalent of 40 hours a week.</w:t>
      </w:r>
    </w:p>
    <w:p w:rsidR="00000000" w:rsidRDefault="00000000">
      <w:pPr>
        <w:rPr>
          <w:spacing w:val="20"/>
          <w:kern w:val="2"/>
        </w:rPr>
      </w:pPr>
    </w:p>
    <w:p w:rsidR="00000000" w:rsidRDefault="00000000">
      <w:pPr>
        <w:pStyle w:val="ParaNo"/>
        <w:tabs>
          <w:tab w:val="clear" w:pos="360"/>
          <w:tab w:val="clear" w:pos="737"/>
        </w:tabs>
        <w:ind w:left="0" w:firstLine="0"/>
        <w:rPr>
          <w:kern w:val="2"/>
          <w:lang w:val="en-GB"/>
        </w:rPr>
      </w:pPr>
      <w:r>
        <w:rPr>
          <w:kern w:val="2"/>
          <w:lang w:val="en-GB"/>
        </w:rPr>
        <w:t>Upgrading the value assigned to teachers is one of the key objectives of FUNDEF, which assigns 60 per cent of its funds to remunerating teachers at work in the classrooms providing basic education in the government-run system.  The data produced by this survey show that 39 per cent of the teaching networks were awarded increases of over 50 per cent from 1997 to 2000.</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kern w:val="2"/>
          <w:lang w:val="en-GB"/>
        </w:rPr>
        <w:t>With the exception of higher education, the supply of places in Government-run institutions prevailed over private institutions for all educational levels in terms of student registrations as well as the number of establishments.  From 1994 to 1998, the share held by the private network in the total number of educational establishments rose from 16 per cent to 25 per cent (early childhood education); 7 per cent to 9 per cent (basic education); 31 per cent to 34 per cent (high school); and 74 per cent to 78 per cent (higher education).</w:t>
      </w:r>
    </w:p>
    <w:p w:rsidR="00000000" w:rsidRDefault="00000000">
      <w:pPr>
        <w:rPr>
          <w:spacing w:val="20"/>
          <w:kern w:val="2"/>
        </w:rPr>
      </w:pPr>
    </w:p>
    <w:p w:rsidR="00000000" w:rsidRDefault="00000000">
      <w:pPr>
        <w:pStyle w:val="ParaNo"/>
        <w:tabs>
          <w:tab w:val="clear" w:pos="360"/>
          <w:tab w:val="clear" w:pos="737"/>
        </w:tabs>
        <w:ind w:left="0" w:firstLine="0"/>
        <w:rPr>
          <w:kern w:val="2"/>
          <w:lang w:val="en-GB"/>
        </w:rPr>
      </w:pPr>
      <w:r>
        <w:rPr>
          <w:kern w:val="2"/>
          <w:lang w:val="en-GB"/>
        </w:rPr>
        <w:t>There are no major constraints on opening private schools, although their functioning is conditional on prior accreditation by the corresponding State Education Council (</w:t>
      </w:r>
      <w:r>
        <w:rPr>
          <w:iCs/>
          <w:kern w:val="2"/>
          <w:u w:val="single"/>
          <w:lang w:val="en-GB"/>
        </w:rPr>
        <w:t>Conselho Estadual de Educação</w:t>
      </w:r>
      <w:r>
        <w:rPr>
          <w:kern w:val="2"/>
          <w:lang w:val="en-GB"/>
        </w:rPr>
        <w:t>) for educational levels up to high school, and the National Education Council for higher education institutions.</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kern w:val="2"/>
          <w:lang w:val="en-GB"/>
        </w:rPr>
        <w:t>It is hoped that the Brazilian Government has inspired the Committee on Economic, Social and Cultural Rights with a commitment to the right to education.  The efforts undertaken at all three levels of government, with rising mobilization and involvement of society in the redemption of Brazil’s Government-run school system, are reflected in the steady expansion of access to education at all levels.  The decentralization of programmes and government funding underwriting all levels of education through the adoption of transparent, universal criteria form the backbone of these initiatives.  Although there is still a long way to go, major advances have been achieved.</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kern w:val="2"/>
          <w:lang w:val="en-GB"/>
        </w:rPr>
        <w:br w:type="page"/>
        <w:t xml:space="preserve">In its efforts to foster the full implementation of the right to education, Brazil has sought international assistance, particularly for financing welfare projects and research.  Both UNICEF and the United Nations Development Programme (UNDP) have been particularly active, as have </w:t>
      </w:r>
    </w:p>
    <w:p w:rsidR="00000000" w:rsidRDefault="00000000">
      <w:pPr>
        <w:rPr>
          <w:kern w:val="2"/>
        </w:rPr>
      </w:pPr>
      <w:r>
        <w:rPr>
          <w:kern w:val="2"/>
        </w:rPr>
        <w:t xml:space="preserve">UNESCO offices.  Foreign loans from both the Inter-American Development Bank (IBD) as well </w:t>
      </w:r>
    </w:p>
    <w:p w:rsidR="00000000" w:rsidRDefault="00000000">
      <w:pPr>
        <w:rPr>
          <w:kern w:val="2"/>
        </w:rPr>
      </w:pPr>
      <w:r>
        <w:rPr>
          <w:kern w:val="2"/>
        </w:rPr>
        <w:t>as the World Bank are a significant source of funding which is used to underwrite projects whose core objective is to upgrade the quality of education in Brazil while underpinning the fairness of its educational system.</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kern w:val="2"/>
          <w:lang w:val="en-GB"/>
        </w:rPr>
        <w:t xml:space="preserve">The main initiative absorbing foreign funding is the </w:t>
      </w:r>
      <w:r>
        <w:rPr>
          <w:iCs/>
          <w:kern w:val="2"/>
          <w:u w:val="single"/>
          <w:lang w:val="en-GB"/>
        </w:rPr>
        <w:t>Projeto Nordeste</w:t>
      </w:r>
      <w:r>
        <w:rPr>
          <w:kern w:val="2"/>
          <w:lang w:val="en-GB"/>
        </w:rPr>
        <w:t xml:space="preserve"> run in the poorest parts of Brazil, particularly the north-east.  This has restructured and expanded the FUNDESCOLA Education Fund, extending it into northern and centre-west Brazil.  No less important is the Vocational Training Upgrade and Expansion Programme (PROEP) financed by the IDB in a total amount of US$ 500 million.</w:t>
      </w:r>
    </w:p>
    <w:p w:rsidR="00000000" w:rsidRDefault="00000000">
      <w:pPr>
        <w:rPr>
          <w:kern w:val="2"/>
        </w:rPr>
      </w:pPr>
    </w:p>
    <w:p w:rsidR="00000000" w:rsidRDefault="00000000">
      <w:pPr>
        <w:pStyle w:val="ParaNo"/>
        <w:tabs>
          <w:tab w:val="clear" w:pos="360"/>
          <w:tab w:val="clear" w:pos="737"/>
        </w:tabs>
        <w:ind w:left="0" w:firstLine="0"/>
        <w:rPr>
          <w:kern w:val="2"/>
          <w:lang w:val="en-GB"/>
        </w:rPr>
      </w:pPr>
      <w:r>
        <w:rPr>
          <w:kern w:val="2"/>
          <w:lang w:val="en-GB"/>
        </w:rPr>
        <w:t xml:space="preserve">From another but equally important standpoint, Brazil has been deeply involved with international cooperation initiatives in the field of education, assisting countries belonging to the Community of Portuguese-Speaking Countries (CPLP - </w:t>
      </w:r>
      <w:r>
        <w:rPr>
          <w:iCs/>
          <w:kern w:val="2"/>
          <w:u w:val="single"/>
          <w:lang w:val="en-GB"/>
        </w:rPr>
        <w:t>Comunidade de Países da Língua Portuguesa</w:t>
      </w:r>
      <w:r>
        <w:rPr>
          <w:kern w:val="2"/>
          <w:lang w:val="en-GB"/>
        </w:rPr>
        <w:t>) as well as East Timor.</w:t>
      </w:r>
    </w:p>
    <w:p w:rsidR="00000000" w:rsidRDefault="00000000"/>
    <w:p w:rsidR="00000000" w:rsidRDefault="00000000">
      <w:pPr>
        <w:pStyle w:val="Heading1"/>
      </w:pPr>
      <w:r>
        <w:t>Article 15</w:t>
      </w:r>
    </w:p>
    <w:p w:rsidR="00000000" w:rsidRDefault="00000000"/>
    <w:p w:rsidR="00000000" w:rsidRDefault="00000000">
      <w:pPr>
        <w:pStyle w:val="ParaNo"/>
        <w:tabs>
          <w:tab w:val="clear" w:pos="360"/>
          <w:tab w:val="clear" w:pos="737"/>
        </w:tabs>
        <w:ind w:left="0" w:firstLine="0"/>
        <w:rPr>
          <w:kern w:val="20"/>
          <w:lang w:val="en-GB"/>
        </w:rPr>
      </w:pPr>
      <w:r>
        <w:rPr>
          <w:kern w:val="20"/>
          <w:lang w:val="en-GB"/>
        </w:rPr>
        <w:t xml:space="preserve">In beginning its comments on article 15 of the International Covenant on Economic, Social and Cultural Rights, the Brazilian </w:t>
      </w:r>
      <w:r>
        <w:rPr>
          <w:kern w:val="2"/>
          <w:lang w:val="en-GB"/>
        </w:rPr>
        <w:t>Government</w:t>
      </w:r>
      <w:r>
        <w:rPr>
          <w:kern w:val="20"/>
          <w:lang w:val="en-GB"/>
        </w:rPr>
        <w:t xml:space="preserve"> would like to refer back to the comments on the document entitled “Report of Civil Society on Compliance by Brazil with the International Covenant on Economic, Social and Cultural Rights”, forwarded recently to the Committee on Economic, Social and Cultural Rights as the outcome of the broad-ranging consultation with civil society and intensive discussion.</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 xml:space="preserve">This document notes three positive </w:t>
      </w:r>
      <w:r>
        <w:rPr>
          <w:kern w:val="2"/>
          <w:lang w:val="en-GB"/>
        </w:rPr>
        <w:t>comments</w:t>
      </w:r>
      <w:r>
        <w:rPr>
          <w:kern w:val="20"/>
          <w:lang w:val="en-GB"/>
        </w:rPr>
        <w:t xml:space="preserve"> on the promotion and protection of the right to a cultural life and the enjoyment of scientific and technological development</w:t>
      </w:r>
      <w:r>
        <w:rPr>
          <w:rStyle w:val="EndnoteReference"/>
          <w:kern w:val="20"/>
          <w:lang w:val="en-GB"/>
        </w:rPr>
        <w:endnoteReference w:id="31"/>
      </w:r>
      <w:r>
        <w:rPr>
          <w:kern w:val="20"/>
          <w:lang w:val="en-GB"/>
        </w:rPr>
        <w:t xml:space="preserve"> in Brazil. For instance, references are noted to the fact that (i) “… real progress is noted today in Brazil in terms of the legal foundations for cultural rights …”; (ii) “…others are also keeping pace with this progress in the legislative field …”; (iii) “… two concrete examples are also noteworthy, reflecting a beneficial change in the stance of the Governments in terms of cultural investments. A good example is the appearance of high-quality official media that have won international awards, such as the educational and cultural television channels (</w:t>
      </w:r>
      <w:r>
        <w:rPr>
          <w:iCs/>
          <w:kern w:val="20"/>
          <w:u w:val="single"/>
          <w:lang w:val="en-GB"/>
        </w:rPr>
        <w:t>TV Educativa and TV Cultura</w:t>
      </w:r>
      <w:r>
        <w:rPr>
          <w:iCs/>
          <w:kern w:val="20"/>
          <w:lang w:val="en-GB"/>
        </w:rPr>
        <w:t xml:space="preserve">) </w:t>
      </w:r>
      <w:r>
        <w:rPr>
          <w:kern w:val="20"/>
          <w:lang w:val="en-GB"/>
        </w:rPr>
        <w:t>that have helped disseminate Brazil’s many different cultural manifestations ...”.</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 xml:space="preserve">Having noted this initial comment, owing to its importance, the Brazilian Government now wishes to cover more </w:t>
      </w:r>
      <w:r>
        <w:rPr>
          <w:kern w:val="2"/>
          <w:lang w:val="en-GB"/>
        </w:rPr>
        <w:t>specifically</w:t>
      </w:r>
      <w:r>
        <w:rPr>
          <w:kern w:val="20"/>
          <w:lang w:val="en-GB"/>
        </w:rPr>
        <w:t xml:space="preserve"> the points of interest constituting the guidelines of the Committee on Economic, Social and Cultural Rights as mentioned in article 15 of the International Covenant.</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br w:type="page"/>
        <w:t xml:space="preserve">The Brazilian </w:t>
      </w:r>
      <w:r>
        <w:rPr>
          <w:kern w:val="2"/>
          <w:lang w:val="en-GB"/>
        </w:rPr>
        <w:t>Government</w:t>
      </w:r>
      <w:r>
        <w:rPr>
          <w:kern w:val="20"/>
          <w:lang w:val="en-GB"/>
        </w:rPr>
        <w:t xml:space="preserve"> assigns the utmost importance to the participation of society as a whole in the cultural life of the nation, making no distinctions and encouraging the specific cultural characteristics of its many different ethnic groups.  The lines of action guiding Brazil’s cultural policy strive to meet these concerns.</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 xml:space="preserve">The basis for government actions is the </w:t>
      </w:r>
      <w:r>
        <w:rPr>
          <w:kern w:val="2"/>
          <w:lang w:val="en-GB"/>
        </w:rPr>
        <w:t>Brazilian</w:t>
      </w:r>
      <w:r>
        <w:rPr>
          <w:kern w:val="20"/>
          <w:lang w:val="en-GB"/>
        </w:rPr>
        <w:t xml:space="preserve"> Constitution, which acknowledges culture as a social right, guaranteed as such in its articles 215 and 216.  These articles express both public responsibility </w:t>
      </w:r>
      <w:r>
        <w:rPr>
          <w:kern w:val="2"/>
          <w:lang w:val="en-GB"/>
        </w:rPr>
        <w:t>for</w:t>
      </w:r>
      <w:r>
        <w:rPr>
          <w:kern w:val="20"/>
          <w:lang w:val="en-GB"/>
        </w:rPr>
        <w:t xml:space="preserve"> the protection and development of widely varying cultural expressions and the responsibility of the State for encouraging them.</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 xml:space="preserve">Culture is also viewed as an important sector in terms of the economic output of a country.  Books, the </w:t>
      </w:r>
      <w:r>
        <w:rPr>
          <w:kern w:val="2"/>
          <w:lang w:val="en-GB"/>
        </w:rPr>
        <w:t>theatre</w:t>
      </w:r>
      <w:r>
        <w:rPr>
          <w:kern w:val="20"/>
          <w:lang w:val="en-GB"/>
        </w:rPr>
        <w:t xml:space="preserve">, music, the cinema, </w:t>
      </w:r>
      <w:r>
        <w:rPr>
          <w:kern w:val="2"/>
          <w:lang w:val="en-GB"/>
        </w:rPr>
        <w:t>the</w:t>
      </w:r>
      <w:r>
        <w:rPr>
          <w:kern w:val="20"/>
          <w:lang w:val="en-GB"/>
        </w:rPr>
        <w:t xml:space="preserve"> arts, dance and television have all been building up dynamically into sectors generating jobs that are important for development.  In 1994, this sector employed 510,000 people throughout Brazil, accounting for around 1 per cent of the nation’s GDP.</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For the period 2000-2003, a new type of management system is being introduced for the cultural sector.  The Pluri-Annual Plan (PPA) drawn up by the Federal Government establishes performance and result indicators for monitoring the programmes run by the Ministry of Culture and its subordinate entities.  The Plan stipulates the guidelines for the cultural sector that falls under the responsibility of the State for the next four years.  The backbone of the Plan is the introduction of performance-measuring tools that assess all institutions undertaking activities related to the arts, libraries and the preservation of Brazil’s cultural heritage, in an effort to upgrade the quality of government spending in this sector and ensure greater continuity for its actions.</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t xml:space="preserve">Many different </w:t>
      </w:r>
      <w:r>
        <w:rPr>
          <w:kern w:val="2"/>
          <w:lang w:val="en-GB"/>
        </w:rPr>
        <w:t>types</w:t>
      </w:r>
      <w:r>
        <w:rPr>
          <w:kern w:val="20"/>
          <w:lang w:val="en-GB"/>
        </w:rPr>
        <w:t xml:space="preserve"> of financing have been introduced for cultural development and preservation.  Tax revenues are expended in Brazil through the Ministry of Culture and the State and Municipal Culture Bureaux.  Federal Law No. 8,313 introduced the following financial mechanisms:  the National Culture Fund (FNC - </w:t>
      </w:r>
      <w:r>
        <w:rPr>
          <w:iCs/>
          <w:kern w:val="20"/>
          <w:u w:val="single"/>
          <w:lang w:val="en-GB"/>
        </w:rPr>
        <w:t>Fundo Nacional de Cultura</w:t>
      </w:r>
      <w:r>
        <w:rPr>
          <w:kern w:val="20"/>
          <w:lang w:val="en-GB"/>
        </w:rPr>
        <w:t xml:space="preserve">) which allocates funds to cultural projects through repayable loans or grants to individuals and non-profit corporate legal entities, as well as government cultural agencies; and the Cultural and Artistic Investment Fund (FICART - </w:t>
      </w:r>
      <w:r>
        <w:rPr>
          <w:iCs/>
          <w:kern w:val="20"/>
          <w:u w:val="single"/>
          <w:lang w:val="en-GB"/>
        </w:rPr>
        <w:t>Fundo de Investimento Cultural e Artístico</w:t>
      </w:r>
      <w:r>
        <w:rPr>
          <w:kern w:val="20"/>
          <w:lang w:val="en-GB"/>
        </w:rPr>
        <w:t>), regulated by the Securities and Arts Patronage Commission (</w:t>
      </w:r>
      <w:r>
        <w:rPr>
          <w:iCs/>
          <w:kern w:val="20"/>
          <w:u w:val="single"/>
          <w:lang w:val="en-GB"/>
        </w:rPr>
        <w:t>Comissão de Valores Imobiliários e o Mecenato</w:t>
      </w:r>
      <w:r>
        <w:rPr>
          <w:kern w:val="20"/>
          <w:lang w:val="en-GB"/>
        </w:rPr>
        <w:t>), which introduces tax benefits for taxpayers who wish to invest in the cultural area.  Federal Law No. 8,685 (1993) modified by Law No. 9,323 (1996) supplements these financing tools.  Brazil’s Audio</w:t>
      </w:r>
      <w:r>
        <w:rPr>
          <w:kern w:val="20"/>
          <w:lang w:val="en-GB"/>
        </w:rPr>
        <w:noBreakHyphen/>
        <w:t>visual Act benefits audio-visual and cinematographic projects undertaken by independent producers, as well as projects related to this field for exhibition and distribution and to provide technical infrastructure.  In addition to these federal laws, there is an entire network of state and municipal legislation drawn up on the basis of the Federal Incentives Law.</w:t>
      </w:r>
    </w:p>
    <w:p w:rsidR="00000000" w:rsidRDefault="00000000">
      <w:pPr>
        <w:rPr>
          <w:kern w:val="20"/>
        </w:rPr>
      </w:pPr>
    </w:p>
    <w:p w:rsidR="00000000" w:rsidRDefault="00000000">
      <w:pPr>
        <w:pStyle w:val="ParaNo"/>
        <w:tabs>
          <w:tab w:val="clear" w:pos="360"/>
          <w:tab w:val="clear" w:pos="737"/>
        </w:tabs>
        <w:ind w:left="0" w:firstLine="0"/>
        <w:rPr>
          <w:kern w:val="20"/>
          <w:lang w:val="en-GB"/>
        </w:rPr>
      </w:pPr>
      <w:r>
        <w:rPr>
          <w:kern w:val="20"/>
          <w:lang w:val="en-GB"/>
        </w:rPr>
        <w:br w:type="page"/>
        <w:t>The table below lists investments in culture over the past few years at the federal level, including tax incentives:</w:t>
      </w:r>
    </w:p>
    <w:p w:rsidR="00000000" w:rsidRDefault="00000000">
      <w:pPr>
        <w:rPr>
          <w:kern w:val="20"/>
        </w:rPr>
      </w:pPr>
    </w:p>
    <w:p w:rsidR="00000000" w:rsidRDefault="00000000">
      <w:pPr>
        <w:pStyle w:val="Heading1"/>
        <w:rPr>
          <w:kern w:val="20"/>
        </w:rPr>
      </w:pPr>
      <w:r>
        <w:rPr>
          <w:kern w:val="20"/>
        </w:rPr>
        <w:t>Table 91</w:t>
      </w:r>
    </w:p>
    <w:p w:rsidR="00000000" w:rsidRDefault="00000000">
      <w:pPr>
        <w:rPr>
          <w:kern w:val="20"/>
        </w:rPr>
      </w:pPr>
    </w:p>
    <w:p w:rsidR="00000000" w:rsidRDefault="00000000">
      <w:pPr>
        <w:pStyle w:val="Heading1"/>
        <w:rPr>
          <w:kern w:val="20"/>
        </w:rPr>
      </w:pPr>
      <w:r>
        <w:rPr>
          <w:kern w:val="20"/>
        </w:rPr>
        <w:t>Investments in culture, including tax incentive funding, 1995-1999*</w:t>
      </w:r>
    </w:p>
    <w:p w:rsidR="00000000" w:rsidRDefault="00000000"/>
    <w:tbl>
      <w:tblPr>
        <w:tblW w:w="0" w:type="auto"/>
        <w:jc w:val="center"/>
        <w:tblInd w:w="-1294"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01"/>
        <w:gridCol w:w="3295"/>
      </w:tblGrid>
      <w:tr w:rsidR="00000000">
        <w:tblPrEx>
          <w:tblCellMar>
            <w:top w:w="0" w:type="dxa"/>
            <w:bottom w:w="0" w:type="dxa"/>
          </w:tblCellMar>
        </w:tblPrEx>
        <w:trPr>
          <w:trHeight w:val="178"/>
          <w:jc w:val="center"/>
        </w:trPr>
        <w:tc>
          <w:tcPr>
            <w:tcW w:w="3101" w:type="dxa"/>
            <w:tcBorders>
              <w:top w:val="single" w:sz="4" w:space="0" w:color="auto"/>
              <w:bottom w:val="single" w:sz="4" w:space="0" w:color="auto"/>
            </w:tcBorders>
            <w:vAlign w:val="center"/>
          </w:tcPr>
          <w:p w:rsidR="00000000" w:rsidRDefault="00000000">
            <w:pPr>
              <w:spacing w:before="40" w:after="40"/>
              <w:jc w:val="center"/>
              <w:rPr>
                <w:kern w:val="20"/>
              </w:rPr>
            </w:pPr>
            <w:r>
              <w:rPr>
                <w:kern w:val="20"/>
              </w:rPr>
              <w:t>Year</w:t>
            </w:r>
          </w:p>
        </w:tc>
        <w:tc>
          <w:tcPr>
            <w:tcW w:w="3295" w:type="dxa"/>
            <w:tcBorders>
              <w:top w:val="single" w:sz="4" w:space="0" w:color="auto"/>
              <w:bottom w:val="single" w:sz="4" w:space="0" w:color="auto"/>
            </w:tcBorders>
            <w:vAlign w:val="center"/>
          </w:tcPr>
          <w:p w:rsidR="00000000" w:rsidRDefault="00000000">
            <w:pPr>
              <w:spacing w:before="40" w:after="40"/>
              <w:jc w:val="center"/>
              <w:rPr>
                <w:kern w:val="20"/>
              </w:rPr>
            </w:pPr>
            <w:r>
              <w:rPr>
                <w:kern w:val="20"/>
              </w:rPr>
              <w:t>Cr$</w:t>
            </w:r>
          </w:p>
        </w:tc>
      </w:tr>
      <w:tr w:rsidR="00000000">
        <w:tblPrEx>
          <w:tblCellMar>
            <w:top w:w="0" w:type="dxa"/>
            <w:bottom w:w="0" w:type="dxa"/>
          </w:tblCellMar>
        </w:tblPrEx>
        <w:trPr>
          <w:jc w:val="center"/>
        </w:trPr>
        <w:tc>
          <w:tcPr>
            <w:tcW w:w="3101" w:type="dxa"/>
            <w:tcBorders>
              <w:top w:val="single" w:sz="4" w:space="0" w:color="auto"/>
            </w:tcBorders>
            <w:vAlign w:val="center"/>
          </w:tcPr>
          <w:p w:rsidR="00000000" w:rsidRDefault="00000000">
            <w:pPr>
              <w:spacing w:before="40" w:after="40"/>
              <w:jc w:val="center"/>
              <w:rPr>
                <w:kern w:val="20"/>
              </w:rPr>
            </w:pPr>
            <w:r>
              <w:rPr>
                <w:kern w:val="20"/>
              </w:rPr>
              <w:t>1995</w:t>
            </w:r>
          </w:p>
        </w:tc>
        <w:tc>
          <w:tcPr>
            <w:tcW w:w="3295" w:type="dxa"/>
            <w:tcBorders>
              <w:top w:val="single" w:sz="4" w:space="0" w:color="auto"/>
            </w:tcBorders>
            <w:vAlign w:val="center"/>
          </w:tcPr>
          <w:p w:rsidR="00000000" w:rsidRDefault="00000000">
            <w:pPr>
              <w:spacing w:before="40" w:after="40"/>
              <w:jc w:val="center"/>
              <w:rPr>
                <w:kern w:val="20"/>
              </w:rPr>
            </w:pPr>
            <w:r>
              <w:rPr>
                <w:kern w:val="20"/>
              </w:rPr>
              <w:t>163 923 850</w:t>
            </w:r>
          </w:p>
        </w:tc>
      </w:tr>
      <w:tr w:rsidR="00000000">
        <w:tblPrEx>
          <w:tblCellMar>
            <w:top w:w="0" w:type="dxa"/>
            <w:bottom w:w="0" w:type="dxa"/>
          </w:tblCellMar>
        </w:tblPrEx>
        <w:trPr>
          <w:jc w:val="center"/>
        </w:trPr>
        <w:tc>
          <w:tcPr>
            <w:tcW w:w="3101" w:type="dxa"/>
            <w:vAlign w:val="center"/>
          </w:tcPr>
          <w:p w:rsidR="00000000" w:rsidRDefault="00000000">
            <w:pPr>
              <w:spacing w:before="40" w:after="40"/>
              <w:jc w:val="center"/>
              <w:rPr>
                <w:kern w:val="20"/>
              </w:rPr>
            </w:pPr>
            <w:r>
              <w:rPr>
                <w:kern w:val="20"/>
              </w:rPr>
              <w:t>1996</w:t>
            </w:r>
          </w:p>
        </w:tc>
        <w:tc>
          <w:tcPr>
            <w:tcW w:w="3295" w:type="dxa"/>
            <w:vAlign w:val="center"/>
          </w:tcPr>
          <w:p w:rsidR="00000000" w:rsidRDefault="00000000">
            <w:pPr>
              <w:spacing w:before="40" w:after="40"/>
              <w:jc w:val="center"/>
              <w:rPr>
                <w:kern w:val="20"/>
              </w:rPr>
            </w:pPr>
            <w:r>
              <w:rPr>
                <w:kern w:val="20"/>
              </w:rPr>
              <w:t>249 372 977</w:t>
            </w:r>
          </w:p>
        </w:tc>
      </w:tr>
      <w:tr w:rsidR="00000000">
        <w:tblPrEx>
          <w:tblCellMar>
            <w:top w:w="0" w:type="dxa"/>
            <w:bottom w:w="0" w:type="dxa"/>
          </w:tblCellMar>
        </w:tblPrEx>
        <w:trPr>
          <w:jc w:val="center"/>
        </w:trPr>
        <w:tc>
          <w:tcPr>
            <w:tcW w:w="3101" w:type="dxa"/>
            <w:vAlign w:val="center"/>
          </w:tcPr>
          <w:p w:rsidR="00000000" w:rsidRDefault="00000000">
            <w:pPr>
              <w:spacing w:before="40" w:after="40"/>
              <w:jc w:val="center"/>
              <w:rPr>
                <w:kern w:val="20"/>
              </w:rPr>
            </w:pPr>
            <w:r>
              <w:rPr>
                <w:kern w:val="20"/>
              </w:rPr>
              <w:t>1997</w:t>
            </w:r>
          </w:p>
        </w:tc>
        <w:tc>
          <w:tcPr>
            <w:tcW w:w="3295" w:type="dxa"/>
            <w:vAlign w:val="center"/>
          </w:tcPr>
          <w:p w:rsidR="00000000" w:rsidRDefault="00000000">
            <w:pPr>
              <w:spacing w:before="40" w:after="40"/>
              <w:jc w:val="center"/>
              <w:rPr>
                <w:kern w:val="20"/>
              </w:rPr>
            </w:pPr>
            <w:r>
              <w:rPr>
                <w:kern w:val="20"/>
              </w:rPr>
              <w:t>382 108 002</w:t>
            </w:r>
          </w:p>
        </w:tc>
      </w:tr>
      <w:tr w:rsidR="00000000">
        <w:tblPrEx>
          <w:tblCellMar>
            <w:top w:w="0" w:type="dxa"/>
            <w:bottom w:w="0" w:type="dxa"/>
          </w:tblCellMar>
        </w:tblPrEx>
        <w:trPr>
          <w:jc w:val="center"/>
        </w:trPr>
        <w:tc>
          <w:tcPr>
            <w:tcW w:w="3101" w:type="dxa"/>
            <w:vAlign w:val="center"/>
          </w:tcPr>
          <w:p w:rsidR="00000000" w:rsidRDefault="00000000">
            <w:pPr>
              <w:spacing w:before="40" w:after="40"/>
              <w:jc w:val="center"/>
              <w:rPr>
                <w:kern w:val="20"/>
              </w:rPr>
            </w:pPr>
            <w:r>
              <w:rPr>
                <w:kern w:val="20"/>
              </w:rPr>
              <w:t>1998</w:t>
            </w:r>
          </w:p>
        </w:tc>
        <w:tc>
          <w:tcPr>
            <w:tcW w:w="3295" w:type="dxa"/>
            <w:vAlign w:val="center"/>
          </w:tcPr>
          <w:p w:rsidR="00000000" w:rsidRDefault="00000000">
            <w:pPr>
              <w:spacing w:before="40" w:after="40"/>
              <w:jc w:val="center"/>
              <w:rPr>
                <w:kern w:val="20"/>
              </w:rPr>
            </w:pPr>
            <w:r>
              <w:rPr>
                <w:kern w:val="20"/>
              </w:rPr>
              <w:t>347 463 546</w:t>
            </w:r>
          </w:p>
        </w:tc>
      </w:tr>
      <w:tr w:rsidR="00000000">
        <w:tblPrEx>
          <w:tblCellMar>
            <w:top w:w="0" w:type="dxa"/>
            <w:bottom w:w="0" w:type="dxa"/>
          </w:tblCellMar>
        </w:tblPrEx>
        <w:trPr>
          <w:jc w:val="center"/>
        </w:trPr>
        <w:tc>
          <w:tcPr>
            <w:tcW w:w="3101" w:type="dxa"/>
            <w:vAlign w:val="center"/>
          </w:tcPr>
          <w:p w:rsidR="00000000" w:rsidRDefault="00000000">
            <w:pPr>
              <w:spacing w:before="40" w:after="40"/>
              <w:jc w:val="center"/>
              <w:rPr>
                <w:kern w:val="20"/>
              </w:rPr>
            </w:pPr>
            <w:r>
              <w:rPr>
                <w:kern w:val="20"/>
              </w:rPr>
              <w:t>1999</w:t>
            </w:r>
          </w:p>
        </w:tc>
        <w:tc>
          <w:tcPr>
            <w:tcW w:w="3295" w:type="dxa"/>
            <w:vAlign w:val="center"/>
          </w:tcPr>
          <w:p w:rsidR="00000000" w:rsidRDefault="00000000">
            <w:pPr>
              <w:spacing w:before="40" w:after="40"/>
              <w:jc w:val="center"/>
              <w:rPr>
                <w:kern w:val="20"/>
              </w:rPr>
            </w:pPr>
            <w:r>
              <w:rPr>
                <w:kern w:val="20"/>
              </w:rPr>
              <w:t>331 274 011</w:t>
            </w:r>
          </w:p>
        </w:tc>
      </w:tr>
    </w:tbl>
    <w:p w:rsidR="00000000" w:rsidRDefault="00000000">
      <w:pPr>
        <w:rPr>
          <w:kern w:val="20"/>
        </w:rPr>
      </w:pPr>
    </w:p>
    <w:p w:rsidR="00000000" w:rsidRDefault="00000000">
      <w:pPr>
        <w:rPr>
          <w:kern w:val="20"/>
        </w:rPr>
      </w:pPr>
      <w:r>
        <w:rPr>
          <w:kern w:val="20"/>
        </w:rPr>
        <w:tab/>
      </w:r>
      <w:r>
        <w:rPr>
          <w:kern w:val="20"/>
        </w:rPr>
        <w:tab/>
      </w:r>
      <w:r>
        <w:rPr>
          <w:kern w:val="20"/>
        </w:rPr>
        <w:tab/>
      </w:r>
      <w:r>
        <w:rPr>
          <w:kern w:val="20"/>
          <w:u w:val="single"/>
        </w:rPr>
        <w:t>Source</w:t>
      </w:r>
      <w:r>
        <w:rPr>
          <w:kern w:val="20"/>
        </w:rPr>
        <w:t>:  Ministry of Culture.</w:t>
      </w:r>
    </w:p>
    <w:p w:rsidR="00000000" w:rsidRDefault="00000000">
      <w:pPr>
        <w:rPr>
          <w:kern w:val="20"/>
        </w:rPr>
      </w:pPr>
    </w:p>
    <w:p w:rsidR="00000000" w:rsidRDefault="00000000">
      <w:pPr>
        <w:rPr>
          <w:kern w:val="20"/>
        </w:rPr>
      </w:pPr>
      <w:r>
        <w:rPr>
          <w:kern w:val="20"/>
        </w:rPr>
        <w:tab/>
      </w:r>
      <w:r>
        <w:rPr>
          <w:kern w:val="20"/>
        </w:rPr>
        <w:tab/>
      </w:r>
      <w:r>
        <w:rPr>
          <w:kern w:val="20"/>
        </w:rPr>
        <w:tab/>
        <w:t xml:space="preserve">*  Excluding outlays on staff, benefits and administrative </w:t>
      </w:r>
    </w:p>
    <w:p w:rsidR="00000000" w:rsidRDefault="00000000">
      <w:pPr>
        <w:rPr>
          <w:kern w:val="20"/>
        </w:rPr>
      </w:pPr>
      <w:r>
        <w:rPr>
          <w:kern w:val="20"/>
        </w:rPr>
        <w:tab/>
      </w:r>
      <w:r>
        <w:rPr>
          <w:kern w:val="20"/>
        </w:rPr>
        <w:tab/>
        <w:t>maintenance of federal entities.</w:t>
      </w:r>
    </w:p>
    <w:p w:rsidR="00000000" w:rsidRDefault="00000000">
      <w:pPr>
        <w:rPr>
          <w:kern w:val="20"/>
        </w:rPr>
      </w:pPr>
    </w:p>
    <w:p w:rsidR="00000000" w:rsidRDefault="00000000">
      <w:pPr>
        <w:pStyle w:val="ParaNo"/>
        <w:tabs>
          <w:tab w:val="clear" w:pos="360"/>
          <w:tab w:val="clear" w:pos="737"/>
        </w:tabs>
        <w:rPr>
          <w:kern w:val="20"/>
          <w:lang w:val="en-GB"/>
        </w:rPr>
      </w:pPr>
      <w:r>
        <w:rPr>
          <w:kern w:val="20"/>
          <w:lang w:val="en-GB"/>
        </w:rPr>
        <w:t>The infrastructure providing support for cultural development is complex, constituting an institutional network that spreads through over 5,000 districts in Brazil, although clustered more heavily in states and regions with higher GDP rates.  The table below lists the number of establishments in the cultural field with contracted employees in 1996, by region.</w:t>
      </w:r>
    </w:p>
    <w:p w:rsidR="00000000" w:rsidRDefault="00000000">
      <w:pPr>
        <w:pStyle w:val="ParaNo"/>
        <w:numPr>
          <w:ilvl w:val="0"/>
          <w:numId w:val="0"/>
        </w:numPr>
        <w:tabs>
          <w:tab w:val="clear" w:pos="737"/>
        </w:tabs>
        <w:rPr>
          <w:kern w:val="20"/>
          <w:lang w:val="en-GB"/>
        </w:rPr>
      </w:pPr>
    </w:p>
    <w:p w:rsidR="00000000" w:rsidRDefault="00000000">
      <w:pPr>
        <w:pStyle w:val="Heading1"/>
        <w:rPr>
          <w:kern w:val="20"/>
        </w:rPr>
      </w:pPr>
      <w:r>
        <w:rPr>
          <w:kern w:val="20"/>
        </w:rPr>
        <w:t>Table 92</w:t>
      </w:r>
    </w:p>
    <w:p w:rsidR="00000000" w:rsidRDefault="00000000"/>
    <w:p w:rsidR="00000000" w:rsidRDefault="00000000">
      <w:pPr>
        <w:pStyle w:val="Heading1"/>
        <w:rPr>
          <w:kern w:val="20"/>
        </w:rPr>
      </w:pPr>
      <w:r>
        <w:rPr>
          <w:kern w:val="20"/>
        </w:rPr>
        <w:t>Establishments in the cultural sector by region, 1996</w:t>
      </w:r>
    </w:p>
    <w:p w:rsidR="00000000" w:rsidRDefault="00000000"/>
    <w:tbl>
      <w:tblPr>
        <w:tblW w:w="0" w:type="auto"/>
        <w:tblInd w:w="3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843"/>
        <w:gridCol w:w="1701"/>
        <w:gridCol w:w="1843"/>
        <w:gridCol w:w="1843"/>
        <w:gridCol w:w="1984"/>
      </w:tblGrid>
      <w:tr w:rsidR="00000000">
        <w:tblPrEx>
          <w:tblCellMar>
            <w:top w:w="0" w:type="dxa"/>
            <w:bottom w:w="0" w:type="dxa"/>
          </w:tblCellMar>
        </w:tblPrEx>
        <w:trPr>
          <w:cantSplit/>
          <w:trHeight w:val="638"/>
        </w:trPr>
        <w:tc>
          <w:tcPr>
            <w:tcW w:w="1843" w:type="dxa"/>
            <w:tcBorders>
              <w:top w:val="single" w:sz="4" w:space="0" w:color="auto"/>
              <w:bottom w:val="single" w:sz="4" w:space="0" w:color="auto"/>
            </w:tcBorders>
            <w:shd w:val="solid" w:color="FFFFFF" w:fill="auto"/>
            <w:vAlign w:val="center"/>
          </w:tcPr>
          <w:p w:rsidR="00000000" w:rsidRDefault="00000000">
            <w:pPr>
              <w:spacing w:before="40" w:after="40"/>
              <w:jc w:val="center"/>
              <w:rPr>
                <w:kern w:val="20"/>
              </w:rPr>
            </w:pPr>
            <w:r>
              <w:rPr>
                <w:kern w:val="20"/>
              </w:rPr>
              <w:t>Regions</w:t>
            </w:r>
          </w:p>
        </w:tc>
        <w:tc>
          <w:tcPr>
            <w:tcW w:w="1701" w:type="dxa"/>
            <w:tcBorders>
              <w:top w:val="single" w:sz="4" w:space="0" w:color="auto"/>
              <w:bottom w:val="single" w:sz="4" w:space="0" w:color="auto"/>
            </w:tcBorders>
            <w:shd w:val="solid" w:color="FFFFFF" w:fill="auto"/>
            <w:vAlign w:val="center"/>
          </w:tcPr>
          <w:p w:rsidR="00000000" w:rsidRDefault="00000000">
            <w:pPr>
              <w:spacing w:before="40" w:after="40"/>
              <w:jc w:val="center"/>
              <w:rPr>
                <w:kern w:val="20"/>
              </w:rPr>
            </w:pPr>
            <w:r>
              <w:rPr>
                <w:kern w:val="20"/>
              </w:rPr>
              <w:t>Film and video production</w:t>
            </w:r>
          </w:p>
        </w:tc>
        <w:tc>
          <w:tcPr>
            <w:tcW w:w="1843" w:type="dxa"/>
            <w:tcBorders>
              <w:top w:val="single" w:sz="4" w:space="0" w:color="auto"/>
              <w:bottom w:val="single" w:sz="4" w:space="0" w:color="auto"/>
            </w:tcBorders>
            <w:shd w:val="solid" w:color="FFFFFF" w:fill="auto"/>
            <w:vAlign w:val="center"/>
          </w:tcPr>
          <w:p w:rsidR="00000000" w:rsidRDefault="00000000">
            <w:pPr>
              <w:spacing w:before="40" w:after="40"/>
              <w:jc w:val="center"/>
              <w:rPr>
                <w:kern w:val="20"/>
              </w:rPr>
            </w:pPr>
            <w:r>
              <w:rPr>
                <w:kern w:val="20"/>
              </w:rPr>
              <w:t>Film and video distribution</w:t>
            </w:r>
          </w:p>
        </w:tc>
        <w:tc>
          <w:tcPr>
            <w:tcW w:w="1843" w:type="dxa"/>
            <w:tcBorders>
              <w:top w:val="single" w:sz="4" w:space="0" w:color="auto"/>
              <w:bottom w:val="single" w:sz="4" w:space="0" w:color="auto"/>
            </w:tcBorders>
            <w:shd w:val="solid" w:color="FFFFFF" w:fill="auto"/>
            <w:vAlign w:val="center"/>
          </w:tcPr>
          <w:p w:rsidR="00000000" w:rsidRDefault="00000000">
            <w:pPr>
              <w:spacing w:before="40" w:after="40"/>
              <w:jc w:val="center"/>
              <w:rPr>
                <w:kern w:val="20"/>
              </w:rPr>
            </w:pPr>
            <w:r>
              <w:rPr>
                <w:kern w:val="20"/>
              </w:rPr>
              <w:t>Films and video projection</w:t>
            </w:r>
          </w:p>
        </w:tc>
        <w:tc>
          <w:tcPr>
            <w:tcW w:w="1984" w:type="dxa"/>
            <w:tcBorders>
              <w:top w:val="single" w:sz="4" w:space="0" w:color="auto"/>
              <w:bottom w:val="single" w:sz="4" w:space="0" w:color="auto"/>
            </w:tcBorders>
            <w:shd w:val="solid" w:color="FFFFFF" w:fill="auto"/>
            <w:vAlign w:val="center"/>
          </w:tcPr>
          <w:p w:rsidR="00000000" w:rsidRDefault="00000000">
            <w:pPr>
              <w:spacing w:before="40" w:after="40"/>
              <w:jc w:val="center"/>
              <w:rPr>
                <w:kern w:val="20"/>
              </w:rPr>
            </w:pPr>
            <w:r>
              <w:rPr>
                <w:kern w:val="20"/>
              </w:rPr>
              <w:t>Theatre, music and other artistic activities</w:t>
            </w:r>
          </w:p>
        </w:tc>
      </w:tr>
      <w:tr w:rsidR="00000000">
        <w:tblPrEx>
          <w:tblCellMar>
            <w:top w:w="0" w:type="dxa"/>
            <w:bottom w:w="0" w:type="dxa"/>
          </w:tblCellMar>
        </w:tblPrEx>
        <w:trPr>
          <w:cantSplit/>
          <w:trHeight w:val="70"/>
        </w:trPr>
        <w:tc>
          <w:tcPr>
            <w:tcW w:w="1843" w:type="dxa"/>
            <w:tcBorders>
              <w:top w:val="single" w:sz="4" w:space="0" w:color="auto"/>
            </w:tcBorders>
            <w:shd w:val="solid" w:color="FFFFFF" w:fill="auto"/>
            <w:vAlign w:val="center"/>
          </w:tcPr>
          <w:p w:rsidR="00000000" w:rsidRDefault="00000000">
            <w:pPr>
              <w:spacing w:before="40" w:after="40"/>
              <w:rPr>
                <w:kern w:val="20"/>
              </w:rPr>
            </w:pPr>
            <w:r>
              <w:rPr>
                <w:kern w:val="20"/>
              </w:rPr>
              <w:t>North</w:t>
            </w:r>
          </w:p>
        </w:tc>
        <w:tc>
          <w:tcPr>
            <w:tcW w:w="1701" w:type="dxa"/>
            <w:tcBorders>
              <w:top w:val="single" w:sz="4" w:space="0" w:color="auto"/>
            </w:tcBorders>
            <w:shd w:val="solid" w:color="FFFFFF" w:fill="auto"/>
            <w:vAlign w:val="center"/>
          </w:tcPr>
          <w:p w:rsidR="00000000" w:rsidRDefault="00000000">
            <w:pPr>
              <w:spacing w:before="40" w:after="40"/>
              <w:ind w:right="737"/>
              <w:jc w:val="right"/>
              <w:rPr>
                <w:kern w:val="20"/>
              </w:rPr>
            </w:pPr>
            <w:r>
              <w:rPr>
                <w:kern w:val="20"/>
              </w:rPr>
              <w:t>8</w:t>
            </w:r>
          </w:p>
        </w:tc>
        <w:tc>
          <w:tcPr>
            <w:tcW w:w="1843" w:type="dxa"/>
            <w:tcBorders>
              <w:top w:val="single" w:sz="4" w:space="0" w:color="auto"/>
            </w:tcBorders>
            <w:shd w:val="solid" w:color="FFFFFF" w:fill="auto"/>
            <w:vAlign w:val="center"/>
          </w:tcPr>
          <w:p w:rsidR="00000000" w:rsidRDefault="00000000">
            <w:pPr>
              <w:spacing w:before="40" w:after="40"/>
              <w:ind w:right="737"/>
              <w:jc w:val="right"/>
              <w:rPr>
                <w:kern w:val="20"/>
              </w:rPr>
            </w:pPr>
            <w:r>
              <w:rPr>
                <w:kern w:val="20"/>
              </w:rPr>
              <w:t>59</w:t>
            </w:r>
          </w:p>
        </w:tc>
        <w:tc>
          <w:tcPr>
            <w:tcW w:w="1843" w:type="dxa"/>
            <w:tcBorders>
              <w:top w:val="single" w:sz="4" w:space="0" w:color="auto"/>
            </w:tcBorders>
            <w:shd w:val="solid" w:color="FFFFFF" w:fill="auto"/>
            <w:vAlign w:val="center"/>
          </w:tcPr>
          <w:p w:rsidR="00000000" w:rsidRDefault="00000000">
            <w:pPr>
              <w:spacing w:before="40" w:after="40"/>
              <w:ind w:right="737"/>
              <w:jc w:val="right"/>
              <w:rPr>
                <w:kern w:val="20"/>
              </w:rPr>
            </w:pPr>
            <w:r>
              <w:rPr>
                <w:kern w:val="20"/>
              </w:rPr>
              <w:t>29</w:t>
            </w:r>
          </w:p>
        </w:tc>
        <w:tc>
          <w:tcPr>
            <w:tcW w:w="1984" w:type="dxa"/>
            <w:tcBorders>
              <w:top w:val="single" w:sz="4" w:space="0" w:color="auto"/>
            </w:tcBorders>
            <w:shd w:val="solid" w:color="FFFFFF" w:fill="auto"/>
            <w:vAlign w:val="center"/>
          </w:tcPr>
          <w:p w:rsidR="00000000" w:rsidRDefault="00000000">
            <w:pPr>
              <w:spacing w:before="40" w:after="40"/>
              <w:ind w:right="737"/>
              <w:jc w:val="right"/>
              <w:rPr>
                <w:kern w:val="20"/>
              </w:rPr>
            </w:pPr>
            <w:r>
              <w:rPr>
                <w:kern w:val="20"/>
              </w:rPr>
              <w:t>12</w:t>
            </w:r>
          </w:p>
        </w:tc>
      </w:tr>
      <w:tr w:rsidR="00000000">
        <w:tblPrEx>
          <w:tblCellMar>
            <w:top w:w="0" w:type="dxa"/>
            <w:bottom w:w="0" w:type="dxa"/>
          </w:tblCellMar>
        </w:tblPrEx>
        <w:trPr>
          <w:cantSplit/>
          <w:trHeight w:val="114"/>
        </w:trPr>
        <w:tc>
          <w:tcPr>
            <w:tcW w:w="1843" w:type="dxa"/>
            <w:shd w:val="solid" w:color="FFFFFF" w:fill="auto"/>
            <w:vAlign w:val="center"/>
          </w:tcPr>
          <w:p w:rsidR="00000000" w:rsidRDefault="00000000">
            <w:pPr>
              <w:spacing w:before="40" w:after="40"/>
              <w:rPr>
                <w:kern w:val="20"/>
              </w:rPr>
            </w:pPr>
            <w:r>
              <w:rPr>
                <w:kern w:val="20"/>
              </w:rPr>
              <w:t xml:space="preserve">North-east </w:t>
            </w:r>
          </w:p>
        </w:tc>
        <w:tc>
          <w:tcPr>
            <w:tcW w:w="1701" w:type="dxa"/>
            <w:shd w:val="solid" w:color="FFFFFF" w:fill="auto"/>
            <w:vAlign w:val="center"/>
          </w:tcPr>
          <w:p w:rsidR="00000000" w:rsidRDefault="00000000">
            <w:pPr>
              <w:spacing w:before="40" w:after="40"/>
              <w:ind w:right="737"/>
              <w:jc w:val="right"/>
              <w:rPr>
                <w:kern w:val="20"/>
              </w:rPr>
            </w:pPr>
            <w:r>
              <w:rPr>
                <w:kern w:val="20"/>
              </w:rPr>
              <w:t>70</w:t>
            </w:r>
          </w:p>
        </w:tc>
        <w:tc>
          <w:tcPr>
            <w:tcW w:w="1843" w:type="dxa"/>
            <w:shd w:val="solid" w:color="FFFFFF" w:fill="auto"/>
            <w:vAlign w:val="center"/>
          </w:tcPr>
          <w:p w:rsidR="00000000" w:rsidRDefault="00000000">
            <w:pPr>
              <w:spacing w:before="40" w:after="40"/>
              <w:ind w:right="737"/>
              <w:jc w:val="right"/>
              <w:rPr>
                <w:kern w:val="20"/>
              </w:rPr>
            </w:pPr>
            <w:r>
              <w:rPr>
                <w:kern w:val="20"/>
              </w:rPr>
              <w:t>301</w:t>
            </w:r>
          </w:p>
        </w:tc>
        <w:tc>
          <w:tcPr>
            <w:tcW w:w="1843" w:type="dxa"/>
            <w:shd w:val="solid" w:color="FFFFFF" w:fill="auto"/>
            <w:vAlign w:val="center"/>
          </w:tcPr>
          <w:p w:rsidR="00000000" w:rsidRDefault="00000000">
            <w:pPr>
              <w:spacing w:before="40" w:after="40"/>
              <w:ind w:right="737"/>
              <w:jc w:val="right"/>
              <w:rPr>
                <w:kern w:val="20"/>
              </w:rPr>
            </w:pPr>
            <w:r>
              <w:rPr>
                <w:kern w:val="20"/>
              </w:rPr>
              <w:t>82</w:t>
            </w:r>
          </w:p>
        </w:tc>
        <w:tc>
          <w:tcPr>
            <w:tcW w:w="1984" w:type="dxa"/>
            <w:shd w:val="solid" w:color="FFFFFF" w:fill="auto"/>
            <w:vAlign w:val="center"/>
          </w:tcPr>
          <w:p w:rsidR="00000000" w:rsidRDefault="00000000">
            <w:pPr>
              <w:spacing w:before="40" w:after="40"/>
              <w:ind w:right="737"/>
              <w:jc w:val="right"/>
              <w:rPr>
                <w:kern w:val="20"/>
              </w:rPr>
            </w:pPr>
            <w:r>
              <w:rPr>
                <w:kern w:val="20"/>
              </w:rPr>
              <w:t>125</w:t>
            </w:r>
          </w:p>
        </w:tc>
      </w:tr>
      <w:tr w:rsidR="00000000">
        <w:tblPrEx>
          <w:tblCellMar>
            <w:top w:w="0" w:type="dxa"/>
            <w:bottom w:w="0" w:type="dxa"/>
          </w:tblCellMar>
        </w:tblPrEx>
        <w:trPr>
          <w:cantSplit/>
          <w:trHeight w:val="159"/>
        </w:trPr>
        <w:tc>
          <w:tcPr>
            <w:tcW w:w="1843" w:type="dxa"/>
            <w:shd w:val="solid" w:color="FFFFFF" w:fill="auto"/>
            <w:vAlign w:val="center"/>
          </w:tcPr>
          <w:p w:rsidR="00000000" w:rsidRDefault="00000000">
            <w:pPr>
              <w:spacing w:before="40" w:after="40"/>
              <w:rPr>
                <w:kern w:val="20"/>
              </w:rPr>
            </w:pPr>
            <w:r>
              <w:rPr>
                <w:kern w:val="20"/>
              </w:rPr>
              <w:t xml:space="preserve">South-east </w:t>
            </w:r>
          </w:p>
        </w:tc>
        <w:tc>
          <w:tcPr>
            <w:tcW w:w="1701" w:type="dxa"/>
            <w:shd w:val="solid" w:color="FFFFFF" w:fill="auto"/>
            <w:vAlign w:val="center"/>
          </w:tcPr>
          <w:p w:rsidR="00000000" w:rsidRDefault="00000000">
            <w:pPr>
              <w:spacing w:before="40" w:after="40"/>
              <w:ind w:right="737"/>
              <w:jc w:val="right"/>
              <w:rPr>
                <w:kern w:val="20"/>
              </w:rPr>
            </w:pPr>
            <w:r>
              <w:rPr>
                <w:kern w:val="20"/>
              </w:rPr>
              <w:t>517</w:t>
            </w:r>
          </w:p>
        </w:tc>
        <w:tc>
          <w:tcPr>
            <w:tcW w:w="1843" w:type="dxa"/>
            <w:shd w:val="solid" w:color="FFFFFF" w:fill="auto"/>
            <w:vAlign w:val="center"/>
          </w:tcPr>
          <w:p w:rsidR="00000000" w:rsidRDefault="00000000">
            <w:pPr>
              <w:spacing w:before="40" w:after="40"/>
              <w:ind w:right="737"/>
              <w:jc w:val="right"/>
              <w:rPr>
                <w:kern w:val="20"/>
              </w:rPr>
            </w:pPr>
            <w:r>
              <w:rPr>
                <w:kern w:val="20"/>
              </w:rPr>
              <w:t>1 562</w:t>
            </w:r>
          </w:p>
        </w:tc>
        <w:tc>
          <w:tcPr>
            <w:tcW w:w="1843" w:type="dxa"/>
            <w:shd w:val="solid" w:color="FFFFFF" w:fill="auto"/>
            <w:vAlign w:val="center"/>
          </w:tcPr>
          <w:p w:rsidR="00000000" w:rsidRDefault="00000000">
            <w:pPr>
              <w:spacing w:before="40" w:after="40"/>
              <w:ind w:right="737"/>
              <w:jc w:val="right"/>
              <w:rPr>
                <w:kern w:val="20"/>
              </w:rPr>
            </w:pPr>
            <w:r>
              <w:rPr>
                <w:kern w:val="20"/>
              </w:rPr>
              <w:t>464</w:t>
            </w:r>
          </w:p>
        </w:tc>
        <w:tc>
          <w:tcPr>
            <w:tcW w:w="1984" w:type="dxa"/>
            <w:shd w:val="solid" w:color="FFFFFF" w:fill="auto"/>
            <w:vAlign w:val="center"/>
          </w:tcPr>
          <w:p w:rsidR="00000000" w:rsidRDefault="00000000">
            <w:pPr>
              <w:spacing w:before="40" w:after="40"/>
              <w:ind w:right="737"/>
              <w:jc w:val="right"/>
              <w:rPr>
                <w:kern w:val="20"/>
              </w:rPr>
            </w:pPr>
            <w:r>
              <w:rPr>
                <w:kern w:val="20"/>
              </w:rPr>
              <w:t>562</w:t>
            </w:r>
          </w:p>
        </w:tc>
      </w:tr>
      <w:tr w:rsidR="00000000">
        <w:tblPrEx>
          <w:tblCellMar>
            <w:top w:w="0" w:type="dxa"/>
            <w:bottom w:w="0" w:type="dxa"/>
          </w:tblCellMar>
        </w:tblPrEx>
        <w:trPr>
          <w:cantSplit/>
          <w:trHeight w:val="70"/>
        </w:trPr>
        <w:tc>
          <w:tcPr>
            <w:tcW w:w="1843" w:type="dxa"/>
            <w:tcBorders>
              <w:bottom w:val="nil"/>
            </w:tcBorders>
            <w:shd w:val="solid" w:color="FFFFFF" w:fill="auto"/>
            <w:vAlign w:val="center"/>
          </w:tcPr>
          <w:p w:rsidR="00000000" w:rsidRDefault="00000000">
            <w:pPr>
              <w:spacing w:before="40" w:after="40"/>
              <w:rPr>
                <w:kern w:val="20"/>
              </w:rPr>
            </w:pPr>
            <w:r>
              <w:rPr>
                <w:kern w:val="20"/>
              </w:rPr>
              <w:t>South</w:t>
            </w:r>
          </w:p>
        </w:tc>
        <w:tc>
          <w:tcPr>
            <w:tcW w:w="1701" w:type="dxa"/>
            <w:tcBorders>
              <w:bottom w:val="nil"/>
            </w:tcBorders>
            <w:shd w:val="solid" w:color="FFFFFF" w:fill="auto"/>
            <w:vAlign w:val="center"/>
          </w:tcPr>
          <w:p w:rsidR="00000000" w:rsidRDefault="00000000">
            <w:pPr>
              <w:spacing w:before="40" w:after="40"/>
              <w:ind w:right="737"/>
              <w:jc w:val="right"/>
              <w:rPr>
                <w:kern w:val="20"/>
              </w:rPr>
            </w:pPr>
            <w:r>
              <w:rPr>
                <w:kern w:val="20"/>
              </w:rPr>
              <w:t>85</w:t>
            </w:r>
          </w:p>
        </w:tc>
        <w:tc>
          <w:tcPr>
            <w:tcW w:w="1843" w:type="dxa"/>
            <w:tcBorders>
              <w:bottom w:val="nil"/>
            </w:tcBorders>
            <w:shd w:val="solid" w:color="FFFFFF" w:fill="auto"/>
            <w:vAlign w:val="center"/>
          </w:tcPr>
          <w:p w:rsidR="00000000" w:rsidRDefault="00000000">
            <w:pPr>
              <w:spacing w:before="40" w:after="40"/>
              <w:ind w:right="737"/>
              <w:jc w:val="right"/>
              <w:rPr>
                <w:kern w:val="20"/>
              </w:rPr>
            </w:pPr>
            <w:r>
              <w:rPr>
                <w:kern w:val="20"/>
              </w:rPr>
              <w:t>469</w:t>
            </w:r>
          </w:p>
        </w:tc>
        <w:tc>
          <w:tcPr>
            <w:tcW w:w="1843" w:type="dxa"/>
            <w:tcBorders>
              <w:bottom w:val="nil"/>
            </w:tcBorders>
            <w:shd w:val="solid" w:color="FFFFFF" w:fill="auto"/>
            <w:vAlign w:val="center"/>
          </w:tcPr>
          <w:p w:rsidR="00000000" w:rsidRDefault="00000000">
            <w:pPr>
              <w:spacing w:before="40" w:after="40"/>
              <w:ind w:right="737"/>
              <w:jc w:val="right"/>
              <w:rPr>
                <w:kern w:val="20"/>
              </w:rPr>
            </w:pPr>
            <w:r>
              <w:rPr>
                <w:kern w:val="20"/>
              </w:rPr>
              <w:t>125</w:t>
            </w:r>
          </w:p>
        </w:tc>
        <w:tc>
          <w:tcPr>
            <w:tcW w:w="1984" w:type="dxa"/>
            <w:tcBorders>
              <w:bottom w:val="nil"/>
            </w:tcBorders>
            <w:shd w:val="solid" w:color="FFFFFF" w:fill="auto"/>
            <w:vAlign w:val="center"/>
          </w:tcPr>
          <w:p w:rsidR="00000000" w:rsidRDefault="00000000">
            <w:pPr>
              <w:spacing w:before="40" w:after="40"/>
              <w:ind w:right="737"/>
              <w:jc w:val="right"/>
              <w:rPr>
                <w:kern w:val="20"/>
              </w:rPr>
            </w:pPr>
            <w:r>
              <w:rPr>
                <w:kern w:val="20"/>
              </w:rPr>
              <w:t>142</w:t>
            </w:r>
          </w:p>
        </w:tc>
      </w:tr>
      <w:tr w:rsidR="00000000">
        <w:tblPrEx>
          <w:tblCellMar>
            <w:top w:w="0" w:type="dxa"/>
            <w:bottom w:w="0" w:type="dxa"/>
          </w:tblCellMar>
        </w:tblPrEx>
        <w:trPr>
          <w:cantSplit/>
          <w:trHeight w:val="110"/>
        </w:trPr>
        <w:tc>
          <w:tcPr>
            <w:tcW w:w="1843" w:type="dxa"/>
            <w:tcBorders>
              <w:top w:val="nil"/>
              <w:bottom w:val="single" w:sz="4" w:space="0" w:color="auto"/>
            </w:tcBorders>
            <w:shd w:val="solid" w:color="FFFFFF" w:fill="auto"/>
            <w:vAlign w:val="center"/>
          </w:tcPr>
          <w:p w:rsidR="00000000" w:rsidRDefault="00000000">
            <w:pPr>
              <w:spacing w:before="40" w:after="40"/>
              <w:rPr>
                <w:kern w:val="20"/>
              </w:rPr>
            </w:pPr>
            <w:r>
              <w:rPr>
                <w:kern w:val="20"/>
              </w:rPr>
              <w:t>Centre-west</w:t>
            </w:r>
          </w:p>
        </w:tc>
        <w:tc>
          <w:tcPr>
            <w:tcW w:w="1701" w:type="dxa"/>
            <w:tcBorders>
              <w:top w:val="nil"/>
              <w:bottom w:val="single" w:sz="4" w:space="0" w:color="auto"/>
            </w:tcBorders>
            <w:shd w:val="solid" w:color="FFFFFF" w:fill="auto"/>
            <w:vAlign w:val="center"/>
          </w:tcPr>
          <w:p w:rsidR="00000000" w:rsidRDefault="00000000">
            <w:pPr>
              <w:spacing w:before="40" w:after="40"/>
              <w:ind w:right="737"/>
              <w:jc w:val="right"/>
              <w:rPr>
                <w:kern w:val="20"/>
              </w:rPr>
            </w:pPr>
            <w:r>
              <w:rPr>
                <w:kern w:val="20"/>
              </w:rPr>
              <w:t>41</w:t>
            </w:r>
          </w:p>
        </w:tc>
        <w:tc>
          <w:tcPr>
            <w:tcW w:w="1843" w:type="dxa"/>
            <w:tcBorders>
              <w:top w:val="nil"/>
              <w:bottom w:val="single" w:sz="4" w:space="0" w:color="auto"/>
            </w:tcBorders>
            <w:shd w:val="solid" w:color="FFFFFF" w:fill="auto"/>
            <w:vAlign w:val="center"/>
          </w:tcPr>
          <w:p w:rsidR="00000000" w:rsidRDefault="00000000">
            <w:pPr>
              <w:spacing w:before="40" w:after="40"/>
              <w:ind w:right="737"/>
              <w:jc w:val="right"/>
              <w:rPr>
                <w:kern w:val="20"/>
              </w:rPr>
            </w:pPr>
            <w:r>
              <w:rPr>
                <w:kern w:val="20"/>
              </w:rPr>
              <w:t>168</w:t>
            </w:r>
          </w:p>
        </w:tc>
        <w:tc>
          <w:tcPr>
            <w:tcW w:w="1843" w:type="dxa"/>
            <w:tcBorders>
              <w:top w:val="nil"/>
              <w:bottom w:val="single" w:sz="4" w:space="0" w:color="auto"/>
            </w:tcBorders>
            <w:shd w:val="solid" w:color="FFFFFF" w:fill="auto"/>
            <w:vAlign w:val="center"/>
          </w:tcPr>
          <w:p w:rsidR="00000000" w:rsidRDefault="00000000">
            <w:pPr>
              <w:spacing w:before="40" w:after="40"/>
              <w:ind w:right="737"/>
              <w:jc w:val="right"/>
              <w:rPr>
                <w:kern w:val="20"/>
              </w:rPr>
            </w:pPr>
            <w:r>
              <w:rPr>
                <w:kern w:val="20"/>
              </w:rPr>
              <w:t>42</w:t>
            </w:r>
          </w:p>
        </w:tc>
        <w:tc>
          <w:tcPr>
            <w:tcW w:w="1984" w:type="dxa"/>
            <w:tcBorders>
              <w:top w:val="nil"/>
              <w:bottom w:val="single" w:sz="4" w:space="0" w:color="auto"/>
            </w:tcBorders>
            <w:shd w:val="solid" w:color="FFFFFF" w:fill="auto"/>
            <w:vAlign w:val="center"/>
          </w:tcPr>
          <w:p w:rsidR="00000000" w:rsidRDefault="00000000">
            <w:pPr>
              <w:spacing w:before="40" w:after="40"/>
              <w:ind w:right="737"/>
              <w:jc w:val="right"/>
              <w:rPr>
                <w:kern w:val="20"/>
              </w:rPr>
            </w:pPr>
            <w:r>
              <w:rPr>
                <w:kern w:val="20"/>
              </w:rPr>
              <w:t>50</w:t>
            </w:r>
          </w:p>
        </w:tc>
      </w:tr>
      <w:tr w:rsidR="00000000">
        <w:tblPrEx>
          <w:tblCellMar>
            <w:top w:w="0" w:type="dxa"/>
            <w:bottom w:w="0" w:type="dxa"/>
          </w:tblCellMar>
        </w:tblPrEx>
        <w:trPr>
          <w:cantSplit/>
          <w:trHeight w:val="70"/>
        </w:trPr>
        <w:tc>
          <w:tcPr>
            <w:tcW w:w="1843" w:type="dxa"/>
            <w:tcBorders>
              <w:top w:val="single" w:sz="4" w:space="0" w:color="auto"/>
            </w:tcBorders>
            <w:shd w:val="solid" w:color="FFFFFF" w:fill="auto"/>
            <w:vAlign w:val="center"/>
          </w:tcPr>
          <w:p w:rsidR="00000000" w:rsidRDefault="00000000">
            <w:pPr>
              <w:tabs>
                <w:tab w:val="left" w:pos="396"/>
              </w:tabs>
              <w:spacing w:before="40" w:after="40"/>
              <w:rPr>
                <w:kern w:val="20"/>
              </w:rPr>
            </w:pPr>
            <w:r>
              <w:rPr>
                <w:kern w:val="20"/>
              </w:rPr>
              <w:tab/>
              <w:t>Total</w:t>
            </w:r>
          </w:p>
        </w:tc>
        <w:tc>
          <w:tcPr>
            <w:tcW w:w="1701" w:type="dxa"/>
            <w:tcBorders>
              <w:top w:val="single" w:sz="4" w:space="0" w:color="auto"/>
            </w:tcBorders>
            <w:shd w:val="solid" w:color="FFFFFF" w:fill="auto"/>
            <w:vAlign w:val="center"/>
          </w:tcPr>
          <w:p w:rsidR="00000000" w:rsidRDefault="00000000">
            <w:pPr>
              <w:spacing w:before="40" w:after="40"/>
              <w:ind w:right="737"/>
              <w:jc w:val="right"/>
              <w:rPr>
                <w:kern w:val="20"/>
              </w:rPr>
            </w:pPr>
            <w:r>
              <w:rPr>
                <w:kern w:val="20"/>
              </w:rPr>
              <w:t>721</w:t>
            </w:r>
          </w:p>
        </w:tc>
        <w:tc>
          <w:tcPr>
            <w:tcW w:w="1843" w:type="dxa"/>
            <w:tcBorders>
              <w:top w:val="single" w:sz="4" w:space="0" w:color="auto"/>
            </w:tcBorders>
            <w:shd w:val="solid" w:color="FFFFFF" w:fill="auto"/>
            <w:vAlign w:val="center"/>
          </w:tcPr>
          <w:p w:rsidR="00000000" w:rsidRDefault="00000000">
            <w:pPr>
              <w:spacing w:before="40" w:after="40"/>
              <w:ind w:right="737"/>
              <w:jc w:val="right"/>
              <w:rPr>
                <w:kern w:val="20"/>
              </w:rPr>
            </w:pPr>
            <w:r>
              <w:rPr>
                <w:kern w:val="20"/>
              </w:rPr>
              <w:t>2 561</w:t>
            </w:r>
          </w:p>
        </w:tc>
        <w:tc>
          <w:tcPr>
            <w:tcW w:w="1843" w:type="dxa"/>
            <w:tcBorders>
              <w:top w:val="single" w:sz="4" w:space="0" w:color="auto"/>
            </w:tcBorders>
            <w:shd w:val="solid" w:color="FFFFFF" w:fill="auto"/>
            <w:vAlign w:val="center"/>
          </w:tcPr>
          <w:p w:rsidR="00000000" w:rsidRDefault="00000000">
            <w:pPr>
              <w:spacing w:before="40" w:after="40"/>
              <w:ind w:right="737"/>
              <w:jc w:val="right"/>
              <w:rPr>
                <w:kern w:val="20"/>
              </w:rPr>
            </w:pPr>
            <w:r>
              <w:rPr>
                <w:kern w:val="20"/>
              </w:rPr>
              <w:t>742</w:t>
            </w:r>
          </w:p>
        </w:tc>
        <w:tc>
          <w:tcPr>
            <w:tcW w:w="1984" w:type="dxa"/>
            <w:tcBorders>
              <w:top w:val="single" w:sz="4" w:space="0" w:color="auto"/>
            </w:tcBorders>
            <w:shd w:val="solid" w:color="FFFFFF" w:fill="auto"/>
            <w:vAlign w:val="center"/>
          </w:tcPr>
          <w:p w:rsidR="00000000" w:rsidRDefault="00000000">
            <w:pPr>
              <w:spacing w:before="40" w:after="40"/>
              <w:ind w:right="737"/>
              <w:jc w:val="right"/>
              <w:rPr>
                <w:kern w:val="20"/>
              </w:rPr>
            </w:pPr>
            <w:r>
              <w:rPr>
                <w:kern w:val="20"/>
              </w:rPr>
              <w:t>893</w:t>
            </w:r>
          </w:p>
        </w:tc>
      </w:tr>
    </w:tbl>
    <w:p w:rsidR="00000000" w:rsidRDefault="00000000">
      <w:pPr>
        <w:rPr>
          <w:bCs/>
          <w:kern w:val="20"/>
        </w:rPr>
      </w:pPr>
    </w:p>
    <w:p w:rsidR="00000000" w:rsidRDefault="00000000">
      <w:pPr>
        <w:rPr>
          <w:bCs/>
          <w:kern w:val="20"/>
        </w:rPr>
      </w:pPr>
      <w:r>
        <w:rPr>
          <w:bCs/>
          <w:kern w:val="20"/>
        </w:rPr>
        <w:tab/>
      </w:r>
      <w:r>
        <w:rPr>
          <w:bCs/>
          <w:kern w:val="20"/>
          <w:u w:val="single"/>
        </w:rPr>
        <w:t>Source</w:t>
      </w:r>
      <w:r>
        <w:rPr>
          <w:bCs/>
          <w:kern w:val="20"/>
        </w:rPr>
        <w:t>:  RAIS/Ministry of Labour 1996.</w:t>
      </w:r>
    </w:p>
    <w:p w:rsidR="00000000" w:rsidRDefault="00000000">
      <w:pPr>
        <w:rPr>
          <w:bCs/>
          <w:kern w:val="20"/>
        </w:rPr>
      </w:pPr>
    </w:p>
    <w:p w:rsidR="00000000" w:rsidRDefault="00000000">
      <w:pPr>
        <w:pStyle w:val="ParaNo"/>
        <w:tabs>
          <w:tab w:val="clear" w:pos="360"/>
          <w:tab w:val="clear" w:pos="737"/>
        </w:tabs>
        <w:rPr>
          <w:kern w:val="20"/>
          <w:lang w:val="en-GB"/>
        </w:rPr>
      </w:pPr>
      <w:r>
        <w:rPr>
          <w:kern w:val="20"/>
          <w:lang w:val="en-GB"/>
        </w:rPr>
        <w:br w:type="page"/>
        <w:t xml:space="preserve">Encouraging reading is another aspect that has drawn the attention of the Brazilian Government.  Due to its social and cultural importance, the Ministry of Culture has been implementing the National Reading Incentive Programme (PROLER - </w:t>
      </w:r>
      <w:r>
        <w:rPr>
          <w:iCs/>
          <w:kern w:val="20"/>
          <w:u w:val="single"/>
          <w:lang w:val="en-GB"/>
        </w:rPr>
        <w:t>Programa Nacional de Incentivo à Leitura</w:t>
      </w:r>
      <w:r>
        <w:rPr>
          <w:kern w:val="20"/>
          <w:lang w:val="en-GB"/>
        </w:rPr>
        <w:t>) introduced through Decree No. 519 in May 1992.  Through the National Library Foundation (</w:t>
      </w:r>
      <w:r>
        <w:rPr>
          <w:iCs/>
          <w:kern w:val="20"/>
          <w:u w:val="single"/>
          <w:lang w:val="en-GB"/>
        </w:rPr>
        <w:t>Fundação Biblioteca Nacional</w:t>
      </w:r>
      <w:r>
        <w:rPr>
          <w:kern w:val="20"/>
          <w:lang w:val="en-GB"/>
        </w:rPr>
        <w:t>) this programme interconnects initiatives run by many different institutions promoting the habit of reading, through setting up reading centres and libraries, as well as training educators.</w:t>
      </w:r>
    </w:p>
    <w:p w:rsidR="00000000" w:rsidRDefault="00000000">
      <w:pPr>
        <w:pStyle w:val="ParaNo"/>
        <w:numPr>
          <w:ilvl w:val="0"/>
          <w:numId w:val="0"/>
        </w:numPr>
        <w:tabs>
          <w:tab w:val="clear" w:pos="737"/>
        </w:tabs>
        <w:rPr>
          <w:kern w:val="20"/>
          <w:lang w:val="en-GB"/>
        </w:rPr>
      </w:pPr>
    </w:p>
    <w:p w:rsidR="00000000" w:rsidRDefault="00000000">
      <w:pPr>
        <w:pStyle w:val="ParaNo"/>
        <w:tabs>
          <w:tab w:val="clear" w:pos="360"/>
          <w:tab w:val="clear" w:pos="737"/>
        </w:tabs>
        <w:rPr>
          <w:kern w:val="20"/>
          <w:lang w:val="en-GB"/>
        </w:rPr>
      </w:pPr>
      <w:r>
        <w:rPr>
          <w:kern w:val="20"/>
          <w:lang w:val="en-GB"/>
        </w:rPr>
        <w:t>The Open Book (</w:t>
      </w:r>
      <w:r>
        <w:rPr>
          <w:iCs/>
          <w:kern w:val="20"/>
          <w:u w:val="single"/>
          <w:lang w:val="en-GB"/>
        </w:rPr>
        <w:t>Livro Aberto</w:t>
      </w:r>
      <w:r>
        <w:rPr>
          <w:kern w:val="20"/>
          <w:lang w:val="en-GB"/>
        </w:rPr>
        <w:t>) programme will extend through 2003, boosting the number of books printed in Brazil to a marked extent and increasing the number of municipal districts with public libraries to 71 per cent.  From 1996 through 1999, 671 libraries were established, absorbing investments through building up permanent collections, equipment, furniture and fittings that benefit all parts of Brazil, particularly the north-east, which is home to 28.5 per cent of the Brazilian population.</w:t>
      </w:r>
    </w:p>
    <w:p w:rsidR="00000000" w:rsidRDefault="00000000">
      <w:pPr>
        <w:pStyle w:val="ParaNo"/>
        <w:numPr>
          <w:ilvl w:val="0"/>
          <w:numId w:val="0"/>
        </w:numPr>
        <w:tabs>
          <w:tab w:val="clear" w:pos="737"/>
        </w:tabs>
        <w:rPr>
          <w:kern w:val="20"/>
          <w:lang w:val="en-GB"/>
        </w:rPr>
      </w:pPr>
    </w:p>
    <w:p w:rsidR="00000000" w:rsidRDefault="00000000">
      <w:pPr>
        <w:pStyle w:val="ParaNo"/>
        <w:tabs>
          <w:tab w:val="clear" w:pos="360"/>
          <w:tab w:val="clear" w:pos="737"/>
        </w:tabs>
        <w:rPr>
          <w:kern w:val="20"/>
          <w:lang w:val="en-GB"/>
        </w:rPr>
      </w:pPr>
      <w:r>
        <w:rPr>
          <w:kern w:val="20"/>
          <w:lang w:val="en-GB"/>
        </w:rPr>
        <w:t>Issued in May 1992, Decree No. 520 established the National Public Libraries System (</w:t>
      </w:r>
      <w:r>
        <w:rPr>
          <w:iCs/>
          <w:kern w:val="20"/>
          <w:u w:val="single"/>
          <w:lang w:val="en-GB"/>
        </w:rPr>
        <w:t>Sistema Nacional de Bibliotecas Públicas</w:t>
      </w:r>
      <w:r>
        <w:rPr>
          <w:kern w:val="20"/>
          <w:lang w:val="en-GB"/>
        </w:rPr>
        <w:t>) in order to implement and develop library services all over Brazil.  It is managed and coordinated by the National Library Foundation with the participation of states, the Federal District and municipal districts.  Data issued by the Ministry of Culture indicate that there are 4,009 libraries in Brazil, 37 per cent of them in the south-east and 29 per cent in the north-east.</w:t>
      </w:r>
    </w:p>
    <w:p w:rsidR="00000000" w:rsidRDefault="00000000">
      <w:pPr>
        <w:pStyle w:val="ParaNo"/>
        <w:numPr>
          <w:ilvl w:val="0"/>
          <w:numId w:val="0"/>
        </w:numPr>
        <w:tabs>
          <w:tab w:val="clear" w:pos="737"/>
        </w:tabs>
        <w:rPr>
          <w:kern w:val="20"/>
          <w:lang w:val="en-GB"/>
        </w:rPr>
      </w:pPr>
    </w:p>
    <w:p w:rsidR="00000000" w:rsidRDefault="00000000">
      <w:pPr>
        <w:pStyle w:val="Heading1"/>
        <w:rPr>
          <w:kern w:val="20"/>
        </w:rPr>
      </w:pPr>
      <w:r>
        <w:rPr>
          <w:kern w:val="20"/>
        </w:rPr>
        <w:t>Chart 13</w:t>
      </w:r>
    </w:p>
    <w:p w:rsidR="00000000" w:rsidRDefault="00000000"/>
    <w:p w:rsidR="00000000" w:rsidRDefault="00000000">
      <w:pPr>
        <w:jc w:val="center"/>
        <w:rPr>
          <w:b/>
          <w:bCs/>
        </w:rPr>
      </w:pPr>
      <w:r>
        <w:rPr>
          <w:b/>
          <w:bCs/>
        </w:rPr>
        <w:t>Brazil - Libraries by Region</w:t>
      </w:r>
    </w:p>
    <w:p w:rsidR="00000000" w:rsidRDefault="00000000">
      <w:pPr>
        <w:jc w:val="center"/>
        <w:rPr>
          <w:b/>
          <w:bCs/>
        </w:rPr>
      </w:pPr>
    </w:p>
    <w:p w:rsidR="00000000" w:rsidRDefault="00000000">
      <w:pPr>
        <w:jc w:val="center"/>
      </w:pPr>
      <w:r>
        <w:object w:dxaOrig="6329" w:dyaOrig="2835">
          <v:shape id="_x0000_i1035" type="#_x0000_t75" style="width:278.25pt;height:132.75pt" o:ole="">
            <v:imagedata r:id="rId42" o:title=""/>
          </v:shape>
          <o:OLEObject Type="Embed" ProgID="PBrush" ShapeID="_x0000_i1035" DrawAspect="Content" ObjectID="_1394878301" r:id="rId43"/>
        </w:object>
      </w:r>
    </w:p>
    <w:p w:rsidR="00000000" w:rsidRDefault="00000000">
      <w:r>
        <w:tab/>
      </w:r>
      <w:r>
        <w:tab/>
      </w:r>
      <w:r>
        <w:tab/>
        <w:t xml:space="preserve">   </w:t>
      </w:r>
      <w:r>
        <w:rPr>
          <w:u w:val="single"/>
        </w:rPr>
        <w:t>Source</w:t>
      </w:r>
      <w:r>
        <w:t>:  Ministry of Culture.</w:t>
      </w:r>
    </w:p>
    <w:p w:rsidR="00000000" w:rsidRDefault="00000000"/>
    <w:p w:rsidR="00000000" w:rsidRDefault="00000000">
      <w:pPr>
        <w:pStyle w:val="ParaNo"/>
        <w:tabs>
          <w:tab w:val="clear" w:pos="360"/>
          <w:tab w:val="clear" w:pos="737"/>
        </w:tabs>
        <w:rPr>
          <w:kern w:val="20"/>
          <w:lang w:val="en-GB"/>
        </w:rPr>
      </w:pPr>
      <w:r>
        <w:rPr>
          <w:kern w:val="20"/>
          <w:lang w:val="en-GB"/>
        </w:rPr>
        <w:t>All states in Brazil have been allocated funding for public libraries by the Ministry of Culture.  In 1995, Cr$ 3,029,149 were allocated to activities encouraging reading, with Cr$ 34,203,705 invested from 1996 to 1999.  The Library in Each Municipal District Programme (</w:t>
      </w:r>
      <w:r>
        <w:rPr>
          <w:iCs/>
          <w:kern w:val="20"/>
          <w:u w:val="single"/>
          <w:lang w:val="en-GB"/>
        </w:rPr>
        <w:t>Uma Biblioteca Em Cada Município</w:t>
      </w:r>
      <w:r>
        <w:rPr>
          <w:kern w:val="20"/>
          <w:lang w:val="en-GB"/>
        </w:rPr>
        <w:t xml:space="preserve">) established 354 public libraries in 1999 under the agreement signed with municipal districts.  On behalf of the Federal Government, the Ministry of Culture finances and purchases approximately 2,000 volumes and all equipment up to </w:t>
      </w:r>
      <w:r>
        <w:rPr>
          <w:color w:val="000000"/>
          <w:kern w:val="20"/>
          <w:lang w:val="en-GB"/>
        </w:rPr>
        <w:t>Cr$ 40,000</w:t>
      </w:r>
      <w:r>
        <w:rPr>
          <w:kern w:val="20"/>
          <w:lang w:val="en-GB"/>
        </w:rPr>
        <w:t>.  In addition to establishing new libraries, the Ministry is also allocating funds for the repair and expansion of permanent collections, renovations, acquisition of equipment, computerization of reading rooms and the conservation of existing units.</w:t>
      </w:r>
    </w:p>
    <w:p w:rsidR="00000000" w:rsidRDefault="00000000">
      <w:pPr>
        <w:pStyle w:val="ParaNo"/>
        <w:numPr>
          <w:ilvl w:val="0"/>
          <w:numId w:val="0"/>
        </w:numPr>
        <w:tabs>
          <w:tab w:val="clear" w:pos="737"/>
        </w:tabs>
        <w:rPr>
          <w:kern w:val="20"/>
          <w:lang w:val="en-GB"/>
        </w:rPr>
      </w:pPr>
    </w:p>
    <w:p w:rsidR="00000000" w:rsidRDefault="00000000">
      <w:pPr>
        <w:pStyle w:val="ParaNo"/>
        <w:tabs>
          <w:tab w:val="clear" w:pos="360"/>
          <w:tab w:val="clear" w:pos="737"/>
        </w:tabs>
        <w:rPr>
          <w:kern w:val="20"/>
          <w:lang w:val="en-GB"/>
        </w:rPr>
      </w:pPr>
      <w:r>
        <w:rPr>
          <w:kern w:val="20"/>
          <w:lang w:val="en-GB"/>
        </w:rPr>
        <w:br w:type="page"/>
        <w:t>Map No. 1 shows the distribution of libraries established or supported all over Brazil by the Ministry of Culture over the past few years.</w:t>
      </w:r>
    </w:p>
    <w:p w:rsidR="00000000" w:rsidRDefault="00000000">
      <w:pPr>
        <w:rPr>
          <w:kern w:val="20"/>
        </w:rPr>
      </w:pPr>
    </w:p>
    <w:p w:rsidR="00000000" w:rsidRDefault="00000000">
      <w:pPr>
        <w:pStyle w:val="Heading1"/>
      </w:pPr>
      <w:r>
        <w:t>Map No. 1</w:t>
      </w:r>
    </w:p>
    <w:p w:rsidR="00000000" w:rsidRDefault="00000000">
      <w:pPr>
        <w:pStyle w:val="Heading1"/>
        <w:jc w:val="left"/>
        <w:rPr>
          <w:b w:val="0"/>
        </w:rPr>
      </w:pPr>
      <w:r>
        <w:pict>
          <v:shape id="_x0000_s1038" type="#_x0000_t75" style="position:absolute;margin-left:0;margin-top:0;width:424.85pt;height:435.7pt;z-index:4" o:allowincell="f">
            <v:imagedata r:id="rId44" o:title=""/>
            <w10:wrap type="topAndBottom"/>
          </v:shape>
        </w:pict>
      </w:r>
      <w:r>
        <w:tab/>
      </w:r>
      <w:r>
        <w:rPr>
          <w:b w:val="0"/>
          <w:u w:val="single"/>
        </w:rPr>
        <w:t>Source</w:t>
      </w:r>
      <w:r>
        <w:rPr>
          <w:b w:val="0"/>
        </w:rPr>
        <w:t>:  Ministry of Culture.</w:t>
      </w:r>
    </w:p>
    <w:p w:rsidR="00000000" w:rsidRDefault="00000000">
      <w:pPr>
        <w:rPr>
          <w:kern w:val="20"/>
        </w:rPr>
      </w:pPr>
    </w:p>
    <w:p w:rsidR="00000000" w:rsidRDefault="00000000">
      <w:pPr>
        <w:pStyle w:val="ParaNo"/>
        <w:tabs>
          <w:tab w:val="clear" w:pos="360"/>
          <w:tab w:val="clear" w:pos="737"/>
        </w:tabs>
        <w:rPr>
          <w:kern w:val="20"/>
          <w:lang w:val="en-GB"/>
        </w:rPr>
      </w:pPr>
      <w:r>
        <w:rPr>
          <w:kern w:val="20"/>
          <w:lang w:val="en-GB"/>
        </w:rPr>
        <w:t>Another cultural activity that is being encouraged by the Government consists of bands and orchestras.  Over the past four years, over 1,000 municipal districts all over Brazil have been allocated funding by the Ministry of Culture to set up or modernize their own music bands.  Over this period, the Ministry supported 26 orchestras and some 400 artists and music experts taking part in Brazilian and international events.  In 1995, Cr$ 918,797 were allocated to underwrite four Brazilian orchestras.  From 1996 to 1999, Cr$ 17,550,037 were set aside for over 17,000 instruments and bands, as well as to establish and revitalize orchestras (see map No. 2 below).  Furthermore, the Ministry also supported the production of CDs featuring regional music, as well as music festivals and shows.</w:t>
      </w:r>
    </w:p>
    <w:p w:rsidR="00000000" w:rsidRDefault="00000000">
      <w:pPr>
        <w:pStyle w:val="ParaNo"/>
        <w:numPr>
          <w:ilvl w:val="0"/>
          <w:numId w:val="0"/>
        </w:numPr>
        <w:tabs>
          <w:tab w:val="clear" w:pos="737"/>
        </w:tabs>
        <w:rPr>
          <w:kern w:val="20"/>
          <w:lang w:val="en-GB"/>
        </w:rPr>
      </w:pPr>
    </w:p>
    <w:p w:rsidR="00000000" w:rsidRDefault="00000000">
      <w:pPr>
        <w:pStyle w:val="Heading1"/>
      </w:pPr>
      <w:r>
        <w:br w:type="page"/>
        <w:t>Map No. 2</w:t>
      </w:r>
    </w:p>
    <w:p w:rsidR="00000000" w:rsidRDefault="00000000"/>
    <w:p w:rsidR="00000000" w:rsidRDefault="00000000">
      <w:pPr>
        <w:rPr>
          <w:snapToGrid w:val="0"/>
          <w:lang w:eastAsia="pt-BR"/>
        </w:rPr>
      </w:pPr>
      <w:r>
        <w:pict>
          <v:shape id="_x0000_s1039" type="#_x0000_t75" style="position:absolute;margin-left:0;margin-top:0;width:424.85pt;height:456.7pt;z-index:5" o:allowincell="f">
            <v:imagedata r:id="rId45" o:title=""/>
            <w10:wrap type="topAndBottom"/>
          </v:shape>
        </w:pict>
      </w:r>
      <w:r>
        <w:rPr>
          <w:snapToGrid w:val="0"/>
          <w:lang w:eastAsia="pt-BR"/>
        </w:rPr>
        <w:tab/>
      </w:r>
      <w:r>
        <w:rPr>
          <w:snapToGrid w:val="0"/>
          <w:u w:val="single"/>
          <w:lang w:eastAsia="pt-BR"/>
        </w:rPr>
        <w:t>Source</w:t>
      </w:r>
      <w:r>
        <w:rPr>
          <w:snapToGrid w:val="0"/>
          <w:lang w:eastAsia="pt-BR"/>
        </w:rPr>
        <w:t>:  Ministry of Culture.</w:t>
      </w:r>
    </w:p>
    <w:p w:rsidR="00000000" w:rsidRDefault="00000000">
      <w:pPr>
        <w:rPr>
          <w:spacing w:val="20"/>
          <w:kern w:val="20"/>
        </w:rPr>
      </w:pPr>
    </w:p>
    <w:p w:rsidR="00000000" w:rsidRDefault="00000000">
      <w:pPr>
        <w:pStyle w:val="ParaNo"/>
        <w:tabs>
          <w:tab w:val="clear" w:pos="360"/>
          <w:tab w:val="clear" w:pos="737"/>
        </w:tabs>
        <w:rPr>
          <w:kern w:val="20"/>
          <w:lang w:val="en-GB"/>
        </w:rPr>
      </w:pPr>
      <w:r>
        <w:rPr>
          <w:kern w:val="20"/>
          <w:lang w:val="en-GB"/>
        </w:rPr>
        <w:t>There are some 1,300 museum-type institutions in Brazil, noted for their wide diversity:  national, regional and community, public and private, historical, artistic, anthropological and ethnographic, scientific and technological.  The main museums in Brazil are administered by the Ministry of Culture, and specialize in guided tours in parallel to educational and recreational activities targeting schoolchildren.  The system of not charging entrance fees on Sunday encourages increased access to these cultural institutions by everyone, regardless of their financial capacities.</w:t>
      </w:r>
    </w:p>
    <w:p w:rsidR="00000000" w:rsidRDefault="00000000">
      <w:pPr>
        <w:pStyle w:val="ParaNo"/>
        <w:numPr>
          <w:ilvl w:val="0"/>
          <w:numId w:val="0"/>
        </w:numPr>
        <w:tabs>
          <w:tab w:val="clear" w:pos="737"/>
        </w:tabs>
        <w:rPr>
          <w:kern w:val="20"/>
          <w:lang w:val="en-GB"/>
        </w:rPr>
      </w:pPr>
    </w:p>
    <w:p w:rsidR="00000000" w:rsidRDefault="00000000">
      <w:pPr>
        <w:pStyle w:val="ParaNo"/>
        <w:tabs>
          <w:tab w:val="clear" w:pos="360"/>
          <w:tab w:val="clear" w:pos="737"/>
        </w:tabs>
        <w:rPr>
          <w:kern w:val="20"/>
          <w:lang w:val="en-GB"/>
        </w:rPr>
      </w:pPr>
      <w:r>
        <w:rPr>
          <w:kern w:val="20"/>
          <w:lang w:val="en-GB"/>
        </w:rPr>
        <w:br w:type="page"/>
        <w:t>Cultural policies in Brazil are particularly sensitive to issues involving the affirmation of national identity.  In historical terms, the cinema and the nation’s historical and artistic heritage, the theatre, the arts and literature have made significant contributions to bolstering an awareness of citizenship within the national community to which they belong.  Consequently, it is felt that ethnic minorities constitute groups whose participation in the formation of Brazilian society warrants particular attention.  Historical and archaeological museums and institutes are key items in the interpretation and dissemination of a history and perception that should focus on the value of all types of diversity.  The Ministry of Culture is also supported by the Palmares Cultural Foundation (</w:t>
      </w:r>
      <w:r>
        <w:rPr>
          <w:iCs/>
          <w:kern w:val="20"/>
          <w:u w:val="single"/>
          <w:lang w:val="en-GB"/>
        </w:rPr>
        <w:t>Fundação Cultural Palmares</w:t>
      </w:r>
      <w:r>
        <w:rPr>
          <w:kern w:val="20"/>
          <w:lang w:val="en-GB"/>
        </w:rPr>
        <w:t>) whose main purpose is to foster the inclusion of Brazil’s black population in the all-round development process of the country.  Faithful to this principle, the Foundation organizes, participates in and monitors activities designed to upgrade the quality of life and enhance the value of black culture.</w:t>
      </w:r>
    </w:p>
    <w:p w:rsidR="00000000" w:rsidRDefault="00000000">
      <w:pPr>
        <w:pStyle w:val="ParaNo"/>
        <w:numPr>
          <w:ilvl w:val="0"/>
          <w:numId w:val="0"/>
        </w:numPr>
        <w:tabs>
          <w:tab w:val="clear" w:pos="737"/>
        </w:tabs>
        <w:rPr>
          <w:kern w:val="20"/>
          <w:lang w:val="en-GB"/>
        </w:rPr>
      </w:pPr>
    </w:p>
    <w:p w:rsidR="00000000" w:rsidRDefault="00000000">
      <w:pPr>
        <w:pStyle w:val="ParaNo"/>
        <w:tabs>
          <w:tab w:val="clear" w:pos="360"/>
          <w:tab w:val="clear" w:pos="737"/>
        </w:tabs>
        <w:rPr>
          <w:kern w:val="20"/>
          <w:lang w:val="en-GB"/>
        </w:rPr>
      </w:pPr>
      <w:r>
        <w:rPr>
          <w:kern w:val="20"/>
          <w:lang w:val="en-GB"/>
        </w:rPr>
        <w:t xml:space="preserve">The Foundation has completed its systematic mapping of the remaining </w:t>
      </w:r>
      <w:r>
        <w:rPr>
          <w:iCs/>
          <w:kern w:val="20"/>
          <w:u w:val="single"/>
          <w:lang w:val="en-GB"/>
        </w:rPr>
        <w:t>quilombos</w:t>
      </w:r>
      <w:r>
        <w:rPr>
          <w:rStyle w:val="EndnoteReference"/>
          <w:bCs/>
          <w:spacing w:val="20"/>
          <w:kern w:val="20"/>
          <w:lang w:val="en-GB"/>
        </w:rPr>
        <w:endnoteReference w:id="32"/>
      </w:r>
      <w:r>
        <w:rPr>
          <w:iCs/>
          <w:kern w:val="20"/>
          <w:lang w:val="en-GB"/>
        </w:rPr>
        <w:t xml:space="preserve"> </w:t>
      </w:r>
      <w:r>
        <w:rPr>
          <w:kern w:val="20"/>
          <w:lang w:val="en-GB"/>
        </w:rPr>
        <w:t>that once sheltered runaway slaves, building up stronger links through exchanges with African, European, Caribbean and North American countries, as well as the Community of Portuguese</w:t>
      </w:r>
      <w:r>
        <w:rPr>
          <w:kern w:val="20"/>
          <w:lang w:val="en-GB"/>
        </w:rPr>
        <w:noBreakHyphen/>
        <w:t xml:space="preserve">speaking countries.  It is structuring the National Black Culture Information and Reference Centre (CNIRCN - </w:t>
      </w:r>
      <w:r>
        <w:rPr>
          <w:iCs/>
          <w:kern w:val="20"/>
          <w:u w:val="single"/>
          <w:lang w:val="en-GB"/>
        </w:rPr>
        <w:t>Centro Nacional de Informação e Referência da Cultura Negra</w:t>
      </w:r>
      <w:r>
        <w:rPr>
          <w:kern w:val="20"/>
          <w:lang w:val="en-GB"/>
        </w:rPr>
        <w:t>), which the Government intends to inaugurate in 2001 as a significant physical, symbolic and virtual space providing recreational facilities that integrate and underpin Afro</w:t>
      </w:r>
      <w:r>
        <w:rPr>
          <w:kern w:val="20"/>
          <w:lang w:val="en-GB"/>
        </w:rPr>
        <w:noBreakHyphen/>
        <w:t>Brazilian culture.</w:t>
      </w:r>
    </w:p>
    <w:p w:rsidR="00000000" w:rsidRDefault="00000000">
      <w:pPr>
        <w:pStyle w:val="ParaNo"/>
        <w:numPr>
          <w:ilvl w:val="0"/>
          <w:numId w:val="0"/>
        </w:numPr>
        <w:tabs>
          <w:tab w:val="clear" w:pos="737"/>
        </w:tabs>
        <w:rPr>
          <w:kern w:val="20"/>
          <w:lang w:val="en-GB"/>
        </w:rPr>
      </w:pPr>
    </w:p>
    <w:p w:rsidR="00000000" w:rsidRDefault="00000000">
      <w:pPr>
        <w:pStyle w:val="ParaNo"/>
        <w:tabs>
          <w:tab w:val="clear" w:pos="360"/>
          <w:tab w:val="clear" w:pos="737"/>
        </w:tabs>
        <w:rPr>
          <w:kern w:val="20"/>
          <w:lang w:val="en-GB"/>
        </w:rPr>
      </w:pPr>
      <w:r>
        <w:rPr>
          <w:kern w:val="20"/>
          <w:lang w:val="en-GB"/>
        </w:rPr>
        <w:t>Also through the Palmares Foundation, the Brazilian Government has supported events in many different parts of Brazil striving to affirm Negro cultural identity within the context of a pluralistic society, enhancing the value of the dynamism, wealth and diversity of its many forms of creation and expression, striving to shrink spatial and social imbalances, encouraging exchange of artistic experiences in many different fields and bringing out the full potential of Afro</w:t>
      </w:r>
      <w:r>
        <w:rPr>
          <w:kern w:val="20"/>
          <w:lang w:val="en-GB"/>
        </w:rPr>
        <w:noBreakHyphen/>
        <w:t>Brazilian output.  Working closely with federal, state and municipal government entities, as well as non-governmental organizations, producers and experts in Afro-Brazilian culture, the Foundation supports the quest for spaces and opportunities where projects of interest to the black community can be run, in addition to striving to maintain folk culture, the framework of black culture and Brazilian culture both in Brazil and abroad.</w:t>
      </w:r>
    </w:p>
    <w:p w:rsidR="00000000" w:rsidRDefault="00000000">
      <w:pPr>
        <w:pStyle w:val="ParaNo"/>
        <w:numPr>
          <w:ilvl w:val="0"/>
          <w:numId w:val="0"/>
        </w:numPr>
        <w:tabs>
          <w:tab w:val="clear" w:pos="737"/>
        </w:tabs>
        <w:rPr>
          <w:kern w:val="20"/>
          <w:lang w:val="en-GB"/>
        </w:rPr>
      </w:pPr>
    </w:p>
    <w:p w:rsidR="00000000" w:rsidRDefault="00000000">
      <w:pPr>
        <w:pStyle w:val="ParaNo"/>
        <w:tabs>
          <w:tab w:val="clear" w:pos="360"/>
          <w:tab w:val="clear" w:pos="737"/>
        </w:tabs>
        <w:rPr>
          <w:kern w:val="20"/>
          <w:lang w:val="en-GB"/>
        </w:rPr>
      </w:pPr>
      <w:r>
        <w:rPr>
          <w:kern w:val="20"/>
          <w:lang w:val="en-GB"/>
        </w:rPr>
        <w:t xml:space="preserve">There is much concern within the Brazilian Government over promoting the nation’s cultural identity through the audio-visual sector, as it is keenly aware that full freedom of expression and artistic creation do not run counter to the need to ensure the expression of traditional cultures in Brazil and the wide diversity of their origins.  This is the basic reason behind article 29 of Law No. </w:t>
      </w:r>
      <w:r>
        <w:rPr>
          <w:color w:val="000000"/>
          <w:kern w:val="20"/>
          <w:lang w:val="en-GB"/>
        </w:rPr>
        <w:t>84501/1992 which</w:t>
      </w:r>
      <w:r>
        <w:rPr>
          <w:kern w:val="20"/>
          <w:lang w:val="en-GB"/>
        </w:rPr>
        <w:t xml:space="preserve"> stipulates that movie theatres should allocate a certain number of days (reassessed each year) solely to displaying Brazilian full-length features.</w:t>
      </w:r>
    </w:p>
    <w:p w:rsidR="00000000" w:rsidRDefault="00000000">
      <w:pPr>
        <w:pStyle w:val="ParaNo"/>
        <w:numPr>
          <w:ilvl w:val="0"/>
          <w:numId w:val="0"/>
        </w:numPr>
        <w:tabs>
          <w:tab w:val="clear" w:pos="737"/>
        </w:tabs>
        <w:rPr>
          <w:kern w:val="20"/>
          <w:lang w:val="en-GB"/>
        </w:rPr>
      </w:pPr>
    </w:p>
    <w:p w:rsidR="00000000" w:rsidRDefault="00000000">
      <w:pPr>
        <w:pStyle w:val="ParaNo"/>
        <w:tabs>
          <w:tab w:val="clear" w:pos="360"/>
          <w:tab w:val="clear" w:pos="737"/>
        </w:tabs>
        <w:rPr>
          <w:kern w:val="20"/>
          <w:lang w:val="en-GB"/>
        </w:rPr>
      </w:pPr>
      <w:r>
        <w:rPr>
          <w:kern w:val="20"/>
          <w:lang w:val="en-GB"/>
        </w:rPr>
        <w:t xml:space="preserve">Brazil’s indigenous communities are sheltered by the National Indian Foundation (FUNAI - </w:t>
      </w:r>
      <w:r>
        <w:rPr>
          <w:iCs/>
          <w:kern w:val="20"/>
          <w:u w:val="single"/>
          <w:lang w:val="en-GB"/>
        </w:rPr>
        <w:t>Fundação Nacional do Índio</w:t>
      </w:r>
      <w:r>
        <w:rPr>
          <w:kern w:val="20"/>
          <w:lang w:val="en-GB"/>
        </w:rPr>
        <w:t>) under the Ministry of Justice, which also protects their culture.  Recently inaugurated were Open Air Discovery Museums (</w:t>
      </w:r>
      <w:r>
        <w:rPr>
          <w:iCs/>
          <w:kern w:val="20"/>
          <w:u w:val="single"/>
          <w:lang w:val="en-GB"/>
        </w:rPr>
        <w:t>Museus Abertos do Descobrimento</w:t>
      </w:r>
      <w:r>
        <w:rPr>
          <w:kern w:val="20"/>
          <w:lang w:val="en-GB"/>
        </w:rPr>
        <w:t xml:space="preserve">), whose concept extends beyond those traditionally associated with similar </w:t>
      </w:r>
    </w:p>
    <w:p w:rsidR="00000000" w:rsidRDefault="00000000">
      <w:pPr>
        <w:rPr>
          <w:kern w:val="20"/>
        </w:rPr>
      </w:pPr>
      <w:r>
        <w:rPr>
          <w:kern w:val="20"/>
        </w:rPr>
        <w:t xml:space="preserve">cultural institutions.  Among these museums are the area now known as the Discovery </w:t>
      </w:r>
    </w:p>
    <w:p w:rsidR="00000000" w:rsidRDefault="00000000">
      <w:pPr>
        <w:rPr>
          <w:kern w:val="20"/>
        </w:rPr>
      </w:pPr>
      <w:r>
        <w:rPr>
          <w:kern w:val="20"/>
        </w:rPr>
        <w:br w:type="page"/>
        <w:t>Quadrilateral (</w:t>
      </w:r>
      <w:r>
        <w:rPr>
          <w:iCs/>
          <w:kern w:val="20"/>
          <w:u w:val="single"/>
        </w:rPr>
        <w:t>Quadrilátero do Descobrimento</w:t>
      </w:r>
      <w:r>
        <w:rPr>
          <w:kern w:val="20"/>
        </w:rPr>
        <w:t>), highlighting the diversity of landscapes and situations, including historical urban complexes,</w:t>
      </w:r>
      <w:r>
        <w:rPr>
          <w:rStyle w:val="EndnoteReference"/>
          <w:kern w:val="20"/>
        </w:rPr>
        <w:endnoteReference w:id="33"/>
      </w:r>
      <w:r>
        <w:rPr>
          <w:kern w:val="20"/>
        </w:rPr>
        <w:t xml:space="preserve"> and attracting large numbers of visitors; Atlantic Rainforest reserves (Vera Cruz, Parque Pau Brasil); a nature park at Monte Pascoal, which also has a very important historical monument and where indigenous communities still live; archaeological sites; and indigenous reserves (one of them, allocated to the Coroa Vermelha tribe, is in an urban area of considerable historic value).  Another example of how the Open Air Discovery Museum seeks to move beyond the traditional concept of this type of institution is its organization of the Pataxó Cultural Complex, handled through the National Historical and Artistic Heritage Institute (IPHAN - </w:t>
      </w:r>
      <w:r>
        <w:rPr>
          <w:iCs/>
          <w:kern w:val="20"/>
          <w:u w:val="single"/>
        </w:rPr>
        <w:t>Instituto do Patrimônio Histórico e Artístico Nacional</w:t>
      </w:r>
      <w:r>
        <w:rPr>
          <w:kern w:val="20"/>
        </w:rPr>
        <w:t>).  This complex includes a health-care clinic, two workshops preparing medicinal herbs and a store that sells them, a school with six classrooms, a community recreation area and canteen, offices and bathrooms, which were designed with the participation of the community itself.</w:t>
      </w:r>
    </w:p>
    <w:p w:rsidR="00000000" w:rsidRDefault="00000000">
      <w:pPr>
        <w:pStyle w:val="ParaNo"/>
        <w:numPr>
          <w:ilvl w:val="0"/>
          <w:numId w:val="0"/>
        </w:numPr>
        <w:tabs>
          <w:tab w:val="clear" w:pos="737"/>
        </w:tabs>
        <w:rPr>
          <w:kern w:val="20"/>
          <w:lang w:val="en-GB"/>
        </w:rPr>
      </w:pPr>
    </w:p>
    <w:p w:rsidR="00000000" w:rsidRDefault="00000000">
      <w:pPr>
        <w:pStyle w:val="ParaNo"/>
        <w:tabs>
          <w:tab w:val="clear" w:pos="360"/>
          <w:tab w:val="clear" w:pos="737"/>
        </w:tabs>
        <w:rPr>
          <w:kern w:val="20"/>
          <w:lang w:val="en-GB"/>
        </w:rPr>
      </w:pPr>
      <w:r>
        <w:rPr>
          <w:kern w:val="20"/>
          <w:lang w:val="en-GB"/>
        </w:rPr>
        <w:t>Owing to its significance for Brazil’s cultural heritage, the Discovery Coast (</w:t>
      </w:r>
      <w:r>
        <w:rPr>
          <w:iCs/>
          <w:kern w:val="20"/>
          <w:u w:val="single"/>
          <w:lang w:val="en-GB"/>
        </w:rPr>
        <w:t>Costa do Descobrimento</w:t>
      </w:r>
      <w:r>
        <w:rPr>
          <w:kern w:val="20"/>
          <w:lang w:val="en-GB"/>
        </w:rPr>
        <w:t>), which includes the segment of the coastline where Brazil’s first capital was established by the Portuguese navigators, has been listed as a World Heritage Site by UNESCO.</w:t>
      </w:r>
    </w:p>
    <w:p w:rsidR="00000000" w:rsidRDefault="00000000">
      <w:pPr>
        <w:pStyle w:val="ParaNo"/>
        <w:numPr>
          <w:ilvl w:val="0"/>
          <w:numId w:val="0"/>
        </w:numPr>
        <w:tabs>
          <w:tab w:val="clear" w:pos="737"/>
        </w:tabs>
        <w:rPr>
          <w:kern w:val="20"/>
          <w:lang w:val="en-GB"/>
        </w:rPr>
      </w:pPr>
    </w:p>
    <w:p w:rsidR="00000000" w:rsidRDefault="00000000">
      <w:pPr>
        <w:pStyle w:val="ParaNo"/>
        <w:tabs>
          <w:tab w:val="clear" w:pos="360"/>
          <w:tab w:val="clear" w:pos="737"/>
        </w:tabs>
        <w:rPr>
          <w:kern w:val="20"/>
          <w:lang w:val="en-GB"/>
        </w:rPr>
      </w:pPr>
      <w:r>
        <w:rPr>
          <w:kern w:val="20"/>
          <w:lang w:val="en-GB"/>
        </w:rPr>
        <w:t>The Government-owned permanent collections in Brazil are assigned to IPHAN, which manages 16,000 heritage sites, 61 historical urban sites and 11,000 registered archaeological sites, all open to the public, and is responsible for more than 1 million objects, including permanent museum collections, some 245,000 books and 2 kilometres of archive documentation, in addition to photographs, films and videos.</w:t>
      </w:r>
    </w:p>
    <w:p w:rsidR="00000000" w:rsidRDefault="00000000">
      <w:pPr>
        <w:pStyle w:val="ParaNo"/>
        <w:numPr>
          <w:ilvl w:val="0"/>
          <w:numId w:val="0"/>
        </w:numPr>
        <w:tabs>
          <w:tab w:val="clear" w:pos="737"/>
        </w:tabs>
        <w:rPr>
          <w:kern w:val="20"/>
          <w:lang w:val="en-GB"/>
        </w:rPr>
      </w:pPr>
    </w:p>
    <w:p w:rsidR="00000000" w:rsidRDefault="00000000">
      <w:pPr>
        <w:pStyle w:val="ParaNo"/>
        <w:tabs>
          <w:tab w:val="clear" w:pos="360"/>
          <w:tab w:val="clear" w:pos="737"/>
        </w:tabs>
        <w:rPr>
          <w:kern w:val="20"/>
          <w:lang w:val="en-GB"/>
        </w:rPr>
      </w:pPr>
      <w:r>
        <w:rPr>
          <w:kern w:val="20"/>
          <w:lang w:val="en-GB"/>
        </w:rPr>
        <w:t>Established in 1937 and therefore the oldest cultural assets preservation institution in Latin America, IPHAN has a wide variety of duties and responsibilities, ranging from the identification, protection, restoration, preservation and supervision of physical, archaeological and intellectual assets, as well as landscapes, through the administration of libraries, archives and museums, caring for many significant aspects of Brazil’s cultural panorama.  Its activities are implemented through 14 regional superintendencies and 19 subregional offices, as well as the National Fine Arts Museum, the National History Museum, the Imperial Museum, the Republic Museum, Independence (</w:t>
      </w:r>
      <w:r>
        <w:rPr>
          <w:iCs/>
          <w:noProof/>
          <w:kern w:val="20"/>
          <w:u w:val="single"/>
          <w:lang w:val="en-GB"/>
        </w:rPr>
        <w:t>Inconfidência</w:t>
      </w:r>
      <w:r>
        <w:rPr>
          <w:kern w:val="20"/>
          <w:lang w:val="en-GB"/>
        </w:rPr>
        <w:t>) Museum, and the Lasar Segall, Villa-Lobos, Castro Maya and Mello Leitão Museums, the Roberto Burle Marx Estate, the Paço Imperial Palace and the Brazilian Cinema Library, in addition to 18 regional museums, 9 historic houses and 1 historic park.</w:t>
      </w:r>
    </w:p>
    <w:p w:rsidR="00000000" w:rsidRDefault="00000000">
      <w:pPr>
        <w:pStyle w:val="ParaNo"/>
        <w:numPr>
          <w:ilvl w:val="0"/>
          <w:numId w:val="0"/>
        </w:numPr>
        <w:tabs>
          <w:tab w:val="clear" w:pos="737"/>
        </w:tabs>
        <w:rPr>
          <w:kern w:val="20"/>
          <w:lang w:val="en-GB"/>
        </w:rPr>
      </w:pPr>
    </w:p>
    <w:p w:rsidR="00000000" w:rsidRDefault="00000000">
      <w:pPr>
        <w:pStyle w:val="ParaNo"/>
        <w:tabs>
          <w:tab w:val="clear" w:pos="360"/>
          <w:tab w:val="clear" w:pos="737"/>
        </w:tabs>
        <w:rPr>
          <w:kern w:val="20"/>
          <w:lang w:val="en-GB"/>
        </w:rPr>
      </w:pPr>
      <w:r>
        <w:rPr>
          <w:kern w:val="20"/>
          <w:lang w:val="en-GB"/>
        </w:rPr>
        <w:t xml:space="preserve">IPHAN is also responsible for the preservation and dissemination of heritage values.  Its incentive in conserving the historical, architectural and artistic assets of Brazil is not only based on their specific aspects of interest; the preservation of sites, including monuments, upgrades the urban environment in general as well as the economy, while above all shaping the manner in which social identities develop in parallel to an awareness of the past.  Some of these </w:t>
      </w:r>
    </w:p>
    <w:p w:rsidR="00000000" w:rsidRDefault="00000000">
      <w:pPr>
        <w:rPr>
          <w:kern w:val="20"/>
        </w:rPr>
      </w:pPr>
      <w:r>
        <w:rPr>
          <w:kern w:val="20"/>
        </w:rPr>
        <w:t xml:space="preserve">characteristics extend to items such as paintings, sculptures and manuscripts; artefacts and items of traditional use such as pottery and ceramics, weapons and kitchen utensils; and books.  </w:t>
      </w:r>
    </w:p>
    <w:p w:rsidR="00000000" w:rsidRDefault="00000000">
      <w:pPr>
        <w:rPr>
          <w:kern w:val="20"/>
        </w:rPr>
      </w:pPr>
      <w:r>
        <w:rPr>
          <w:kern w:val="20"/>
        </w:rPr>
        <w:t>The preservation of personal items, furniture and fittings is underwritten by government grants, as well as tax incentives.  Through this system, the Brazilian Government and the state administration maximize their contribution to the private sector to conserve the nation’s heritage.</w:t>
      </w:r>
    </w:p>
    <w:p w:rsidR="00000000" w:rsidRDefault="00000000">
      <w:pPr>
        <w:pStyle w:val="ParaNo"/>
        <w:numPr>
          <w:ilvl w:val="0"/>
          <w:numId w:val="0"/>
        </w:numPr>
        <w:tabs>
          <w:tab w:val="clear" w:pos="737"/>
        </w:tabs>
        <w:rPr>
          <w:kern w:val="20"/>
          <w:lang w:val="en-GB"/>
        </w:rPr>
      </w:pPr>
    </w:p>
    <w:p w:rsidR="00000000" w:rsidRDefault="00000000">
      <w:pPr>
        <w:pStyle w:val="ParaNo"/>
        <w:tabs>
          <w:tab w:val="clear" w:pos="360"/>
          <w:tab w:val="clear" w:pos="737"/>
        </w:tabs>
        <w:rPr>
          <w:kern w:val="20"/>
          <w:lang w:val="en-GB"/>
        </w:rPr>
      </w:pPr>
      <w:r>
        <w:rPr>
          <w:kern w:val="20"/>
          <w:lang w:val="en-GB"/>
        </w:rPr>
        <w:t>Through IPHAN, the Brazilian Government is responsible for preserving the nine locations designated World Heritage Sites by UNESCO:  the urban and architectural complex at Ouro Preto, Minas Gerais State; the historic centre of Olinda, Pernambuco; the ruins of the São Miguel church and the Jesuit missions at Guarani, Rio Grande do Sul State; the historic centre of Salvador, Bahia State; the sanctuary of Bom Jesus de Matozinhos, Minas Gerais State; the archaeological sites at São Raimundo Nonato in the Serra de Capivara National Park, Piauí State; the urban, architectural and landscape complex of Brasilia, Federal District; the Iguaçu National Park, Paraná State; and the historic centre of São Luís, Maranhão State.  These sites were recently joined by the town of Diamantina, which has also been designated a World Heritage Site.</w:t>
      </w:r>
    </w:p>
    <w:p w:rsidR="00000000" w:rsidRDefault="00000000">
      <w:pPr>
        <w:pStyle w:val="ParaNo"/>
        <w:numPr>
          <w:ilvl w:val="0"/>
          <w:numId w:val="0"/>
        </w:numPr>
        <w:tabs>
          <w:tab w:val="clear" w:pos="737"/>
        </w:tabs>
        <w:rPr>
          <w:kern w:val="20"/>
          <w:lang w:val="en-GB"/>
        </w:rPr>
      </w:pPr>
    </w:p>
    <w:p w:rsidR="00000000" w:rsidRDefault="00000000">
      <w:pPr>
        <w:pStyle w:val="ParaNo"/>
        <w:tabs>
          <w:tab w:val="clear" w:pos="360"/>
          <w:tab w:val="clear" w:pos="737"/>
        </w:tabs>
        <w:rPr>
          <w:kern w:val="20"/>
          <w:lang w:val="en-GB"/>
        </w:rPr>
      </w:pPr>
      <w:r>
        <w:rPr>
          <w:kern w:val="20"/>
          <w:lang w:val="en-GB"/>
        </w:rPr>
        <w:t>The current heritage policy of Brazil’s Ministry of Culture is aimed at preserving the heritage of all ethnic groups that helped build the Brazilian nation.  A good example of this can be found in the support provided by the Ministry for the project to restore the first synagogue in the Americas, built in 1641 in Recife by Jewish immigrants from the Netherlands and the Iberian Peninsula.</w:t>
      </w:r>
    </w:p>
    <w:p w:rsidR="00000000" w:rsidRDefault="00000000">
      <w:pPr>
        <w:pStyle w:val="ParaNo"/>
        <w:numPr>
          <w:ilvl w:val="0"/>
          <w:numId w:val="0"/>
        </w:numPr>
        <w:tabs>
          <w:tab w:val="clear" w:pos="737"/>
        </w:tabs>
        <w:rPr>
          <w:kern w:val="20"/>
          <w:lang w:val="en-GB"/>
        </w:rPr>
      </w:pPr>
    </w:p>
    <w:p w:rsidR="00000000" w:rsidRDefault="00000000">
      <w:pPr>
        <w:pStyle w:val="ParaNo"/>
        <w:tabs>
          <w:tab w:val="clear" w:pos="360"/>
          <w:tab w:val="clear" w:pos="737"/>
        </w:tabs>
        <w:rPr>
          <w:kern w:val="20"/>
          <w:lang w:val="en-GB"/>
        </w:rPr>
      </w:pPr>
      <w:r>
        <w:rPr>
          <w:kern w:val="20"/>
          <w:lang w:val="en-GB"/>
        </w:rPr>
        <w:t>From 1996 to 1999, 687 projects were undertaken all over Brazil in the fields of artistic, historical and cultural heritage.  During this period, the Ministry of Culture invested Cr$</w:t>
      </w:r>
      <w:r>
        <w:rPr>
          <w:lang w:val="en-GB"/>
        </w:rPr>
        <w:t> </w:t>
      </w:r>
      <w:r>
        <w:rPr>
          <w:kern w:val="20"/>
          <w:lang w:val="en-GB"/>
        </w:rPr>
        <w:t>87,427,663 to establish cultural centres and preserve and renovate churches, theatres and museums.  In 1995, some Cr$ 6,500,000 underwrote 60 activities.  Last year, funding was assigned to the construction, expansion, restoration and renovation of 32 theatres and scenic centres, including the Tarauacá Municipal Theatre in Acre State, the Tobias Barreto Theatre in Aracaju, Sergipe State, the São João Del Rey Municipal Theatre in Minas Gerais State and the Ilhéus Municipal Theatre in Bahia State.</w:t>
      </w:r>
    </w:p>
    <w:p w:rsidR="00000000" w:rsidRDefault="00000000">
      <w:pPr>
        <w:pStyle w:val="ParaNo"/>
        <w:numPr>
          <w:ilvl w:val="0"/>
          <w:numId w:val="0"/>
        </w:numPr>
        <w:tabs>
          <w:tab w:val="clear" w:pos="737"/>
        </w:tabs>
        <w:rPr>
          <w:kern w:val="20"/>
          <w:lang w:val="en-GB"/>
        </w:rPr>
      </w:pPr>
    </w:p>
    <w:p w:rsidR="00000000" w:rsidRDefault="00000000">
      <w:pPr>
        <w:pStyle w:val="ParaNo"/>
        <w:tabs>
          <w:tab w:val="clear" w:pos="360"/>
          <w:tab w:val="clear" w:pos="737"/>
        </w:tabs>
        <w:rPr>
          <w:kern w:val="20"/>
          <w:lang w:val="en-GB"/>
        </w:rPr>
      </w:pPr>
      <w:r>
        <w:rPr>
          <w:kern w:val="20"/>
          <w:lang w:val="en-GB"/>
        </w:rPr>
        <w:t>Map No. 3 shows the location of the investments by the Ministry of Culture from 1996 to 1999 all over Brazil.</w:t>
      </w:r>
    </w:p>
    <w:p w:rsidR="00000000" w:rsidRDefault="00000000"/>
    <w:p w:rsidR="00000000" w:rsidRDefault="00000000">
      <w:pPr>
        <w:pStyle w:val="ParaNo"/>
        <w:tabs>
          <w:tab w:val="clear" w:pos="360"/>
          <w:tab w:val="clear" w:pos="737"/>
        </w:tabs>
        <w:rPr>
          <w:lang w:val="en-GB"/>
        </w:rPr>
      </w:pPr>
      <w:r>
        <w:rPr>
          <w:lang w:val="en-GB"/>
        </w:rPr>
        <w:t xml:space="preserve">Mass communications and widespread information are the most important means of access to cultural assets, the arts and the sciences.  Legislation should pave the way for the electronic media to diversify and extend the many different types of artistic expression, expanding the content and enhancing cultural values accessible to societies.  Many different educational programmes make good use of these media to disseminate knowledge, as well as for lessons in the classroom. </w:t>
      </w:r>
    </w:p>
    <w:p w:rsidR="00000000" w:rsidRDefault="00000000"/>
    <w:p w:rsidR="00000000" w:rsidRDefault="00000000">
      <w:pPr>
        <w:pStyle w:val="ParaNo"/>
        <w:tabs>
          <w:tab w:val="clear" w:pos="360"/>
          <w:tab w:val="clear" w:pos="737"/>
        </w:tabs>
        <w:ind w:left="0" w:firstLine="0"/>
        <w:rPr>
          <w:lang w:val="en-GB"/>
        </w:rPr>
      </w:pPr>
      <w:r>
        <w:rPr>
          <w:lang w:val="en-GB"/>
        </w:rPr>
        <w:t>Extending the scale of the cultural messages and information disseminated by audio</w:t>
      </w:r>
      <w:r>
        <w:rPr>
          <w:lang w:val="en-GB"/>
        </w:rPr>
        <w:noBreakHyphen/>
        <w:t>visual and graphic media requires certain precautions in order to avoid negative effects.  Legislation should impose controls that ensure widespread democratization mechanisms for the means of production, producing a society able to build an active, creative relationship with information.</w:t>
      </w:r>
    </w:p>
    <w:p w:rsidR="00000000" w:rsidRDefault="00000000">
      <w:pPr>
        <w:pStyle w:val="ParaNo"/>
        <w:numPr>
          <w:ilvl w:val="0"/>
          <w:numId w:val="0"/>
        </w:numPr>
        <w:tabs>
          <w:tab w:val="clear" w:pos="737"/>
        </w:tabs>
        <w:rPr>
          <w:lang w:val="en-GB"/>
        </w:rPr>
      </w:pPr>
    </w:p>
    <w:p w:rsidR="00000000" w:rsidRDefault="00000000"/>
    <w:p w:rsidR="00000000" w:rsidRDefault="00000000">
      <w:pPr>
        <w:pStyle w:val="Heading1"/>
      </w:pPr>
      <w:r>
        <w:rPr>
          <w:noProof/>
        </w:rPr>
        <w:pict>
          <v:shape id="_x0000_s1040" type="#_x0000_t75" style="position:absolute;left:0;text-align:left;margin-left:0;margin-top:18.5pt;width:470.1pt;height:491.75pt;z-index:6;visibility:visible;mso-wrap-edited:f">
            <v:imagedata r:id="rId46" o:title=""/>
            <w10:wrap type="topAndBottom"/>
          </v:shape>
          <o:OLEObject Type="Embed" ProgID="Word.Picture.8" ShapeID="_x0000_s1040" DrawAspect="Content" ObjectID="_1394878302" r:id="rId47"/>
        </w:pict>
      </w:r>
      <w:r>
        <w:t>Map No. 3</w:t>
      </w:r>
    </w:p>
    <w:p w:rsidR="00000000" w:rsidRDefault="00000000">
      <w:r>
        <w:tab/>
      </w:r>
      <w:r>
        <w:rPr>
          <w:u w:val="single"/>
        </w:rPr>
        <w:t>Source</w:t>
      </w:r>
      <w:r>
        <w:t>:  Ministry of Culture.</w:t>
      </w:r>
    </w:p>
    <w:p w:rsidR="00000000" w:rsidRDefault="00000000"/>
    <w:p w:rsidR="00000000" w:rsidRDefault="00000000">
      <w:pPr>
        <w:pStyle w:val="ParaNo"/>
        <w:tabs>
          <w:tab w:val="clear" w:pos="360"/>
          <w:tab w:val="clear" w:pos="737"/>
        </w:tabs>
        <w:ind w:left="0" w:firstLine="0"/>
        <w:rPr>
          <w:lang w:val="en-GB"/>
        </w:rPr>
      </w:pPr>
      <w:r>
        <w:rPr>
          <w:lang w:val="en-GB"/>
        </w:rPr>
        <w:t xml:space="preserve">In order to achieve these objectives, the Brazilian Government is updating its legal framework, in accordance with technological and social changes.  Cable television was regulated by Law No. 8,977 and Decree Law No. 2206 dated 14 April 1997, with the core objective of promoting national and universal culture and broadening the sources of information, recreation and entertainment and political plurality. </w:t>
      </w:r>
    </w:p>
    <w:p w:rsidR="00000000" w:rsidRDefault="00000000"/>
    <w:p w:rsidR="00000000" w:rsidRDefault="00000000">
      <w:pPr>
        <w:pStyle w:val="ParaNo"/>
        <w:tabs>
          <w:tab w:val="clear" w:pos="360"/>
          <w:tab w:val="clear" w:pos="737"/>
        </w:tabs>
        <w:ind w:left="0" w:firstLine="0"/>
        <w:rPr>
          <w:lang w:val="en-GB"/>
        </w:rPr>
      </w:pPr>
      <w:r>
        <w:rPr>
          <w:lang w:val="en-GB"/>
        </w:rPr>
        <w:br w:type="page"/>
        <w:t>Table 93 below gives the percentages of Brazilian households with radio and television sets, by region.</w:t>
      </w:r>
    </w:p>
    <w:p w:rsidR="00000000" w:rsidRDefault="00000000"/>
    <w:p w:rsidR="00000000" w:rsidRDefault="00000000">
      <w:pPr>
        <w:pStyle w:val="Heading1"/>
      </w:pPr>
      <w:r>
        <w:t>Table 93</w:t>
      </w:r>
    </w:p>
    <w:p w:rsidR="00000000" w:rsidRDefault="00000000"/>
    <w:p w:rsidR="00000000" w:rsidRDefault="00000000">
      <w:pPr>
        <w:pStyle w:val="Heading1"/>
      </w:pPr>
      <w:r>
        <w:t>Households with radio and television in 1996 (%)</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Borders>
              <w:bottom w:val="single" w:sz="4" w:space="0" w:color="auto"/>
            </w:tcBorders>
          </w:tcPr>
          <w:p w:rsidR="00000000" w:rsidRDefault="00000000">
            <w:pPr>
              <w:jc w:val="center"/>
            </w:pPr>
            <w:r>
              <w:t>Region</w:t>
            </w:r>
          </w:p>
        </w:tc>
        <w:tc>
          <w:tcPr>
            <w:tcW w:w="2393" w:type="dxa"/>
            <w:tcBorders>
              <w:bottom w:val="single" w:sz="4" w:space="0" w:color="auto"/>
            </w:tcBorders>
          </w:tcPr>
          <w:p w:rsidR="00000000" w:rsidRDefault="00000000">
            <w:pPr>
              <w:jc w:val="center"/>
            </w:pPr>
            <w:r>
              <w:t>Radio</w:t>
            </w:r>
          </w:p>
        </w:tc>
        <w:tc>
          <w:tcPr>
            <w:tcW w:w="2393" w:type="dxa"/>
            <w:tcBorders>
              <w:bottom w:val="single" w:sz="4" w:space="0" w:color="auto"/>
            </w:tcBorders>
          </w:tcPr>
          <w:p w:rsidR="00000000" w:rsidRDefault="00000000">
            <w:pPr>
              <w:jc w:val="center"/>
            </w:pPr>
            <w:r>
              <w:t>Black and white TV</w:t>
            </w:r>
          </w:p>
        </w:tc>
        <w:tc>
          <w:tcPr>
            <w:tcW w:w="2286" w:type="dxa"/>
            <w:tcBorders>
              <w:bottom w:val="single" w:sz="4" w:space="0" w:color="auto"/>
            </w:tcBorders>
          </w:tcPr>
          <w:p w:rsidR="00000000" w:rsidRDefault="00000000">
            <w:pPr>
              <w:jc w:val="center"/>
            </w:pPr>
            <w:r>
              <w:t>Colour TV</w:t>
            </w:r>
          </w:p>
        </w:tc>
      </w:tr>
      <w:tr w:rsidR="00000000">
        <w:tblPrEx>
          <w:tblCellMar>
            <w:top w:w="0" w:type="dxa"/>
            <w:bottom w:w="0" w:type="dxa"/>
          </w:tblCellMar>
        </w:tblPrEx>
        <w:tc>
          <w:tcPr>
            <w:tcW w:w="2284" w:type="dxa"/>
            <w:tcBorders>
              <w:bottom w:val="nil"/>
            </w:tcBorders>
          </w:tcPr>
          <w:p w:rsidR="00000000" w:rsidRDefault="00000000">
            <w:r>
              <w:t>North</w:t>
            </w:r>
          </w:p>
        </w:tc>
        <w:tc>
          <w:tcPr>
            <w:tcW w:w="2393" w:type="dxa"/>
            <w:tcBorders>
              <w:bottom w:val="nil"/>
            </w:tcBorders>
          </w:tcPr>
          <w:p w:rsidR="00000000" w:rsidRDefault="00000000">
            <w:pPr>
              <w:jc w:val="center"/>
            </w:pPr>
            <w:r>
              <w:t>79.02</w:t>
            </w:r>
          </w:p>
        </w:tc>
        <w:tc>
          <w:tcPr>
            <w:tcW w:w="2393" w:type="dxa"/>
            <w:tcBorders>
              <w:bottom w:val="nil"/>
            </w:tcBorders>
          </w:tcPr>
          <w:p w:rsidR="00000000" w:rsidRDefault="00000000">
            <w:pPr>
              <w:jc w:val="center"/>
            </w:pPr>
            <w:r>
              <w:t>48.82</w:t>
            </w:r>
          </w:p>
        </w:tc>
        <w:tc>
          <w:tcPr>
            <w:tcW w:w="2286" w:type="dxa"/>
            <w:tcBorders>
              <w:bottom w:val="nil"/>
            </w:tcBorders>
          </w:tcPr>
          <w:p w:rsidR="00000000" w:rsidRDefault="00000000">
            <w:pPr>
              <w:jc w:val="center"/>
            </w:pPr>
            <w:r>
              <w:t>66.30</w:t>
            </w:r>
          </w:p>
        </w:tc>
      </w:tr>
      <w:tr w:rsidR="00000000">
        <w:tblPrEx>
          <w:tblCellMar>
            <w:top w:w="0" w:type="dxa"/>
            <w:bottom w:w="0" w:type="dxa"/>
          </w:tblCellMar>
        </w:tblPrEx>
        <w:tc>
          <w:tcPr>
            <w:tcW w:w="2284" w:type="dxa"/>
            <w:tcBorders>
              <w:top w:val="nil"/>
              <w:bottom w:val="nil"/>
            </w:tcBorders>
          </w:tcPr>
          <w:p w:rsidR="00000000" w:rsidRDefault="00000000">
            <w:r>
              <w:t xml:space="preserve">North-east </w:t>
            </w:r>
          </w:p>
        </w:tc>
        <w:tc>
          <w:tcPr>
            <w:tcW w:w="2393" w:type="dxa"/>
            <w:tcBorders>
              <w:top w:val="nil"/>
              <w:bottom w:val="nil"/>
            </w:tcBorders>
          </w:tcPr>
          <w:p w:rsidR="00000000" w:rsidRDefault="00000000">
            <w:pPr>
              <w:jc w:val="center"/>
            </w:pPr>
            <w:r>
              <w:t>83.29</w:t>
            </w:r>
          </w:p>
        </w:tc>
        <w:tc>
          <w:tcPr>
            <w:tcW w:w="2393" w:type="dxa"/>
            <w:tcBorders>
              <w:top w:val="nil"/>
              <w:bottom w:val="nil"/>
            </w:tcBorders>
          </w:tcPr>
          <w:p w:rsidR="00000000" w:rsidRDefault="00000000">
            <w:pPr>
              <w:jc w:val="center"/>
            </w:pPr>
            <w:r>
              <w:t>41.14</w:t>
            </w:r>
          </w:p>
        </w:tc>
        <w:tc>
          <w:tcPr>
            <w:tcW w:w="2286" w:type="dxa"/>
            <w:tcBorders>
              <w:top w:val="nil"/>
              <w:bottom w:val="nil"/>
            </w:tcBorders>
          </w:tcPr>
          <w:p w:rsidR="00000000" w:rsidRDefault="00000000">
            <w:pPr>
              <w:jc w:val="center"/>
            </w:pPr>
            <w:r>
              <w:t>52.93</w:t>
            </w:r>
          </w:p>
        </w:tc>
      </w:tr>
      <w:tr w:rsidR="00000000">
        <w:tblPrEx>
          <w:tblCellMar>
            <w:top w:w="0" w:type="dxa"/>
            <w:bottom w:w="0" w:type="dxa"/>
          </w:tblCellMar>
        </w:tblPrEx>
        <w:tc>
          <w:tcPr>
            <w:tcW w:w="2284" w:type="dxa"/>
            <w:tcBorders>
              <w:top w:val="nil"/>
              <w:bottom w:val="nil"/>
            </w:tcBorders>
          </w:tcPr>
          <w:p w:rsidR="00000000" w:rsidRDefault="00000000">
            <w:r>
              <w:t>South-east</w:t>
            </w:r>
          </w:p>
        </w:tc>
        <w:tc>
          <w:tcPr>
            <w:tcW w:w="2393" w:type="dxa"/>
            <w:tcBorders>
              <w:top w:val="nil"/>
              <w:bottom w:val="nil"/>
            </w:tcBorders>
          </w:tcPr>
          <w:p w:rsidR="00000000" w:rsidRDefault="00000000">
            <w:pPr>
              <w:jc w:val="center"/>
            </w:pPr>
            <w:r>
              <w:t>94.30</w:t>
            </w:r>
          </w:p>
        </w:tc>
        <w:tc>
          <w:tcPr>
            <w:tcW w:w="2393" w:type="dxa"/>
            <w:tcBorders>
              <w:top w:val="nil"/>
              <w:bottom w:val="nil"/>
            </w:tcBorders>
          </w:tcPr>
          <w:p w:rsidR="00000000" w:rsidRDefault="00000000">
            <w:pPr>
              <w:jc w:val="center"/>
            </w:pPr>
            <w:r>
              <w:t>51.50</w:t>
            </w:r>
          </w:p>
        </w:tc>
        <w:tc>
          <w:tcPr>
            <w:tcW w:w="2286" w:type="dxa"/>
            <w:tcBorders>
              <w:top w:val="nil"/>
              <w:bottom w:val="nil"/>
            </w:tcBorders>
          </w:tcPr>
          <w:p w:rsidR="00000000" w:rsidRDefault="00000000">
            <w:pPr>
              <w:jc w:val="center"/>
            </w:pPr>
            <w:r>
              <w:t>85.98</w:t>
            </w:r>
          </w:p>
        </w:tc>
      </w:tr>
      <w:tr w:rsidR="00000000">
        <w:tblPrEx>
          <w:tblCellMar>
            <w:top w:w="0" w:type="dxa"/>
            <w:bottom w:w="0" w:type="dxa"/>
          </w:tblCellMar>
        </w:tblPrEx>
        <w:tc>
          <w:tcPr>
            <w:tcW w:w="2284" w:type="dxa"/>
            <w:tcBorders>
              <w:top w:val="nil"/>
              <w:bottom w:val="nil"/>
            </w:tcBorders>
          </w:tcPr>
          <w:p w:rsidR="00000000" w:rsidRDefault="00000000">
            <w:r>
              <w:t>South</w:t>
            </w:r>
          </w:p>
        </w:tc>
        <w:tc>
          <w:tcPr>
            <w:tcW w:w="2393" w:type="dxa"/>
            <w:tcBorders>
              <w:top w:val="nil"/>
              <w:bottom w:val="nil"/>
            </w:tcBorders>
          </w:tcPr>
          <w:p w:rsidR="00000000" w:rsidRDefault="00000000">
            <w:pPr>
              <w:jc w:val="center"/>
            </w:pPr>
            <w:r>
              <w:t>94.77</w:t>
            </w:r>
          </w:p>
        </w:tc>
        <w:tc>
          <w:tcPr>
            <w:tcW w:w="2393" w:type="dxa"/>
            <w:tcBorders>
              <w:top w:val="nil"/>
              <w:bottom w:val="nil"/>
            </w:tcBorders>
          </w:tcPr>
          <w:p w:rsidR="00000000" w:rsidRDefault="00000000">
            <w:pPr>
              <w:jc w:val="center"/>
            </w:pPr>
            <w:r>
              <w:t>58.76</w:t>
            </w:r>
          </w:p>
        </w:tc>
        <w:tc>
          <w:tcPr>
            <w:tcW w:w="2286" w:type="dxa"/>
            <w:tcBorders>
              <w:top w:val="nil"/>
              <w:bottom w:val="nil"/>
            </w:tcBorders>
          </w:tcPr>
          <w:p w:rsidR="00000000" w:rsidRDefault="00000000">
            <w:pPr>
              <w:jc w:val="center"/>
            </w:pPr>
            <w:r>
              <w:t>77.32</w:t>
            </w:r>
          </w:p>
        </w:tc>
      </w:tr>
      <w:tr w:rsidR="00000000">
        <w:tblPrEx>
          <w:tblCellMar>
            <w:top w:w="0" w:type="dxa"/>
            <w:bottom w:w="0" w:type="dxa"/>
          </w:tblCellMar>
        </w:tblPrEx>
        <w:tc>
          <w:tcPr>
            <w:tcW w:w="2284" w:type="dxa"/>
            <w:tcBorders>
              <w:top w:val="nil"/>
              <w:bottom w:val="nil"/>
            </w:tcBorders>
          </w:tcPr>
          <w:p w:rsidR="00000000" w:rsidRDefault="00000000">
            <w:r>
              <w:t>Centre-west</w:t>
            </w:r>
          </w:p>
        </w:tc>
        <w:tc>
          <w:tcPr>
            <w:tcW w:w="2393" w:type="dxa"/>
            <w:tcBorders>
              <w:top w:val="nil"/>
              <w:bottom w:val="nil"/>
            </w:tcBorders>
          </w:tcPr>
          <w:p w:rsidR="00000000" w:rsidRDefault="00000000">
            <w:pPr>
              <w:jc w:val="center"/>
            </w:pPr>
            <w:r>
              <w:t>87.21</w:t>
            </w:r>
          </w:p>
        </w:tc>
        <w:tc>
          <w:tcPr>
            <w:tcW w:w="2393" w:type="dxa"/>
            <w:tcBorders>
              <w:top w:val="nil"/>
              <w:bottom w:val="nil"/>
            </w:tcBorders>
          </w:tcPr>
          <w:p w:rsidR="00000000" w:rsidRDefault="00000000">
            <w:pPr>
              <w:jc w:val="center"/>
            </w:pPr>
            <w:r>
              <w:t>42.06</w:t>
            </w:r>
          </w:p>
        </w:tc>
        <w:tc>
          <w:tcPr>
            <w:tcW w:w="2286" w:type="dxa"/>
            <w:tcBorders>
              <w:top w:val="nil"/>
              <w:bottom w:val="nil"/>
            </w:tcBorders>
          </w:tcPr>
          <w:p w:rsidR="00000000" w:rsidRDefault="00000000">
            <w:pPr>
              <w:jc w:val="center"/>
            </w:pPr>
            <w:r>
              <w:t>73.77</w:t>
            </w:r>
          </w:p>
        </w:tc>
      </w:tr>
      <w:tr w:rsidR="00000000">
        <w:tblPrEx>
          <w:tblCellMar>
            <w:top w:w="0" w:type="dxa"/>
            <w:bottom w:w="0" w:type="dxa"/>
          </w:tblCellMar>
        </w:tblPrEx>
        <w:tc>
          <w:tcPr>
            <w:tcW w:w="2284" w:type="dxa"/>
            <w:tcBorders>
              <w:top w:val="nil"/>
            </w:tcBorders>
          </w:tcPr>
          <w:p w:rsidR="00000000" w:rsidRDefault="00000000">
            <w:r>
              <w:t>Brazil</w:t>
            </w:r>
          </w:p>
        </w:tc>
        <w:tc>
          <w:tcPr>
            <w:tcW w:w="2393" w:type="dxa"/>
            <w:tcBorders>
              <w:top w:val="nil"/>
            </w:tcBorders>
          </w:tcPr>
          <w:p w:rsidR="00000000" w:rsidRDefault="00000000">
            <w:pPr>
              <w:jc w:val="center"/>
            </w:pPr>
            <w:r>
              <w:t>90.33</w:t>
            </w:r>
          </w:p>
        </w:tc>
        <w:tc>
          <w:tcPr>
            <w:tcW w:w="2393" w:type="dxa"/>
            <w:tcBorders>
              <w:top w:val="nil"/>
            </w:tcBorders>
          </w:tcPr>
          <w:p w:rsidR="00000000" w:rsidRDefault="00000000">
            <w:pPr>
              <w:jc w:val="center"/>
            </w:pPr>
            <w:r>
              <w:t>46.74</w:t>
            </w:r>
          </w:p>
        </w:tc>
        <w:tc>
          <w:tcPr>
            <w:tcW w:w="2286" w:type="dxa"/>
            <w:tcBorders>
              <w:top w:val="nil"/>
            </w:tcBorders>
          </w:tcPr>
          <w:p w:rsidR="00000000" w:rsidRDefault="00000000">
            <w:pPr>
              <w:jc w:val="center"/>
            </w:pPr>
            <w:r>
              <w:t>74.12</w:t>
            </w:r>
          </w:p>
        </w:tc>
      </w:tr>
    </w:tbl>
    <w:p w:rsidR="00000000" w:rsidRDefault="00000000"/>
    <w:p w:rsidR="00000000" w:rsidRDefault="00000000">
      <w:r>
        <w:tab/>
      </w:r>
      <w:r>
        <w:rPr>
          <w:u w:val="single"/>
        </w:rPr>
        <w:t>Source</w:t>
      </w:r>
      <w:r>
        <w:t xml:space="preserve">:  National Household Sampling Survey (PNAD/IBGE) 1996. </w:t>
      </w:r>
    </w:p>
    <w:p w:rsidR="00000000" w:rsidRDefault="00000000"/>
    <w:p w:rsidR="00000000" w:rsidRDefault="00000000">
      <w:pPr>
        <w:pStyle w:val="ParaNo"/>
        <w:tabs>
          <w:tab w:val="clear" w:pos="360"/>
          <w:tab w:val="clear" w:pos="737"/>
        </w:tabs>
        <w:ind w:left="0" w:firstLine="0"/>
        <w:rPr>
          <w:lang w:val="en-GB"/>
        </w:rPr>
      </w:pPr>
      <w:r>
        <w:rPr>
          <w:lang w:val="en-GB"/>
        </w:rPr>
        <w:t>The Brazilian Government included cinematography and audio-visual productions among the high-priority cultural activities to be supported and financed.  In order to boost output and buttress Brazil’s movie-making industry, it issued the Audio Visual Act (Law No. 8,685/93, amended by Law No. 9,323/96) and established the Cinema Commission, an entity that comprises several different ministries, including the Ministry of Culture, as well as representatives from the audio-visual sector.</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 xml:space="preserve">Keenly aware of the importance of new information and communication technologies and the quantum leap they have taken in terms of both quality and output, the Ministry of Culture is striving to structure innovative ways of disseminating cultural information over the Internet.  Of particular interest here is the National Cultural Information System (SACI - </w:t>
      </w:r>
      <w:r>
        <w:rPr>
          <w:u w:val="single"/>
          <w:lang w:val="en-GB"/>
        </w:rPr>
        <w:t>Sistema Nacional de Informações Culturais</w:t>
      </w:r>
      <w:r>
        <w:rPr>
          <w:lang w:val="en-GB"/>
        </w:rPr>
        <w:t>), which is a reference resource gathering together cultural information from a wide variety of institutions.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Mass access to culture produced not only in Brazil but also in other countries is also covered by the Government’s cultural policy through cultural exchanges that include exhibitions, cinema festivals and many other events.</w:t>
      </w:r>
    </w:p>
    <w:p w:rsidR="00000000" w:rsidRDefault="00000000"/>
    <w:p w:rsidR="00000000" w:rsidRDefault="00000000">
      <w:pPr>
        <w:pStyle w:val="ParaNo"/>
        <w:tabs>
          <w:tab w:val="clear" w:pos="360"/>
          <w:tab w:val="clear" w:pos="737"/>
        </w:tabs>
        <w:ind w:left="0" w:firstLine="0"/>
        <w:rPr>
          <w:lang w:val="en-GB"/>
        </w:rPr>
      </w:pPr>
      <w:r>
        <w:rPr>
          <w:lang w:val="en-GB"/>
        </w:rPr>
        <w:t>One of the most important programmes run by the Ministry of Culture, working closely with the IDB and UNESCO, is the Monument Programme (</w:t>
      </w:r>
      <w:r>
        <w:rPr>
          <w:u w:val="single"/>
          <w:lang w:val="en-GB"/>
        </w:rPr>
        <w:t>Programa Monumenta</w:t>
      </w:r>
      <w:r>
        <w:rPr>
          <w:lang w:val="en-GB"/>
        </w:rPr>
        <w:t xml:space="preserve">).  The purpose of this programme is to revitalize the main urban heritage complexes in Brazil, several of which are already classified as World Heritage Sites.  This is an ongoing nationwide programme that absorbed funding of over US$ 200 million during its first three years, constituting the largest heritage preservation investment ever made in Brazil during a single government term of office.  In addition to the IDB and the Brazilian Government, the state and municipal governments also helped fund the programme, along with foundations and corporations.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br w:type="page"/>
        <w:t>The basic principle of the Monument Programme is not only to restore the nation’s heritage, but also to create the conditions needed to ensure its permanent maintenance, gradually replacing restoration by conservation.  The programme is based on the acceptance of the importance of teaching that stresses the need for everyone to care for their common heritage and respect it, not only in terms of its artistic, historical and/or cultural value, but also for what it represents in terms of a significant contribution to the nation’s development.  Based on this logic, restoration activities have been implemented, adapting historic buildings for economic use, installing commercial establishments and financing their working capital, organizing artistic and other events focused on historical themes related to the areas being restored, training the labour</w:t>
      </w:r>
      <w:r>
        <w:rPr>
          <w:lang w:val="en-GB"/>
        </w:rPr>
        <w:noBreakHyphen/>
        <w:t>force in conservation techniques and the management of historic sites and monuments, encouraging the conservation and tourism sectors and boosting regional cultural output.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There are no constraints on freedom of creation in Brazil.  Item IX of article 5 of its Constitution guarantees free expression for intellectual, artistic and scientific activities as well as communications, unfettered by censorship or licences.  In practice, freedom of speech is fully exercised by society in general, in many different aspects.</w:t>
      </w:r>
    </w:p>
    <w:p w:rsidR="00000000" w:rsidRDefault="00000000"/>
    <w:p w:rsidR="00000000" w:rsidRDefault="00000000">
      <w:pPr>
        <w:pStyle w:val="ParaNo"/>
        <w:tabs>
          <w:tab w:val="clear" w:pos="360"/>
          <w:tab w:val="clear" w:pos="737"/>
        </w:tabs>
        <w:ind w:left="0" w:firstLine="0"/>
        <w:rPr>
          <w:lang w:val="en-GB"/>
        </w:rPr>
      </w:pPr>
      <w:r>
        <w:rPr>
          <w:lang w:val="en-GB"/>
        </w:rPr>
        <w:t xml:space="preserve">Accounting for a significant portion of job generation and GDP (as shown below in table 94), the cultural sector has been encouraged by different spheres of Government, becoming more dynamic with better-trained human resources.  Over the past few years, taking a specific segment as an example, 120,000 people were trained for jobs in the hotel, food, transportation and entertainment sectors.  Tourism is covered by the North-East Tourism Development Programme (PRODETUR - </w:t>
      </w:r>
      <w:r>
        <w:rPr>
          <w:u w:val="single"/>
          <w:lang w:val="en-GB"/>
        </w:rPr>
        <w:t>Programa de Desenvolvimento do Turismo no Nordeste</w:t>
      </w:r>
      <w:r>
        <w:rPr>
          <w:lang w:val="en-GB"/>
        </w:rPr>
        <w:t>), which promotes a region endowed with natural conditions that are perfect for tourism activities linked to the environment.  Other parts of Brazil are also covered by tourism incentive programmes tailored to their regional characteristics.</w:t>
      </w:r>
    </w:p>
    <w:p w:rsidR="00000000" w:rsidRDefault="00000000"/>
    <w:p w:rsidR="00000000" w:rsidRDefault="00000000">
      <w:pPr>
        <w:pStyle w:val="Heading1"/>
      </w:pPr>
      <w:r>
        <w:t>Table 94</w:t>
      </w:r>
    </w:p>
    <w:p w:rsidR="00000000" w:rsidRDefault="00000000"/>
    <w:p w:rsidR="00000000" w:rsidRDefault="00000000">
      <w:pPr>
        <w:pStyle w:val="Heading1"/>
      </w:pPr>
      <w:r>
        <w:t>Brazil:  Cultural sector - formal jobs, 1996</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Borders>
              <w:bottom w:val="single" w:sz="4" w:space="0" w:color="auto"/>
            </w:tcBorders>
          </w:tcPr>
          <w:p w:rsidR="00000000" w:rsidRDefault="00000000"/>
        </w:tc>
        <w:tc>
          <w:tcPr>
            <w:tcW w:w="2393" w:type="dxa"/>
            <w:tcBorders>
              <w:bottom w:val="single" w:sz="4" w:space="0" w:color="auto"/>
            </w:tcBorders>
          </w:tcPr>
          <w:p w:rsidR="00000000" w:rsidRDefault="00000000">
            <w:pPr>
              <w:jc w:val="center"/>
            </w:pPr>
            <w:r>
              <w:t>Capitals</w:t>
            </w:r>
          </w:p>
        </w:tc>
        <w:tc>
          <w:tcPr>
            <w:tcW w:w="2393" w:type="dxa"/>
            <w:tcBorders>
              <w:bottom w:val="single" w:sz="4" w:space="0" w:color="auto"/>
            </w:tcBorders>
          </w:tcPr>
          <w:p w:rsidR="00000000" w:rsidRDefault="00000000">
            <w:pPr>
              <w:jc w:val="center"/>
            </w:pPr>
            <w:r>
              <w:t>Others</w:t>
            </w:r>
          </w:p>
        </w:tc>
        <w:tc>
          <w:tcPr>
            <w:tcW w:w="2286" w:type="dxa"/>
            <w:tcBorders>
              <w:bottom w:val="single" w:sz="4" w:space="0" w:color="auto"/>
            </w:tcBorders>
          </w:tcPr>
          <w:p w:rsidR="00000000" w:rsidRDefault="00000000">
            <w:pPr>
              <w:jc w:val="center"/>
            </w:pPr>
            <w:r>
              <w:t>Total</w:t>
            </w:r>
          </w:p>
        </w:tc>
      </w:tr>
      <w:tr w:rsidR="00000000">
        <w:tblPrEx>
          <w:tblCellMar>
            <w:top w:w="0" w:type="dxa"/>
            <w:bottom w:w="0" w:type="dxa"/>
          </w:tblCellMar>
        </w:tblPrEx>
        <w:tc>
          <w:tcPr>
            <w:tcW w:w="2284" w:type="dxa"/>
            <w:tcBorders>
              <w:bottom w:val="nil"/>
            </w:tcBorders>
          </w:tcPr>
          <w:p w:rsidR="00000000" w:rsidRDefault="00000000">
            <w:r>
              <w:t>Cultural sector</w:t>
            </w:r>
          </w:p>
        </w:tc>
        <w:tc>
          <w:tcPr>
            <w:tcW w:w="2393" w:type="dxa"/>
            <w:tcBorders>
              <w:bottom w:val="nil"/>
            </w:tcBorders>
          </w:tcPr>
          <w:p w:rsidR="00000000" w:rsidRDefault="00000000">
            <w:pPr>
              <w:ind w:right="600"/>
              <w:jc w:val="right"/>
            </w:pPr>
            <w:r>
              <w:t>395 318</w:t>
            </w:r>
          </w:p>
        </w:tc>
        <w:tc>
          <w:tcPr>
            <w:tcW w:w="2393" w:type="dxa"/>
            <w:tcBorders>
              <w:bottom w:val="nil"/>
            </w:tcBorders>
          </w:tcPr>
          <w:p w:rsidR="00000000" w:rsidRDefault="00000000">
            <w:pPr>
              <w:ind w:right="583"/>
              <w:jc w:val="right"/>
            </w:pPr>
            <w:r>
              <w:t>291 134</w:t>
            </w:r>
          </w:p>
        </w:tc>
        <w:tc>
          <w:tcPr>
            <w:tcW w:w="2286" w:type="dxa"/>
            <w:tcBorders>
              <w:bottom w:val="nil"/>
            </w:tcBorders>
          </w:tcPr>
          <w:p w:rsidR="00000000" w:rsidRDefault="00000000">
            <w:pPr>
              <w:ind w:right="601"/>
              <w:jc w:val="right"/>
            </w:pPr>
            <w:r>
              <w:t>690 878</w:t>
            </w:r>
          </w:p>
        </w:tc>
      </w:tr>
      <w:tr w:rsidR="00000000">
        <w:tblPrEx>
          <w:tblCellMar>
            <w:top w:w="0" w:type="dxa"/>
            <w:bottom w:w="0" w:type="dxa"/>
          </w:tblCellMar>
        </w:tblPrEx>
        <w:tc>
          <w:tcPr>
            <w:tcW w:w="2284" w:type="dxa"/>
            <w:tcBorders>
              <w:top w:val="nil"/>
            </w:tcBorders>
          </w:tcPr>
          <w:p w:rsidR="00000000" w:rsidRDefault="00000000">
            <w:r>
              <w:t xml:space="preserve">% participation </w:t>
            </w:r>
          </w:p>
        </w:tc>
        <w:tc>
          <w:tcPr>
            <w:tcW w:w="2393" w:type="dxa"/>
            <w:tcBorders>
              <w:top w:val="nil"/>
            </w:tcBorders>
          </w:tcPr>
          <w:p w:rsidR="00000000" w:rsidRDefault="00000000">
            <w:pPr>
              <w:ind w:right="600"/>
              <w:jc w:val="right"/>
            </w:pPr>
            <w:r>
              <w:t>3.44</w:t>
            </w:r>
          </w:p>
        </w:tc>
        <w:tc>
          <w:tcPr>
            <w:tcW w:w="2393" w:type="dxa"/>
            <w:tcBorders>
              <w:top w:val="nil"/>
            </w:tcBorders>
          </w:tcPr>
          <w:p w:rsidR="00000000" w:rsidRDefault="00000000">
            <w:pPr>
              <w:ind w:right="583"/>
              <w:jc w:val="right"/>
            </w:pPr>
            <w:r>
              <w:t>2.36</w:t>
            </w:r>
          </w:p>
        </w:tc>
        <w:tc>
          <w:tcPr>
            <w:tcW w:w="2286" w:type="dxa"/>
            <w:tcBorders>
              <w:top w:val="nil"/>
            </w:tcBorders>
          </w:tcPr>
          <w:p w:rsidR="00000000" w:rsidRDefault="00000000">
            <w:pPr>
              <w:ind w:right="601"/>
              <w:jc w:val="right"/>
            </w:pPr>
            <w:r>
              <w:t>2.90</w:t>
            </w:r>
          </w:p>
        </w:tc>
      </w:tr>
      <w:tr w:rsidR="00000000">
        <w:tblPrEx>
          <w:tblCellMar>
            <w:top w:w="0" w:type="dxa"/>
            <w:bottom w:w="0" w:type="dxa"/>
          </w:tblCellMar>
        </w:tblPrEx>
        <w:tc>
          <w:tcPr>
            <w:tcW w:w="2284" w:type="dxa"/>
          </w:tcPr>
          <w:p w:rsidR="00000000" w:rsidRDefault="00000000">
            <w:r>
              <w:tab/>
              <w:t>Total</w:t>
            </w:r>
          </w:p>
        </w:tc>
        <w:tc>
          <w:tcPr>
            <w:tcW w:w="2393" w:type="dxa"/>
          </w:tcPr>
          <w:p w:rsidR="00000000" w:rsidRDefault="00000000">
            <w:pPr>
              <w:ind w:right="600"/>
              <w:jc w:val="right"/>
            </w:pPr>
            <w:r>
              <w:t>11 496 512</w:t>
            </w:r>
          </w:p>
        </w:tc>
        <w:tc>
          <w:tcPr>
            <w:tcW w:w="2393" w:type="dxa"/>
          </w:tcPr>
          <w:p w:rsidR="00000000" w:rsidRDefault="00000000">
            <w:pPr>
              <w:ind w:right="583"/>
              <w:jc w:val="right"/>
            </w:pPr>
            <w:r>
              <w:t>12 326 777</w:t>
            </w:r>
          </w:p>
        </w:tc>
        <w:tc>
          <w:tcPr>
            <w:tcW w:w="2286" w:type="dxa"/>
          </w:tcPr>
          <w:p w:rsidR="00000000" w:rsidRDefault="00000000">
            <w:pPr>
              <w:ind w:right="601"/>
              <w:jc w:val="right"/>
            </w:pPr>
            <w:r>
              <w:t>23 830 303</w:t>
            </w:r>
          </w:p>
        </w:tc>
      </w:tr>
    </w:tbl>
    <w:p w:rsidR="00000000" w:rsidRDefault="00000000"/>
    <w:p w:rsidR="00000000" w:rsidRDefault="00000000">
      <w:r>
        <w:tab/>
      </w:r>
      <w:r>
        <w:rPr>
          <w:u w:val="single"/>
        </w:rPr>
        <w:t>Source</w:t>
      </w:r>
      <w:r>
        <w:t>:  RAIS, 1996.</w:t>
      </w:r>
    </w:p>
    <w:p w:rsidR="00000000" w:rsidRDefault="00000000"/>
    <w:p w:rsidR="00000000" w:rsidRDefault="00000000">
      <w:pPr>
        <w:pStyle w:val="ParaNo"/>
        <w:tabs>
          <w:tab w:val="clear" w:pos="360"/>
          <w:tab w:val="clear" w:pos="737"/>
        </w:tabs>
        <w:ind w:left="0" w:firstLine="0"/>
        <w:rPr>
          <w:lang w:val="en-GB"/>
        </w:rPr>
      </w:pPr>
      <w:r>
        <w:rPr>
          <w:lang w:val="en-GB"/>
        </w:rPr>
        <w:t xml:space="preserve">Links between the Ministries of Culture and Labour underpinned the establishment of worker training programmes in cultural sectors that are of much importance in upgrading the qualifications of human resources in the cultural field.  At the moment, the Ministry of Culture is striving to provide cultural talents with the conditions needed for vocational upgrades, through buttressing the feasibility of cultural exchanges with other parts of the country.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br w:type="page"/>
        <w:t xml:space="preserve">Similarly, links between the Ministry of Education, the National Historical and Artistic Heritage Institute (IPHAN) and teaching institutions have been set up in order to introduce workshop-schools in two state capitals in north-east Brazil offering vocational training to youngsters aged 14 to 24 years through participating in the restoration of assets forming part of Brazil’s historical heritage.  These students learn their trades in workshops specializing in masonry, carpentry, woodworking, ironwork, printing, stonework and stucco.  Theoretical and practical classes are given by architects, restorers and master-craftsmen.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 dissemination of culture also includes awarding study grants in Brazil and abroad underwriting further study, specialization and recycling of writers, artists and technical experts linked directly to artistic and cultural output.  The Virtuosi Programme (</w:t>
      </w:r>
      <w:r>
        <w:rPr>
          <w:u w:val="single"/>
          <w:lang w:val="en-GB"/>
        </w:rPr>
        <w:t>Programa Virtuose</w:t>
      </w:r>
      <w:r>
        <w:rPr>
          <w:lang w:val="en-GB"/>
        </w:rPr>
        <w:t>) symbolizes this drive, supporting initiatives that are expected to contribute to professional development and improve the performance of the individual on the labour market.  Grants are awarded to professionals who have achieved an acknowledged level of professional maturity, selected through a process that analyses their résumés, the quality of their training project and/or upgrade plan, as well as the excellence of the institution selected.</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Brazil’s Ministry of Culture has been working intensively to expand cultural participation for the disabled, who are estimated to number 10 per cent of the Brazilian population, or over 16 million people.</w:t>
      </w:r>
      <w:r>
        <w:rPr>
          <w:rStyle w:val="EndnoteReference"/>
          <w:lang w:val="en-GB"/>
        </w:rPr>
        <w:endnoteReference w:id="34"/>
      </w:r>
      <w:r>
        <w:rPr>
          <w:lang w:val="en-GB"/>
        </w:rPr>
        <w:t xml:space="preserve">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 xml:space="preserve">Brazil’s National Art Foundation (Funarte - </w:t>
      </w:r>
      <w:r>
        <w:rPr>
          <w:u w:val="single"/>
          <w:lang w:val="en-GB"/>
        </w:rPr>
        <w:t>Fundação Nacional de Arte</w:t>
      </w:r>
      <w:r>
        <w:rPr>
          <w:lang w:val="en-GB"/>
        </w:rPr>
        <w:t>), the entity promoting and researching art and culture under the Ministry of Culture, has been running the Art Without Barriers Programme (</w:t>
      </w:r>
      <w:r>
        <w:rPr>
          <w:u w:val="single"/>
          <w:lang w:val="en-GB"/>
        </w:rPr>
        <w:t>Arte Sem Barreiras Programa</w:t>
      </w:r>
      <w:r>
        <w:rPr>
          <w:lang w:val="en-GB"/>
        </w:rPr>
        <w:t xml:space="preserve">) for the past 10 years, working closely with Very Special Arts International, which is a non-governmental organization established in 83 countries promoting art, education and creative expression among young people and adults who are disabled.  So far, four national special education/art congresses have been held, as well as five national Art Without Barriers festivals, in addition to courses, exhibitions, training sessions and shows, and providing social and cultural guidance and sponsoring trips by disabled artists in Brazil and abroad.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Under the aegis of IPHAN, firm measures are being taken to ensure easy access for the disabled to the assets constituting Brazil’s historical and artistic heritage.  Government attention and efforts towards the full integration of the disabled are also reflected in the recruitment by the Ministry of Culture of disabled persons with university degrees or high school diplomas; these staff numbered 47 in July 2000, out of a total of only 320.</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 xml:space="preserve">In 1999, the National Council for the Rights of the Disabled (CONADE - </w:t>
      </w:r>
      <w:r>
        <w:rPr>
          <w:u w:val="single"/>
          <w:lang w:val="en-GB"/>
        </w:rPr>
        <w:t>Conselho Nacional dos Direitos da Pessoa Portadora de Deficiência</w:t>
      </w:r>
      <w:r>
        <w:rPr>
          <w:lang w:val="en-GB"/>
        </w:rPr>
        <w:t xml:space="preserve">) was established.  It is a high-level entity with powers of decision whose function is to strive on many different fronts for full citizenship for this sector of the population, interacting with a wide variety of ministries.  With a seat on the Council, the Ministry of Culture is seeking to extend cultural citizenship to the disabled to an even greater extent in Brazil.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br w:type="page"/>
        <w:t>From here on, the Brazilian Government will refer more specifically to the fields of science and technology, from the standpoint indicated by article 15 of the International Covenant on Economic, Social and Cultural Rights.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 xml:space="preserve">The Brazilian Constitution also includes scientific, artistic and technological creations as part of the nation’s cultural heritage.  Furthermore, it defines as being the right of all the enjoyment of an ecologically well-balanced environment.  Consequently, it assigns various government sectors the duty of preserving these assets, as follows:  (i) protecting the environment and combating pollution in any form whatsoever; (ii) preserving forests, plant life and wildlife; (iii) recording, monitoring and overseeing the granting of prospecting and exploration rights for water and mineral resources within their territories.  It also establishes that the sphere of competence of these levels of Government should include legislating on:  (i) nature conservation and the protection of the soil and natural resources, environmental protection and pollution control; (ii) protection of tourist attractions and heritage landscapes; and (iii) responsibility for damage to the environment as well as assets and rights of value to tourism and the landscape.  The jurisdiction for protecting the environment and overseeing its use falls under the Brazilian Institute for the Environment and Natural Resources (IBAMA - </w:t>
      </w:r>
      <w:r>
        <w:rPr>
          <w:u w:val="single"/>
          <w:lang w:val="en-GB"/>
        </w:rPr>
        <w:t>Instituto Brasileiro para o Meio Ambiente e Recursos Naturais</w:t>
      </w:r>
      <w:r>
        <w:rPr>
          <w:lang w:val="en-GB"/>
        </w:rPr>
        <w: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At the constitutional level, the State is obliged to undertake technological research seeking solutions to the problems of Brazil and the development of its production system (art. 218).  Access to science is also a right covered by the Brazilian Constitution in article 23, with the State being responsible for providing the means required for such access.  The Brazilian Government has been striving to deal with countless shortcomings in this field and has assigned high priority to basic science, supporting training courses and providing the conditions and means required for scientific output.  The Government funds these activities through budget allocations to Government-run research incentive entities, and offers incentives to companies investing in this field.</w:t>
      </w:r>
    </w:p>
    <w:p w:rsidR="00000000" w:rsidRDefault="00000000"/>
    <w:p w:rsidR="00000000" w:rsidRDefault="00000000">
      <w:pPr>
        <w:pStyle w:val="ParaNo"/>
        <w:tabs>
          <w:tab w:val="clear" w:pos="360"/>
          <w:tab w:val="clear" w:pos="737"/>
        </w:tabs>
        <w:ind w:left="0" w:firstLine="0"/>
        <w:rPr>
          <w:lang w:val="en-GB"/>
        </w:rPr>
      </w:pPr>
      <w:r>
        <w:rPr>
          <w:lang w:val="en-GB"/>
        </w:rPr>
        <w:t>In order to foster the dissemination of information on scientific progress, the Ministry of Science and Technology is undertaking a set of activities, including the following under the Pluri-Annual Plan (2000-2003):</w:t>
      </w:r>
    </w:p>
    <w:p w:rsidR="00000000" w:rsidRDefault="00000000">
      <w:pPr>
        <w:pStyle w:val="ParaNo"/>
        <w:numPr>
          <w:ilvl w:val="0"/>
          <w:numId w:val="0"/>
        </w:numPr>
        <w:tabs>
          <w:tab w:val="clear" w:pos="737"/>
        </w:tabs>
        <w:rPr>
          <w:lang w:val="en-GB"/>
        </w:rPr>
      </w:pPr>
    </w:p>
    <w:p w:rsidR="00000000" w:rsidRDefault="00000000">
      <w:r>
        <w:tab/>
        <w:t>(a)</w:t>
      </w:r>
      <w:r>
        <w:tab/>
        <w:t>Encouraging the dissemination of scientific and technological output;</w:t>
      </w:r>
    </w:p>
    <w:p w:rsidR="00000000" w:rsidRDefault="00000000"/>
    <w:p w:rsidR="00000000" w:rsidRDefault="00000000">
      <w:r>
        <w:tab/>
        <w:t>(b)</w:t>
      </w:r>
      <w:r>
        <w:tab/>
        <w:t>Producing and disseminating science and technology indicators;</w:t>
      </w:r>
    </w:p>
    <w:p w:rsidR="00000000" w:rsidRDefault="00000000"/>
    <w:p w:rsidR="00000000" w:rsidRDefault="00000000">
      <w:r>
        <w:tab/>
        <w:t>(c)</w:t>
      </w:r>
      <w:r>
        <w:tab/>
        <w:t>Strengthening the State Information System for science and technology.</w:t>
      </w:r>
    </w:p>
    <w:p w:rsidR="00000000" w:rsidRDefault="00000000"/>
    <w:p w:rsidR="00000000" w:rsidRDefault="00000000">
      <w:pPr>
        <w:pStyle w:val="ParaNo"/>
        <w:tabs>
          <w:tab w:val="clear" w:pos="360"/>
          <w:tab w:val="clear" w:pos="737"/>
        </w:tabs>
        <w:ind w:left="0" w:firstLine="0"/>
        <w:rPr>
          <w:lang w:val="en-GB"/>
        </w:rPr>
      </w:pPr>
      <w:r>
        <w:rPr>
          <w:lang w:val="en-GB"/>
        </w:rPr>
        <w:t>In the guidelines for the report the Committee clearly states its interest in learning about measures that block the use of scientific and technical progress for purposes running counter to the full enjoyment of all human rights, including the right to life, health, individual freedom, privacy and similar rights.</w:t>
      </w:r>
    </w:p>
    <w:p w:rsidR="00000000" w:rsidRDefault="00000000"/>
    <w:p w:rsidR="00000000" w:rsidRDefault="00000000">
      <w:pPr>
        <w:pStyle w:val="ParaNo"/>
        <w:tabs>
          <w:tab w:val="clear" w:pos="360"/>
          <w:tab w:val="clear" w:pos="737"/>
        </w:tabs>
        <w:ind w:left="0" w:firstLine="0"/>
        <w:rPr>
          <w:lang w:val="en-GB"/>
        </w:rPr>
      </w:pPr>
      <w:r>
        <w:rPr>
          <w:lang w:val="en-GB"/>
        </w:rPr>
        <w:br w:type="page"/>
        <w:t xml:space="preserve">In other parts of this report, the Brazilian Government comments on several of these aspects.  It would like to stress here that Brazilian legislation and government actions work together to safeguard these rights, without this imposing constraints on legitimate freedom of expression, research and the use of scientific and technological progress.  However, the State must necessarily be present through the regulatory authority in order to maintain an even balance between these two approaches:  individual freedom and respect for human rights.  In illustration, it is worthwhile mentioning here that the State has jurisdiction over research in and the manipulation of genetic materials in Brazil, as well as controlling the output, marketing and use of techniques, methods and substances that threaten life and the quality of life or the environment. </w:t>
      </w:r>
    </w:p>
    <w:p w:rsidR="00000000" w:rsidRDefault="00000000"/>
    <w:p w:rsidR="00000000" w:rsidRDefault="00000000">
      <w:pPr>
        <w:pStyle w:val="ParaNo"/>
        <w:tabs>
          <w:tab w:val="clear" w:pos="360"/>
          <w:tab w:val="clear" w:pos="737"/>
        </w:tabs>
        <w:ind w:left="0" w:firstLine="0"/>
        <w:rPr>
          <w:lang w:val="en-GB"/>
        </w:rPr>
      </w:pPr>
      <w:r>
        <w:rPr>
          <w:lang w:val="en-GB"/>
        </w:rPr>
        <w:t>In terms of scientific, literary or artistic output, there is an entire framework established in Brazil that is designed to protect not only material interests but also safeguards moral aspects.  Authors’ rights are guaranteed by article 5 of the Brazilian Constitution through items XXVII and XXVIII, whose provisions are also regulated in lengthy laws that confirm the moral and material rights of the author.  After the updating of the Brazilian Criminal Law Code and the signature of international conventions on this matter, Law No. 9,610 was approved on 19 February 1998, updating Brazilian legislation on authors’ rights, which dated back to December 1973 (Law No. 5,988).</w:t>
      </w:r>
    </w:p>
    <w:p w:rsidR="00000000" w:rsidRDefault="00000000"/>
    <w:p w:rsidR="00000000" w:rsidRDefault="00000000">
      <w:pPr>
        <w:pStyle w:val="ParaNo"/>
        <w:tabs>
          <w:tab w:val="clear" w:pos="360"/>
          <w:tab w:val="clear" w:pos="737"/>
        </w:tabs>
        <w:ind w:left="0" w:firstLine="0"/>
        <w:rPr>
          <w:lang w:val="en-GB"/>
        </w:rPr>
      </w:pPr>
      <w:r>
        <w:rPr>
          <w:lang w:val="en-GB"/>
        </w:rPr>
        <w:t>As part of the fundamental guarantees and rights of authors the Brazilian Constitution extends to their heirs the exclusive right of use, publication or reproduction of their works.  Furthermore, it also guarantees the protection of individual works in group shows, the reproduction of human voices and images, including in sports, as well as the right to oversee the economic use of works in the creation of which the authors have participated, with actors and their respective trade unions and associations.  Similarly, industrial inventors are endowed with the temporary privilege of use, in addition to protection covering industrial creations, ownership of trademarks and brand names, company names and other distinctive signs, in accordance with social interests and the technological and economic development of Brazil.  This constitutional guarantee was ratified in 1996 by Brazil’s new Industrial Property Act (1996) and its Authors’ Rights Act (1998), which altered and updated general legislation on intellectual property.</w:t>
      </w:r>
    </w:p>
    <w:p w:rsidR="00000000" w:rsidRDefault="00000000"/>
    <w:p w:rsidR="00000000" w:rsidRDefault="00000000">
      <w:pPr>
        <w:pStyle w:val="ParaNo"/>
        <w:tabs>
          <w:tab w:val="clear" w:pos="360"/>
          <w:tab w:val="clear" w:pos="737"/>
        </w:tabs>
        <w:ind w:left="0" w:firstLine="0"/>
        <w:rPr>
          <w:lang w:val="en-GB"/>
        </w:rPr>
      </w:pPr>
      <w:r>
        <w:rPr>
          <w:lang w:val="en-GB"/>
        </w:rPr>
        <w:t xml:space="preserve">This new Industrial Property Law assigns the National Industrial Property Institute (INPI - </w:t>
      </w:r>
      <w:r>
        <w:rPr>
          <w:u w:val="single"/>
          <w:lang w:val="en-GB"/>
        </w:rPr>
        <w:t>Instituto Nacional da Propriedade Industrial</w:t>
      </w:r>
      <w:r>
        <w:rPr>
          <w:lang w:val="en-GB"/>
        </w:rPr>
        <w:t>) the duties and responsibilities of implementing the rules and standards regulating industrial property nationwide in Brazil and to decide whether to sign, ratify or withdraw from conventions, treaties, covenants and agreements on industrial property.</w:t>
      </w:r>
    </w:p>
    <w:p w:rsidR="00000000" w:rsidRDefault="00000000"/>
    <w:p w:rsidR="00000000" w:rsidRDefault="00000000">
      <w:pPr>
        <w:pStyle w:val="ParaNo"/>
        <w:tabs>
          <w:tab w:val="clear" w:pos="360"/>
          <w:tab w:val="clear" w:pos="737"/>
        </w:tabs>
        <w:ind w:left="0" w:firstLine="0"/>
        <w:rPr>
          <w:lang w:val="en-GB"/>
        </w:rPr>
      </w:pPr>
      <w:r>
        <w:rPr>
          <w:lang w:val="en-GB"/>
        </w:rPr>
        <w:t>Intellectual property is a matter of rising importance for the Brazilian economy, opening up a channel for entering the international community.  INPI is seeking to become an increasingly powerful tool for Brazil’s industrial and technological policies by extending the modernization process and decentralizing its activities.  One of its key targets is to become more active and dynamic with its customers, assigning high value to innovation and meeting fresh demands.  Consequently, INPI has been making available the technical information in its permanent collection, stored in over 24 million patent documents filed by companies, government entities and others, through specific programmes.</w:t>
      </w:r>
    </w:p>
    <w:p w:rsidR="00000000" w:rsidRDefault="00000000"/>
    <w:p w:rsidR="00000000" w:rsidRDefault="00000000">
      <w:pPr>
        <w:pStyle w:val="ParaNo"/>
        <w:tabs>
          <w:tab w:val="clear" w:pos="360"/>
          <w:tab w:val="clear" w:pos="737"/>
        </w:tabs>
        <w:ind w:left="0" w:firstLine="0"/>
        <w:rPr>
          <w:lang w:val="en-GB"/>
        </w:rPr>
      </w:pPr>
      <w:r>
        <w:rPr>
          <w:lang w:val="en-GB"/>
        </w:rPr>
        <w:t xml:space="preserve">In order to comply with Brazilian law on authors’ rights, the Central Royalties Collection and Distribution Bureau (ECAD - </w:t>
      </w:r>
      <w:r>
        <w:rPr>
          <w:u w:val="single"/>
          <w:lang w:val="en-GB"/>
        </w:rPr>
        <w:t>Escritório Central de Arrecadação de Distribuição</w:t>
      </w:r>
      <w:r>
        <w:rPr>
          <w:lang w:val="en-GB"/>
        </w:rPr>
        <w:t xml:space="preserve">) opened in 1997.  In 1998, the volume of funding brought in by this entity reached some US$ 77 million.  It is important to stress that it is hard to ensure compliance with Brazil’s Authors’ Rights Act, owing to the limited human resources available for inspecting this continent-size country. </w:t>
      </w:r>
    </w:p>
    <w:p w:rsidR="00000000" w:rsidRDefault="00000000"/>
    <w:p w:rsidR="00000000" w:rsidRDefault="00000000">
      <w:pPr>
        <w:pStyle w:val="ParaNo"/>
        <w:tabs>
          <w:tab w:val="clear" w:pos="360"/>
          <w:tab w:val="clear" w:pos="737"/>
        </w:tabs>
        <w:ind w:left="0" w:firstLine="0"/>
        <w:rPr>
          <w:lang w:val="en-GB"/>
        </w:rPr>
      </w:pPr>
      <w:r>
        <w:rPr>
          <w:lang w:val="en-GB"/>
        </w:rPr>
        <w:t xml:space="preserve">The conservation, development and dissemination of science and culture are backed by measures introduced at the constitutional level covering Brazil’s teaching system and the communications media.  According to article 218 of the Brazilian Constitution, basic research should be allocated top priority by the State, while technological research should focus mainly on seeking solutions to Brazilian problems as well as furthering the development of domestic and regional production systems.  Consequently, the State is responsible for supporting human resources training in the fields of science, research and technology, as well as for offering special conditions for the performance of these activities.  As a result, the individual states may assign a portion of their budget revenues to government research-support entities. </w:t>
      </w:r>
    </w:p>
    <w:p w:rsidR="00000000" w:rsidRDefault="00000000"/>
    <w:p w:rsidR="00000000" w:rsidRDefault="00000000">
      <w:pPr>
        <w:pStyle w:val="ParaNo"/>
        <w:tabs>
          <w:tab w:val="clear" w:pos="360"/>
          <w:tab w:val="clear" w:pos="737"/>
        </w:tabs>
        <w:ind w:left="0" w:firstLine="0"/>
        <w:rPr>
          <w:lang w:val="en-GB"/>
        </w:rPr>
      </w:pPr>
      <w:r>
        <w:rPr>
          <w:lang w:val="en-GB"/>
        </w:rPr>
        <w:t>As stipulated in the Brazilian Constitution, the Federal Government is responsible for maintaining a range of institutions of higher learning which produce much of Brazil’s scientific output.  Furthermore, it makes provision for encouraging companies investing in research and technological development, as well as in human resources training; enhancing the value of teaching professionals; introducing career plans for the Government-run teaching system with a wage threshold and entry permitted only through public competition based on tests and diplomas; the introduction of a single juridical system for all the institutions maintained by the Federal Government.</w:t>
      </w:r>
    </w:p>
    <w:p w:rsidR="00000000" w:rsidRDefault="00000000"/>
    <w:p w:rsidR="00000000" w:rsidRDefault="00000000">
      <w:pPr>
        <w:pStyle w:val="ParaNo"/>
        <w:tabs>
          <w:tab w:val="clear" w:pos="360"/>
          <w:tab w:val="clear" w:pos="737"/>
        </w:tabs>
        <w:ind w:left="0" w:firstLine="0"/>
        <w:rPr>
          <w:lang w:val="en-GB"/>
        </w:rPr>
      </w:pPr>
      <w:r>
        <w:rPr>
          <w:lang w:val="en-GB"/>
        </w:rPr>
        <w:t xml:space="preserve">It is also important to stress that at the government level, incentives for scientific and technological output are basically the responsibility of two government entities:  the National Scientific Research Council (CNPq - </w:t>
      </w:r>
      <w:r>
        <w:rPr>
          <w:u w:val="single"/>
          <w:lang w:val="en-GB"/>
        </w:rPr>
        <w:t>Conselho Nacional de Pesquisas Científicas</w:t>
      </w:r>
      <w:r>
        <w:rPr>
          <w:lang w:val="en-GB"/>
        </w:rPr>
        <w:t>) and CAPES, whose 1998 budgets totalled some Cr$ 937 million.  Their actions are focused on training human resources, underwriting research, and disseminating scientific knowledge.</w:t>
      </w:r>
    </w:p>
    <w:p w:rsidR="00000000" w:rsidRDefault="00000000"/>
    <w:p w:rsidR="00000000" w:rsidRDefault="00000000">
      <w:pPr>
        <w:pStyle w:val="ParaNo"/>
        <w:tabs>
          <w:tab w:val="clear" w:pos="360"/>
          <w:tab w:val="clear" w:pos="737"/>
        </w:tabs>
        <w:ind w:left="0" w:firstLine="0"/>
        <w:rPr>
          <w:lang w:val="en-GB"/>
        </w:rPr>
      </w:pPr>
      <w:r>
        <w:rPr>
          <w:lang w:val="en-GB"/>
        </w:rPr>
        <w:t>In the field of training researchers, these two institutions expended some Cr$ 600 million on study grants.  Research incentives were also handled through financing research projects, as well as remunerating researchers and allocating funds to research centres.  Furthermore, fresh support for the field of science and technology and human resources training has become feasible through the appearance of foundations providing support for university-level educational institutions working mainly with federal entities.  The dissemination of knowledge is handled through specific lines of financing established by these entities, as well as university institutions through their publishing houses.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Freedom of scientific research and creation is assured once again by the Brazilian Constitution, whose article 5 stipulates freedom of expression for intellectual, artistic, scientific and communications activities with no censorship or licences.  To a certain extent, its article 206 reiterates this concept by ensuring freedom for teaching, research and disseminating thought, art and knowledge.</w:t>
      </w:r>
    </w:p>
    <w:p w:rsidR="00000000" w:rsidRDefault="00000000"/>
    <w:p w:rsidR="00000000" w:rsidRDefault="00000000">
      <w:pPr>
        <w:pStyle w:val="ParaNo"/>
        <w:tabs>
          <w:tab w:val="clear" w:pos="360"/>
          <w:tab w:val="clear" w:pos="737"/>
        </w:tabs>
        <w:ind w:left="0" w:firstLine="0"/>
        <w:rPr>
          <w:lang w:val="en-GB"/>
        </w:rPr>
      </w:pPr>
      <w:r>
        <w:rPr>
          <w:lang w:val="en-GB"/>
        </w:rPr>
        <w:t>Similarly, the freedom to exchange information, opinions and experiences at the scientific, technical and cultural levels is also assured and safeguarded through the Brazilian Constitution as a basic right of citizens.  The Brazilian Government feels that it is important to stress to the Committee on Economic, Social and Cultural Rights that article 5 of the Brazilian Constitution enshrines the concerns reflected in the guidelines for the preparation of the reports of the States parties on the International Covenant.  Consequently, the Brazilian Constitution imposes conditions applicable to both the Government and society ensuring that the manifestation of thoughts and the expression of intellectual, artistic and scientific activities, as well as communications, meet the need to safeguard the inviolability of intimacy and private life, as well as the good name and reputation of individuals, without censorship and guaranteeing the right to compensation for material or moral damages in case of violation.</w:t>
      </w:r>
    </w:p>
    <w:p w:rsidR="00000000" w:rsidRDefault="00000000"/>
    <w:p w:rsidR="00000000" w:rsidRDefault="00000000">
      <w:pPr>
        <w:pStyle w:val="ParaNo"/>
        <w:tabs>
          <w:tab w:val="clear" w:pos="360"/>
          <w:tab w:val="clear" w:pos="737"/>
        </w:tabs>
        <w:ind w:left="0" w:firstLine="0"/>
        <w:rPr>
          <w:lang w:val="en-GB"/>
        </w:rPr>
      </w:pPr>
      <w:r>
        <w:rPr>
          <w:lang w:val="en-GB"/>
        </w:rPr>
        <w:t xml:space="preserve"> Simultaneously, the freedom to exercise any type of work, craft or profession, in accordance with the professional qualifications stipulated under law, is assured, with access for all to information, with the necessary protection for the confidentiality of sources when required for professional reasons.</w:t>
      </w:r>
    </w:p>
    <w:p w:rsidR="00000000" w:rsidRDefault="00000000"/>
    <w:p w:rsidR="00000000" w:rsidRDefault="00000000">
      <w:pPr>
        <w:pStyle w:val="ParaNo"/>
        <w:tabs>
          <w:tab w:val="clear" w:pos="360"/>
          <w:tab w:val="clear" w:pos="737"/>
        </w:tabs>
        <w:ind w:left="0" w:firstLine="0"/>
        <w:rPr>
          <w:lang w:val="en-GB"/>
        </w:rPr>
      </w:pPr>
      <w:r>
        <w:rPr>
          <w:lang w:val="en-GB"/>
        </w:rPr>
        <w:t>When requested, and under the aegis of certain programmes, the Ministry of Culture supports cultural associations in many different areas.  Consequently, 152 municipal projects all over Brazil received backing from the National Culture Fund, which also underwrote repairs to buildings where cultural centres were established and equipment was installed, endowing communities with areas designed to boost the dynamics of cultural life in these communities.  The implementation of these cultural centres is based on assigning high priority to restoring buildings with historical value, so that these investments also foster the preservation of Brazil’s cultural heritage.</w:t>
      </w:r>
    </w:p>
    <w:p w:rsidR="00000000" w:rsidRDefault="00000000"/>
    <w:p w:rsidR="00000000" w:rsidRDefault="00000000">
      <w:pPr>
        <w:pStyle w:val="ParaNo"/>
        <w:tabs>
          <w:tab w:val="clear" w:pos="360"/>
          <w:tab w:val="clear" w:pos="737"/>
        </w:tabs>
        <w:ind w:left="0" w:firstLine="0"/>
        <w:rPr>
          <w:lang w:val="en-GB"/>
        </w:rPr>
      </w:pPr>
      <w:r>
        <w:rPr>
          <w:lang w:val="en-GB"/>
        </w:rPr>
        <w:t>Support for international scientific and cultural activities is reflected in countless educational exchange agreements with many different countries, providing access to Government-run universities in Brazil for foreign students, while Brazilian students can take courses at foreign universities.  At the graduate and research levels, CAPES and the CNPq run grant programmes underwriting studies abroad.  In the field of scientific research, Brazil has signed bilateral cooperation agreements and in 1998 was a member of 17 international entities specializing in science and technology.  It also signed agreements with 46 foreign entities linked to the fields of science and technology.</w:t>
      </w:r>
    </w:p>
    <w:p w:rsidR="00000000" w:rsidRDefault="00000000"/>
    <w:p w:rsidR="00000000" w:rsidRDefault="00000000">
      <w:pPr>
        <w:pStyle w:val="ParaNo"/>
        <w:tabs>
          <w:tab w:val="clear" w:pos="360"/>
          <w:tab w:val="clear" w:pos="737"/>
        </w:tabs>
        <w:ind w:left="0" w:firstLine="0"/>
        <w:rPr>
          <w:lang w:val="en-GB"/>
        </w:rPr>
      </w:pPr>
      <w:r>
        <w:rPr>
          <w:lang w:val="en-GB"/>
        </w:rPr>
        <w:t xml:space="preserve">International assistance is perceived by the Brazilian Government as highly significant.  The development of new knowledge, expertise, know-how and technologies leaps national and cultural borders, particularly through the internationalization of companies and capital.  The nature of research is in itself international.  The Brazilian Government consequently feels that it is vital to encourage technological transfers and support basic and strategic scientific research implemented through universities and many different research entities and councils, as well as other related organizations.  A number of institutions have been participating in these developments, including the National Scientific Research Council (CNPq), EMBRAPA, EMATER, the National Confederation of Industry (CNI - </w:t>
      </w:r>
      <w:r>
        <w:rPr>
          <w:u w:val="single"/>
          <w:lang w:val="en-GB"/>
        </w:rPr>
        <w:t>Confederação Nacional da Indústria</w:t>
      </w:r>
      <w:r>
        <w:rPr>
          <w:lang w:val="en-GB"/>
        </w:rPr>
        <w:t xml:space="preserve">), </w:t>
      </w:r>
    </w:p>
    <w:p w:rsidR="00000000" w:rsidRDefault="00000000">
      <w:r>
        <w:br w:type="page"/>
        <w:t xml:space="preserve">IBICT and the Studies and Projects Financing Agency (FINEP - </w:t>
      </w:r>
      <w:r>
        <w:rPr>
          <w:u w:val="single"/>
        </w:rPr>
        <w:t>Financiadora de Estudos e Projetos</w:t>
      </w:r>
      <w:r>
        <w:t>).  All these entities open up significant opportunities for research and its dissemination among micro-, small and medium-sized enterprises, as well as Brazilian companies or corporations operating in Brazil.  A particularly noteworthy programme that rates high in importance for encouraging research and consolidating an effective monitoring system for the development of scientific and technological research is the Centres of Excellence Support Programme (</w:t>
      </w:r>
      <w:r>
        <w:rPr>
          <w:u w:val="single"/>
        </w:rPr>
        <w:t>Programa de Apoio a Núcleos de Excelência</w:t>
      </w:r>
      <w:r>
        <w:t>).</w:t>
      </w:r>
    </w:p>
    <w:p w:rsidR="00000000" w:rsidRDefault="00000000"/>
    <w:p w:rsidR="00000000" w:rsidRDefault="00000000">
      <w:pPr>
        <w:pStyle w:val="ParaNo"/>
        <w:tabs>
          <w:tab w:val="clear" w:pos="360"/>
          <w:tab w:val="clear" w:pos="737"/>
        </w:tabs>
        <w:ind w:left="0" w:firstLine="0"/>
        <w:rPr>
          <w:lang w:val="en-GB"/>
        </w:rPr>
      </w:pPr>
      <w:r>
        <w:rPr>
          <w:lang w:val="en-GB"/>
        </w:rPr>
        <w:t>Scientific and technological research activities can be undertaken by universities, research centres, specialized institutions, Government-run enterprises and private corporations, as well as small and medium-sized companies, but in many cases networking and links are required to many different segments of society through partnerships, as well as international assistance and cooperation programmes.  The Brazilian Government assigns particular importance to international cooperation programmes that include activities for which Brazil is not endowed with comparative advantages in terms of building up know-how, expertise and specialized technologies.</w:t>
      </w:r>
    </w:p>
    <w:p w:rsidR="00000000" w:rsidRDefault="00000000"/>
    <w:p w:rsidR="00000000" w:rsidRDefault="00000000">
      <w:pPr>
        <w:pStyle w:val="ParaNo"/>
        <w:tabs>
          <w:tab w:val="clear" w:pos="360"/>
          <w:tab w:val="clear" w:pos="737"/>
        </w:tabs>
        <w:ind w:left="0" w:firstLine="0"/>
        <w:rPr>
          <w:lang w:val="en-GB"/>
        </w:rPr>
      </w:pPr>
      <w:r>
        <w:rPr>
          <w:lang w:val="en-GB"/>
        </w:rPr>
        <w:t>The assistance heading includes joint research and technological development projects; scientific, technological and technical exchanges as well as training and qualification activities; expanding programmes, projects and understandings between institutions in the countries involved that specialize in the basic and applied sciences; the organization of congresses, conventions, seminars, workshops, etc. attended by researchers from various countries; exchanges of scientific and technological information.</w:t>
      </w:r>
    </w:p>
    <w:p w:rsidR="00000000" w:rsidRDefault="00000000"/>
    <w:p w:rsidR="00000000" w:rsidRDefault="00000000">
      <w:pPr>
        <w:pStyle w:val="ParaNo"/>
        <w:tabs>
          <w:tab w:val="clear" w:pos="360"/>
          <w:tab w:val="clear" w:pos="737"/>
        </w:tabs>
        <w:ind w:left="0" w:firstLine="0"/>
        <w:rPr>
          <w:lang w:val="en-GB"/>
        </w:rPr>
      </w:pPr>
      <w:r>
        <w:rPr>
          <w:lang w:val="en-GB"/>
        </w:rPr>
        <w:t>In cases where this assistance involves joint creation and cooperation, issues related to intellectual property rights often arise that are normally resolved under these projects and programmes, in accordance with Brazilian law as well as the legal requirements of the other parties involved, in addition to international agreements to which both sides are signatories.</w:t>
      </w:r>
    </w:p>
    <w:p w:rsidR="00000000" w:rsidRDefault="00000000"/>
    <w:p w:rsidR="00000000" w:rsidRDefault="00000000"/>
    <w:p w:rsidR="00000000" w:rsidRDefault="00000000">
      <w:pPr>
        <w:jc w:val="center"/>
        <w:rPr>
          <w:u w:val="single"/>
        </w:rPr>
      </w:pPr>
      <w:r>
        <w:rPr>
          <w:u w:val="single"/>
        </w:rPr>
        <w:t>Notes</w:t>
      </w:r>
    </w:p>
    <w:sectPr w:rsidR="00000000">
      <w:headerReference w:type="even" r:id="rId48"/>
      <w:headerReference w:type="default" r:id="rId49"/>
      <w:endnotePr>
        <w:numFmt w:val="decimal"/>
      </w:endnotePr>
      <w:pgSz w:w="11907" w:h="16840" w:code="9"/>
      <w:pgMar w:top="567" w:right="851" w:bottom="1985" w:left="1701" w:header="851" w:footer="198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id="1">
    <w:p w:rsidR="00000000" w:rsidRDefault="00000000">
      <w:pPr>
        <w:pStyle w:val="EndnoteText"/>
      </w:pPr>
      <w:r>
        <w:rPr>
          <w:rStyle w:val="EndnoteReference"/>
        </w:rPr>
        <w:endnoteRef/>
      </w:r>
      <w:r>
        <w:t xml:space="preserve">  The Brazilian Institute for Applied Economic Research.</w:t>
      </w:r>
    </w:p>
    <w:p w:rsidR="00000000" w:rsidRDefault="00000000">
      <w:pPr>
        <w:pStyle w:val="EndnoteText"/>
      </w:pPr>
    </w:p>
  </w:endnote>
  <w:endnote w:id="2">
    <w:p w:rsidR="00000000" w:rsidRDefault="00000000">
      <w:r>
        <w:rPr>
          <w:rStyle w:val="EndnoteReference"/>
        </w:rPr>
        <w:endnoteRef/>
      </w:r>
      <w:r>
        <w:t xml:space="preserve">  References to human rights in the Federal Constitution of Brazil:</w:t>
      </w:r>
    </w:p>
    <w:p w:rsidR="00000000" w:rsidRDefault="00000000"/>
    <w:p w:rsidR="00000000" w:rsidRDefault="00000000">
      <w:pPr>
        <w:ind w:left="720"/>
        <w:rPr>
          <w:b/>
          <w:bCs/>
        </w:rPr>
      </w:pPr>
      <w:r>
        <w:rPr>
          <w:b/>
          <w:bCs/>
        </w:rPr>
        <w:t>Article 1</w:t>
      </w:r>
    </w:p>
    <w:p w:rsidR="00000000" w:rsidRDefault="00000000">
      <w:pPr>
        <w:ind w:left="720"/>
      </w:pPr>
    </w:p>
    <w:p w:rsidR="00000000" w:rsidRDefault="00000000">
      <w:pPr>
        <w:ind w:left="720"/>
      </w:pPr>
      <w:r>
        <w:tab/>
        <w:t>The Federative Republic of Brazil, formed by an indissoluble union of states and municipalities and the Federal District, is a democratic State constituted under the Rule of Law and founded on the following principles:</w:t>
      </w:r>
    </w:p>
    <w:p w:rsidR="00000000" w:rsidRDefault="00000000">
      <w:pPr>
        <w:ind w:left="720"/>
      </w:pPr>
    </w:p>
    <w:p w:rsidR="00000000" w:rsidRDefault="00000000">
      <w:pPr>
        <w:tabs>
          <w:tab w:val="right" w:pos="1701"/>
          <w:tab w:val="left" w:pos="1985"/>
        </w:tabs>
        <w:ind w:left="720"/>
      </w:pPr>
      <w:r>
        <w:tab/>
        <w:t>I.</w:t>
      </w:r>
      <w:r>
        <w:tab/>
        <w:t>Sovereignty;</w:t>
      </w:r>
    </w:p>
    <w:p w:rsidR="00000000" w:rsidRDefault="00000000">
      <w:pPr>
        <w:tabs>
          <w:tab w:val="right" w:pos="1701"/>
          <w:tab w:val="left" w:pos="1985"/>
        </w:tabs>
        <w:ind w:left="720"/>
      </w:pPr>
    </w:p>
    <w:p w:rsidR="00000000" w:rsidRDefault="00000000">
      <w:pPr>
        <w:tabs>
          <w:tab w:val="right" w:pos="1701"/>
          <w:tab w:val="left" w:pos="1985"/>
        </w:tabs>
        <w:ind w:left="720"/>
      </w:pPr>
      <w:r>
        <w:tab/>
        <w:t>II.</w:t>
      </w:r>
      <w:r>
        <w:tab/>
        <w:t>Citizenship;</w:t>
      </w:r>
    </w:p>
    <w:p w:rsidR="00000000" w:rsidRDefault="00000000">
      <w:pPr>
        <w:tabs>
          <w:tab w:val="right" w:pos="1701"/>
          <w:tab w:val="left" w:pos="1985"/>
        </w:tabs>
        <w:ind w:left="720"/>
      </w:pPr>
    </w:p>
    <w:p w:rsidR="00000000" w:rsidRDefault="00000000">
      <w:pPr>
        <w:tabs>
          <w:tab w:val="right" w:pos="1701"/>
          <w:tab w:val="left" w:pos="1985"/>
        </w:tabs>
        <w:ind w:left="720"/>
      </w:pPr>
      <w:r>
        <w:tab/>
        <w:t>III.</w:t>
      </w:r>
      <w:r>
        <w:tab/>
        <w:t>The dignity of the human person/human beings;</w:t>
      </w:r>
    </w:p>
    <w:p w:rsidR="00000000" w:rsidRDefault="00000000">
      <w:pPr>
        <w:tabs>
          <w:tab w:val="right" w:pos="1701"/>
          <w:tab w:val="left" w:pos="1985"/>
        </w:tabs>
        <w:ind w:left="720"/>
      </w:pPr>
      <w:r>
        <w:tab/>
        <w:t>IV.</w:t>
      </w:r>
      <w:r>
        <w:tab/>
        <w:t>The societal values of labour and free enterprise;</w:t>
      </w:r>
    </w:p>
    <w:p w:rsidR="00000000" w:rsidRDefault="00000000">
      <w:pPr>
        <w:tabs>
          <w:tab w:val="right" w:pos="1701"/>
          <w:tab w:val="left" w:pos="1985"/>
        </w:tabs>
        <w:ind w:left="720"/>
      </w:pPr>
    </w:p>
    <w:p w:rsidR="00000000" w:rsidRDefault="00000000">
      <w:pPr>
        <w:tabs>
          <w:tab w:val="right" w:pos="1701"/>
          <w:tab w:val="left" w:pos="1985"/>
        </w:tabs>
        <w:ind w:left="720"/>
      </w:pPr>
      <w:r>
        <w:tab/>
        <w:t>V.</w:t>
      </w:r>
      <w:r>
        <w:tab/>
        <w:t>Political pluralism.</w:t>
      </w:r>
    </w:p>
    <w:p w:rsidR="00000000" w:rsidRDefault="00000000">
      <w:pPr>
        <w:ind w:left="1440"/>
      </w:pPr>
    </w:p>
    <w:p w:rsidR="00000000" w:rsidRDefault="00000000">
      <w:pPr>
        <w:ind w:left="720"/>
      </w:pPr>
      <w:r>
        <w:t xml:space="preserve">Sole paragraph </w:t>
      </w:r>
      <w:r>
        <w:noBreakHyphen/>
        <w:t xml:space="preserve"> All power emanates from the people, who exercise it by means of elected representatives or directly, pursuant to the Constitution.</w:t>
      </w:r>
    </w:p>
    <w:p w:rsidR="00000000" w:rsidRDefault="00000000">
      <w:pPr>
        <w:ind w:left="720"/>
      </w:pPr>
    </w:p>
    <w:p w:rsidR="00000000" w:rsidRDefault="00000000">
      <w:pPr>
        <w:ind w:left="720"/>
        <w:rPr>
          <w:b/>
          <w:bCs/>
        </w:rPr>
      </w:pPr>
      <w:r>
        <w:rPr>
          <w:b/>
          <w:bCs/>
        </w:rPr>
        <w:t>Article 3</w:t>
      </w:r>
    </w:p>
    <w:p w:rsidR="00000000" w:rsidRDefault="00000000">
      <w:pPr>
        <w:ind w:left="720"/>
        <w:rPr>
          <w:b/>
          <w:bCs/>
        </w:rPr>
      </w:pPr>
    </w:p>
    <w:p w:rsidR="00000000" w:rsidRDefault="00000000">
      <w:pPr>
        <w:ind w:left="720"/>
      </w:pPr>
      <w:r>
        <w:tab/>
        <w:t>The fundamental objectives of the Federative Republic of Brazil are:</w:t>
      </w:r>
    </w:p>
    <w:p w:rsidR="00000000" w:rsidRDefault="00000000">
      <w:pPr>
        <w:ind w:left="720"/>
      </w:pPr>
    </w:p>
    <w:p w:rsidR="00000000" w:rsidRDefault="00000000">
      <w:pPr>
        <w:tabs>
          <w:tab w:val="right" w:pos="1701"/>
          <w:tab w:val="left" w:pos="1985"/>
        </w:tabs>
        <w:ind w:left="720"/>
      </w:pPr>
      <w:r>
        <w:tab/>
        <w:t>I.</w:t>
      </w:r>
      <w:r>
        <w:tab/>
        <w:t>To build a free, just and supportive society;</w:t>
      </w:r>
    </w:p>
    <w:p w:rsidR="00000000" w:rsidRDefault="00000000">
      <w:pPr>
        <w:tabs>
          <w:tab w:val="right" w:pos="1701"/>
          <w:tab w:val="left" w:pos="1985"/>
        </w:tabs>
        <w:ind w:left="720"/>
      </w:pPr>
    </w:p>
    <w:p w:rsidR="00000000" w:rsidRDefault="00000000">
      <w:pPr>
        <w:tabs>
          <w:tab w:val="right" w:pos="1701"/>
          <w:tab w:val="left" w:pos="1985"/>
        </w:tabs>
        <w:ind w:left="720"/>
      </w:pPr>
      <w:r>
        <w:tab/>
        <w:t>II.</w:t>
      </w:r>
      <w:r>
        <w:tab/>
        <w:t>To guarantee national development;</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III.</w:t>
      </w:r>
      <w:r>
        <w:tab/>
        <w:t>To eradicate poverty and substandard living conditions and to reduce social and regional inequalities;</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IV.</w:t>
      </w:r>
      <w:r>
        <w:tab/>
        <w:t>To promote the well</w:t>
      </w:r>
      <w:r>
        <w:noBreakHyphen/>
        <w:t>being of all, without prejudice as to origin, race, sex, colour, age and any other forms of discrimination.</w:t>
      </w:r>
    </w:p>
    <w:p w:rsidR="00000000" w:rsidRDefault="00000000">
      <w:pPr>
        <w:ind w:left="1843"/>
      </w:pPr>
    </w:p>
    <w:p w:rsidR="00000000" w:rsidRDefault="00000000">
      <w:pPr>
        <w:ind w:left="720"/>
        <w:rPr>
          <w:b/>
          <w:bCs/>
        </w:rPr>
      </w:pPr>
      <w:r>
        <w:rPr>
          <w:b/>
          <w:bCs/>
        </w:rPr>
        <w:t>Article 4</w:t>
      </w:r>
    </w:p>
    <w:p w:rsidR="00000000" w:rsidRDefault="00000000">
      <w:pPr>
        <w:ind w:left="720"/>
        <w:rPr>
          <w:b/>
          <w:bCs/>
        </w:rPr>
      </w:pPr>
    </w:p>
    <w:p w:rsidR="00000000" w:rsidRDefault="00000000">
      <w:pPr>
        <w:ind w:left="720"/>
      </w:pPr>
      <w:r>
        <w:tab/>
        <w:t>The Federative Republic of Brazil’s international relations are governed by the following principles:</w:t>
      </w:r>
    </w:p>
    <w:p w:rsidR="00000000" w:rsidRDefault="00000000">
      <w:pPr>
        <w:ind w:left="720"/>
      </w:pPr>
    </w:p>
    <w:p w:rsidR="00000000" w:rsidRDefault="00000000">
      <w:pPr>
        <w:tabs>
          <w:tab w:val="right" w:pos="1701"/>
          <w:tab w:val="left" w:pos="1985"/>
        </w:tabs>
        <w:ind w:left="720"/>
      </w:pPr>
      <w:r>
        <w:tab/>
        <w:t>I.</w:t>
      </w:r>
      <w:r>
        <w:tab/>
        <w:t>National independence;</w:t>
      </w:r>
    </w:p>
    <w:p w:rsidR="00000000" w:rsidRDefault="00000000">
      <w:pPr>
        <w:tabs>
          <w:tab w:val="right" w:pos="1701"/>
          <w:tab w:val="left" w:pos="1985"/>
        </w:tabs>
        <w:ind w:left="720"/>
      </w:pPr>
    </w:p>
    <w:p w:rsidR="00000000" w:rsidRDefault="00000000">
      <w:pPr>
        <w:tabs>
          <w:tab w:val="right" w:pos="1701"/>
          <w:tab w:val="left" w:pos="1985"/>
        </w:tabs>
        <w:ind w:left="720"/>
      </w:pPr>
      <w:r>
        <w:tab/>
        <w:t>II.</w:t>
      </w:r>
      <w:r>
        <w:tab/>
        <w:t>The preponderance of human rights;</w:t>
      </w:r>
    </w:p>
    <w:p w:rsidR="00000000" w:rsidRDefault="00000000">
      <w:pPr>
        <w:tabs>
          <w:tab w:val="right" w:pos="1701"/>
          <w:tab w:val="left" w:pos="1985"/>
        </w:tabs>
        <w:ind w:left="720"/>
      </w:pPr>
    </w:p>
    <w:p w:rsidR="00000000" w:rsidRDefault="00000000">
      <w:pPr>
        <w:tabs>
          <w:tab w:val="right" w:pos="1701"/>
          <w:tab w:val="left" w:pos="1985"/>
        </w:tabs>
        <w:ind w:left="720"/>
      </w:pPr>
      <w:r>
        <w:tab/>
        <w:t>III.</w:t>
      </w:r>
      <w:r>
        <w:tab/>
        <w:t>Self</w:t>
      </w:r>
      <w:r>
        <w:noBreakHyphen/>
        <w:t>determination of peoples;</w:t>
      </w:r>
    </w:p>
    <w:p w:rsidR="00000000" w:rsidRDefault="00000000">
      <w:pPr>
        <w:tabs>
          <w:tab w:val="right" w:pos="1701"/>
          <w:tab w:val="left" w:pos="1985"/>
        </w:tabs>
        <w:ind w:left="720"/>
      </w:pPr>
    </w:p>
    <w:p w:rsidR="00000000" w:rsidRDefault="00000000">
      <w:pPr>
        <w:tabs>
          <w:tab w:val="right" w:pos="1701"/>
          <w:tab w:val="left" w:pos="1985"/>
        </w:tabs>
        <w:ind w:left="720"/>
        <w:rPr>
          <w:lang w:val="fr-FR"/>
        </w:rPr>
      </w:pPr>
      <w:r>
        <w:rPr>
          <w:lang w:val="en-US"/>
        </w:rPr>
        <w:tab/>
      </w:r>
      <w:r>
        <w:rPr>
          <w:lang w:val="fr-FR"/>
        </w:rPr>
        <w:t>IV.</w:t>
      </w:r>
      <w:r>
        <w:rPr>
          <w:lang w:val="fr-FR"/>
        </w:rPr>
        <w:tab/>
        <w:t>Non</w:t>
      </w:r>
      <w:r>
        <w:rPr>
          <w:lang w:val="fr-FR"/>
        </w:rPr>
        <w:noBreakHyphen/>
        <w:t>intervention;</w:t>
      </w:r>
    </w:p>
    <w:p w:rsidR="00000000" w:rsidRDefault="00000000">
      <w:pPr>
        <w:tabs>
          <w:tab w:val="right" w:pos="1701"/>
          <w:tab w:val="left" w:pos="1985"/>
        </w:tabs>
        <w:ind w:left="720"/>
        <w:rPr>
          <w:lang w:val="fr-FR"/>
        </w:rPr>
      </w:pPr>
    </w:p>
    <w:p w:rsidR="00000000" w:rsidRDefault="00000000">
      <w:pPr>
        <w:tabs>
          <w:tab w:val="right" w:pos="1701"/>
          <w:tab w:val="left" w:pos="1985"/>
        </w:tabs>
        <w:ind w:left="720"/>
      </w:pPr>
      <w:r>
        <w:rPr>
          <w:lang w:val="fr-FR"/>
        </w:rPr>
        <w:tab/>
      </w:r>
      <w:r>
        <w:t>V.</w:t>
      </w:r>
      <w:r>
        <w:tab/>
        <w:t>Equality among States;</w:t>
      </w:r>
    </w:p>
    <w:p w:rsidR="00000000" w:rsidRDefault="00000000">
      <w:pPr>
        <w:tabs>
          <w:tab w:val="right" w:pos="1701"/>
          <w:tab w:val="left" w:pos="1985"/>
        </w:tabs>
        <w:ind w:left="720"/>
      </w:pPr>
    </w:p>
    <w:p w:rsidR="00000000" w:rsidRDefault="00000000">
      <w:pPr>
        <w:tabs>
          <w:tab w:val="right" w:pos="1701"/>
          <w:tab w:val="left" w:pos="1985"/>
        </w:tabs>
        <w:ind w:left="720"/>
      </w:pPr>
      <w:r>
        <w:tab/>
        <w:t>VI.</w:t>
      </w:r>
      <w:r>
        <w:tab/>
        <w:t>Defence of peace;</w:t>
      </w:r>
    </w:p>
    <w:p w:rsidR="00000000" w:rsidRDefault="00000000">
      <w:pPr>
        <w:tabs>
          <w:tab w:val="right" w:pos="1701"/>
          <w:tab w:val="left" w:pos="1985"/>
        </w:tabs>
        <w:ind w:left="720"/>
      </w:pPr>
    </w:p>
    <w:p w:rsidR="00000000" w:rsidRDefault="00000000">
      <w:pPr>
        <w:tabs>
          <w:tab w:val="right" w:pos="1701"/>
          <w:tab w:val="left" w:pos="1985"/>
        </w:tabs>
        <w:ind w:left="720"/>
      </w:pPr>
      <w:r>
        <w:tab/>
        <w:t>VII.</w:t>
      </w:r>
      <w:r>
        <w:tab/>
        <w:t>Peaceful dispute settlement;</w:t>
      </w:r>
    </w:p>
    <w:p w:rsidR="00000000" w:rsidRDefault="00000000">
      <w:pPr>
        <w:tabs>
          <w:tab w:val="right" w:pos="1701"/>
          <w:tab w:val="left" w:pos="1985"/>
        </w:tabs>
        <w:ind w:left="720"/>
      </w:pPr>
    </w:p>
    <w:p w:rsidR="00000000" w:rsidRDefault="00000000">
      <w:pPr>
        <w:tabs>
          <w:tab w:val="right" w:pos="1701"/>
          <w:tab w:val="left" w:pos="1985"/>
        </w:tabs>
        <w:ind w:left="720"/>
      </w:pPr>
      <w:r>
        <w:tab/>
        <w:t xml:space="preserve">VIII. </w:t>
      </w:r>
      <w:r>
        <w:tab/>
        <w:t>Repudiation of terrorism and racism;</w:t>
      </w:r>
    </w:p>
    <w:p w:rsidR="00000000" w:rsidRDefault="00000000">
      <w:pPr>
        <w:tabs>
          <w:tab w:val="right" w:pos="1701"/>
          <w:tab w:val="left" w:pos="1985"/>
        </w:tabs>
        <w:ind w:left="720"/>
      </w:pPr>
    </w:p>
    <w:p w:rsidR="00000000" w:rsidRDefault="00000000">
      <w:pPr>
        <w:tabs>
          <w:tab w:val="right" w:pos="1701"/>
          <w:tab w:val="left" w:pos="1985"/>
        </w:tabs>
        <w:ind w:left="720"/>
      </w:pPr>
      <w:r>
        <w:tab/>
        <w:t>IX.</w:t>
      </w:r>
      <w:r>
        <w:tab/>
        <w:t>Cooperation among peoples for the progress of mankind;</w:t>
      </w:r>
    </w:p>
    <w:p w:rsidR="00000000" w:rsidRDefault="00000000">
      <w:pPr>
        <w:tabs>
          <w:tab w:val="right" w:pos="1701"/>
          <w:tab w:val="left" w:pos="1985"/>
        </w:tabs>
        <w:ind w:left="720"/>
      </w:pPr>
    </w:p>
    <w:p w:rsidR="00000000" w:rsidRDefault="00000000">
      <w:pPr>
        <w:tabs>
          <w:tab w:val="right" w:pos="1701"/>
          <w:tab w:val="left" w:pos="1985"/>
        </w:tabs>
        <w:ind w:left="720"/>
      </w:pPr>
      <w:r>
        <w:tab/>
        <w:t>X.</w:t>
      </w:r>
      <w:r>
        <w:tab/>
        <w:t>Granting of political asylum.</w:t>
      </w:r>
    </w:p>
    <w:p w:rsidR="00000000" w:rsidRDefault="00000000">
      <w:pPr>
        <w:ind w:left="720"/>
      </w:pPr>
      <w:r>
        <w:t xml:space="preserve">Sole paragraph </w:t>
      </w:r>
      <w:r>
        <w:noBreakHyphen/>
        <w:t xml:space="preserve"> The Federative Republic of Brazil shall seek the economic, political, social and cultural integration of the peoples of Latin America, with a view to the formation of a Latin American community of nations.</w:t>
      </w:r>
    </w:p>
    <w:p w:rsidR="00000000" w:rsidRDefault="00000000">
      <w:pPr>
        <w:ind w:left="720"/>
      </w:pPr>
    </w:p>
    <w:p w:rsidR="00000000" w:rsidRDefault="00000000">
      <w:pPr>
        <w:ind w:left="720"/>
        <w:rPr>
          <w:b/>
          <w:bCs/>
        </w:rPr>
      </w:pPr>
      <w:r>
        <w:rPr>
          <w:b/>
          <w:bCs/>
        </w:rPr>
        <w:t>Article 5</w:t>
      </w:r>
    </w:p>
    <w:p w:rsidR="00000000" w:rsidRDefault="00000000">
      <w:pPr>
        <w:ind w:left="720"/>
        <w:rPr>
          <w:b/>
          <w:bCs/>
        </w:rPr>
      </w:pPr>
    </w:p>
    <w:p w:rsidR="00000000" w:rsidRDefault="00000000">
      <w:pPr>
        <w:ind w:left="720"/>
      </w:pPr>
      <w:r>
        <w:tab/>
        <w:t>All persons are equal in the eyes of the law, with no distinction whatsoever.  Brazilians, and foreigners residing in Brazil, are guaranteed the uninfringeable right to life, liberty, equality, security and property, as follows:</w:t>
      </w:r>
    </w:p>
    <w:p w:rsidR="00000000" w:rsidRDefault="00000000">
      <w:pPr>
        <w:ind w:left="720"/>
      </w:pPr>
    </w:p>
    <w:p w:rsidR="00000000" w:rsidRDefault="00000000">
      <w:pPr>
        <w:tabs>
          <w:tab w:val="right" w:pos="1701"/>
          <w:tab w:val="left" w:pos="1985"/>
        </w:tabs>
        <w:ind w:left="720"/>
      </w:pPr>
      <w:r>
        <w:tab/>
        <w:t>I.</w:t>
      </w:r>
      <w:r>
        <w:tab/>
        <w:t>Men and women have equal rights and duties under this Constitution;</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VI.</w:t>
      </w:r>
      <w:r>
        <w:tab/>
        <w:t>Freedom of conscience and of belief are inviolable.  Religious sects are guaranteed the free exercise of their beliefs, and the legal right to protection for their places of worship and rituals;</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VII.</w:t>
      </w:r>
      <w:r>
        <w:tab/>
        <w:t>Under the terms of the law, the rendering of religious assistance in civil and military establishments of collective confinement is ensured;</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VIII.</w:t>
      </w:r>
      <w:r>
        <w:tab/>
        <w:t>No person shall be deprived of any rights by reason of religious belief or philosophical or political conviction, unless such persons invoke them to exempt themselves from legal obligations required of everyone, and refuse to perform alternative duties determined by law;</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IX.</w:t>
      </w:r>
      <w:r>
        <w:tab/>
        <w:t>Intellectual, artistic, scientific and communication activities are covered by the right to freedom of expression, independently of censorship or licenses;</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X.</w:t>
      </w:r>
      <w:r>
        <w:tab/>
        <w:t>The privacy, private life, honour and image of persons are inviolable, and the right to compensation for property or moral damages resulting from their violation is ensured;</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XI.</w:t>
      </w:r>
      <w:r>
        <w:tab/>
        <w:t>The home is the inviolable refuge of the individual, and no one may enter therein without the consent of the dweller, except in the event of “flagrante delicto” or disaster, or to attempt a rescue, or, during the day, by court order;</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XII.</w:t>
      </w:r>
      <w:r>
        <w:tab/>
        <w:t>The confidentiality of correspondence and of telegraphic, data and telephone communications is inviolable, except, in the latter case, by court order, in the cases and in the manner prescribed by the law for the purposes of criminal investigations or fact</w:t>
      </w:r>
      <w:r>
        <w:noBreakHyphen/>
        <w:t>finding during criminal procedures;</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XIII.</w:t>
      </w:r>
      <w:r>
        <w:tab/>
        <w:t>Any work, trade or profession may be freely exercised, pursuant to laws regarding professional qualifications;</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XIV.</w:t>
      </w:r>
      <w:r>
        <w:tab/>
        <w:t>Access to information is guaranteed to all; the confidentiality of sources shall be safeguarded whenever required by the professional activity in question;</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XV.</w:t>
      </w:r>
      <w:r>
        <w:tab/>
        <w:t>During peacetime persons may move freely within Brazil’s territory and any persons may, under the terms of the law, enter into Brazil’s territory, remain therein or leave it with their assets;</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XVI.</w:t>
      </w:r>
      <w:r>
        <w:tab/>
        <w:t>All persons may hold peaceful meetings, without weapons, in places open to the public, irregardless of authorization, provided that they do not frustrate another meeting previously convened in the same place, subject only to prior notice to be given to the proper authority;</w:t>
      </w:r>
    </w:p>
    <w:p w:rsidR="00000000" w:rsidRDefault="00000000">
      <w:pPr>
        <w:tabs>
          <w:tab w:val="right" w:pos="1701"/>
          <w:tab w:val="left" w:pos="1985"/>
        </w:tabs>
        <w:ind w:left="1985" w:hanging="1265"/>
      </w:pPr>
    </w:p>
    <w:p w:rsidR="00000000" w:rsidRDefault="00000000">
      <w:pPr>
        <w:tabs>
          <w:tab w:val="right" w:pos="1701"/>
          <w:tab w:val="left" w:pos="1985"/>
        </w:tabs>
        <w:ind w:left="1985" w:hanging="1265"/>
      </w:pPr>
      <w:r>
        <w:tab/>
        <w:t>XVII.</w:t>
      </w:r>
      <w:r>
        <w:tab/>
        <w:t>Freedom of association for lawful purposes is fully guaranteed; association for paramilitary purposes is forbidden;</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XXXVII.</w:t>
      </w:r>
      <w:r>
        <w:tab/>
        <w:t>No tribunal or court shall be set up to try extraordinary matters;</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XLI.</w:t>
      </w:r>
      <w:r>
        <w:tab/>
        <w:t>The law will punish any discrimination which attempts to attack fundamental rights and freedoms;</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XLII.</w:t>
      </w:r>
      <w:r>
        <w:tab/>
        <w:t>The practice of racism is a non</w:t>
      </w:r>
      <w:r>
        <w:noBreakHyphen/>
        <w:t>bailable crime, with no statute of limitations, subject to the penalty of confinement, under the provisions of the law;</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XLIII.</w:t>
      </w:r>
      <w:r>
        <w:tab/>
        <w:t>The practice of torture, illegal trafficking in narcotics and related drugs, terrorism, and offences defined as heinous crimes shall be considered to be non</w:t>
      </w:r>
      <w:r>
        <w:noBreakHyphen/>
        <w:t>bailable crimes that are not subject to pardons or amnesty. Accessories before the fact, principles in the first or second degree and those guilty of omission in preventing the crime will all be held liable.</w:t>
      </w:r>
    </w:p>
    <w:p w:rsidR="00000000" w:rsidRDefault="00000000">
      <w:pPr>
        <w:tabs>
          <w:tab w:val="right" w:pos="1701"/>
          <w:tab w:val="left" w:pos="1985"/>
        </w:tabs>
        <w:ind w:left="720"/>
      </w:pPr>
    </w:p>
    <w:p w:rsidR="00000000" w:rsidRDefault="00000000">
      <w:pPr>
        <w:tabs>
          <w:tab w:val="right" w:pos="1701"/>
          <w:tab w:val="left" w:pos="1985"/>
        </w:tabs>
        <w:ind w:left="720"/>
      </w:pPr>
      <w:r>
        <w:tab/>
        <w:t>XLVII.</w:t>
      </w:r>
      <w:r>
        <w:tab/>
        <w:t>The following sanctions are forbidden:</w:t>
      </w:r>
    </w:p>
    <w:p w:rsidR="00000000" w:rsidRDefault="00000000">
      <w:pPr>
        <w:tabs>
          <w:tab w:val="right" w:pos="1701"/>
          <w:tab w:val="left" w:pos="1985"/>
        </w:tabs>
        <w:ind w:left="720"/>
      </w:pPr>
    </w:p>
    <w:p w:rsidR="00000000" w:rsidRDefault="00000000">
      <w:pPr>
        <w:ind w:left="1985"/>
      </w:pPr>
      <w:r>
        <w:tab/>
        <w:t xml:space="preserve">    (a)</w:t>
      </w:r>
      <w:r>
        <w:tab/>
        <w:t>The death penalty, except in the case of a formally declared war,  pursuant to article 84, XIX.</w:t>
      </w:r>
    </w:p>
    <w:p w:rsidR="00000000" w:rsidRDefault="00000000">
      <w:pPr>
        <w:ind w:left="1985"/>
      </w:pPr>
    </w:p>
    <w:p w:rsidR="00000000" w:rsidRDefault="00000000">
      <w:pPr>
        <w:ind w:left="1985"/>
      </w:pPr>
      <w:r>
        <w:tab/>
        <w:t xml:space="preserve">    (c)</w:t>
      </w:r>
      <w:r>
        <w:tab/>
        <w:t>Hard labour;</w:t>
      </w:r>
    </w:p>
    <w:p w:rsidR="00000000" w:rsidRDefault="00000000">
      <w:pPr>
        <w:ind w:left="1985"/>
      </w:pPr>
    </w:p>
    <w:p w:rsidR="00000000" w:rsidRDefault="00000000">
      <w:pPr>
        <w:ind w:left="1985"/>
        <w:rPr>
          <w:lang w:val="fr-FR"/>
        </w:rPr>
      </w:pPr>
      <w:r>
        <w:tab/>
      </w:r>
      <w:r>
        <w:rPr>
          <w:lang w:val="fr-FR"/>
        </w:rPr>
        <w:t xml:space="preserve">    (d) </w:t>
      </w:r>
      <w:r>
        <w:rPr>
          <w:lang w:val="fr-FR"/>
        </w:rPr>
        <w:tab/>
        <w:t>Banishment;</w:t>
      </w:r>
    </w:p>
    <w:p w:rsidR="00000000" w:rsidRDefault="00000000">
      <w:pPr>
        <w:ind w:left="1985"/>
        <w:rPr>
          <w:lang w:val="fr-FR"/>
        </w:rPr>
      </w:pPr>
    </w:p>
    <w:p w:rsidR="00000000" w:rsidRDefault="00000000">
      <w:pPr>
        <w:ind w:left="1985"/>
        <w:rPr>
          <w:lang w:val="fr-FR"/>
        </w:rPr>
      </w:pPr>
      <w:r>
        <w:rPr>
          <w:lang w:val="fr-FR"/>
        </w:rPr>
        <w:tab/>
        <w:t xml:space="preserve">    (e) </w:t>
      </w:r>
      <w:r>
        <w:rPr>
          <w:lang w:val="fr-FR"/>
        </w:rPr>
        <w:tab/>
        <w:t>Cruel punishment;</w:t>
      </w:r>
    </w:p>
    <w:p w:rsidR="00000000" w:rsidRDefault="00000000">
      <w:pPr>
        <w:tabs>
          <w:tab w:val="right" w:pos="1701"/>
          <w:tab w:val="left" w:pos="1985"/>
        </w:tabs>
        <w:ind w:left="1985"/>
        <w:rPr>
          <w:lang w:val="fr-FR"/>
        </w:rPr>
      </w:pPr>
    </w:p>
    <w:p w:rsidR="00000000" w:rsidRDefault="00000000">
      <w:pPr>
        <w:tabs>
          <w:tab w:val="right" w:pos="1701"/>
          <w:tab w:val="left" w:pos="1985"/>
        </w:tabs>
        <w:ind w:left="720"/>
      </w:pPr>
      <w:r>
        <w:rPr>
          <w:lang w:val="fr-FR"/>
        </w:rPr>
        <w:tab/>
      </w:r>
      <w:r>
        <w:t>XLIX.</w:t>
      </w:r>
      <w:r>
        <w:tab/>
        <w:t>The physical safety and moral integrity of prisoners is guaranteed;</w:t>
      </w:r>
    </w:p>
    <w:p w:rsidR="00000000" w:rsidRDefault="00000000">
      <w:pPr>
        <w:tabs>
          <w:tab w:val="left" w:pos="851"/>
        </w:tabs>
        <w:ind w:left="1571" w:hanging="851"/>
      </w:pPr>
    </w:p>
    <w:p w:rsidR="00000000" w:rsidRDefault="00000000">
      <w:pPr>
        <w:ind w:left="720"/>
      </w:pPr>
    </w:p>
    <w:p w:rsidR="00000000" w:rsidRDefault="00000000">
      <w:pPr>
        <w:ind w:left="720"/>
      </w:pPr>
    </w:p>
    <w:p w:rsidR="00000000" w:rsidRDefault="00000000">
      <w:pPr>
        <w:ind w:left="720"/>
      </w:pPr>
    </w:p>
    <w:p w:rsidR="00000000" w:rsidRDefault="00000000">
      <w:pPr>
        <w:ind w:left="720"/>
      </w:pPr>
      <w:r>
        <w:t>Paragraph 1:  The provisions defining fundamental rights and guarantees are immediately applicable.</w:t>
      </w:r>
    </w:p>
    <w:p w:rsidR="00000000" w:rsidRDefault="00000000">
      <w:pPr>
        <w:ind w:left="720"/>
      </w:pPr>
    </w:p>
    <w:p w:rsidR="00000000" w:rsidRDefault="00000000">
      <w:pPr>
        <w:ind w:left="720"/>
      </w:pPr>
      <w:r>
        <w:t>Paragraph 2:  The rights and guarantees expressed in this Constitution do not exclude others deriving from the legal system and from the principles adopted by the Constitution, or from international treaties to which the Federative Republic of  Brazil is a party.</w:t>
      </w:r>
    </w:p>
    <w:p w:rsidR="00000000" w:rsidRDefault="00000000">
      <w:pPr>
        <w:ind w:left="720"/>
      </w:pPr>
    </w:p>
    <w:p w:rsidR="00000000" w:rsidRDefault="00000000">
      <w:pPr>
        <w:ind w:left="720"/>
        <w:rPr>
          <w:b/>
          <w:bCs/>
        </w:rPr>
      </w:pPr>
      <w:r>
        <w:rPr>
          <w:b/>
          <w:bCs/>
        </w:rPr>
        <w:t>Article 6</w:t>
      </w:r>
    </w:p>
    <w:p w:rsidR="00000000" w:rsidRDefault="00000000">
      <w:pPr>
        <w:ind w:left="720"/>
        <w:rPr>
          <w:b/>
          <w:bCs/>
        </w:rPr>
      </w:pPr>
    </w:p>
    <w:p w:rsidR="00000000" w:rsidRDefault="00000000">
      <w:pPr>
        <w:ind w:left="720"/>
      </w:pPr>
      <w:r>
        <w:tab/>
        <w:t xml:space="preserve">The social rights set forth in this Constitution are the right to education, health, work, leisure, safety, social security, protection for mothers and children, and assistance in the case of destitution.  </w:t>
      </w:r>
    </w:p>
    <w:p w:rsidR="00000000" w:rsidRDefault="00000000">
      <w:pPr>
        <w:ind w:left="720"/>
      </w:pPr>
    </w:p>
    <w:p w:rsidR="00000000" w:rsidRDefault="00000000">
      <w:pPr>
        <w:ind w:left="720"/>
        <w:rPr>
          <w:b/>
          <w:bCs/>
        </w:rPr>
      </w:pPr>
      <w:r>
        <w:rPr>
          <w:b/>
          <w:bCs/>
        </w:rPr>
        <w:t>Article 7</w:t>
      </w:r>
    </w:p>
    <w:p w:rsidR="00000000" w:rsidRDefault="00000000">
      <w:pPr>
        <w:ind w:left="720"/>
        <w:rPr>
          <w:b/>
          <w:bCs/>
        </w:rPr>
      </w:pPr>
    </w:p>
    <w:p w:rsidR="00000000" w:rsidRDefault="00000000">
      <w:pPr>
        <w:ind w:left="720"/>
      </w:pPr>
      <w:r>
        <w:tab/>
        <w:t>The following are rights of urban and rural workers, among others that aim to improve their social status:</w:t>
      </w:r>
    </w:p>
    <w:p w:rsidR="00000000" w:rsidRDefault="00000000">
      <w:pPr>
        <w:ind w:left="720"/>
      </w:pPr>
    </w:p>
    <w:p w:rsidR="00000000" w:rsidRDefault="00000000">
      <w:pPr>
        <w:tabs>
          <w:tab w:val="right" w:pos="1701"/>
          <w:tab w:val="left" w:pos="1985"/>
        </w:tabs>
        <w:ind w:left="1985" w:hanging="1265"/>
      </w:pPr>
      <w:r>
        <w:tab/>
        <w:t>I.</w:t>
      </w:r>
      <w:r>
        <w:tab/>
        <w:t>Employment with protection against arbitrary dismissal or against dismissal without proper cause, pursuant to a supplementary law that shall determine severance pay, among other rights;</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II.</w:t>
      </w:r>
      <w:r>
        <w:tab/>
        <w:t>Unemployment insurance, in the event of involuntary unemployment;</w:t>
      </w:r>
    </w:p>
    <w:p w:rsidR="00000000" w:rsidRDefault="00000000">
      <w:pPr>
        <w:tabs>
          <w:tab w:val="right" w:pos="1701"/>
          <w:tab w:val="left" w:pos="1985"/>
        </w:tabs>
        <w:ind w:left="720"/>
      </w:pPr>
    </w:p>
    <w:p w:rsidR="00000000" w:rsidRDefault="00000000">
      <w:pPr>
        <w:tabs>
          <w:tab w:val="right" w:pos="1701"/>
          <w:tab w:val="left" w:pos="1985"/>
        </w:tabs>
        <w:ind w:left="720"/>
      </w:pPr>
      <w:r>
        <w:tab/>
        <w:t>III.</w:t>
      </w:r>
      <w:r>
        <w:tab/>
        <w:t>A severance pay fund;</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IV.</w:t>
      </w:r>
      <w:r>
        <w:tab/>
        <w:t>A nationally unified minimum monthly wage, determined by law, capable of covering the basic needs of workers and their families with regard to housing, food, education, health, leisure, clothing, hygiene, transportation and social security, with periodic adjustments to maintain its purchasing power. This monthly wage may not be used as an index for any purpose;</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V.</w:t>
      </w:r>
      <w:r>
        <w:tab/>
        <w:t>A salary floor in proportion to the extent and complexity of the work being done;</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VI.</w:t>
      </w:r>
      <w:r>
        <w:tab/>
        <w:t>Wage irreducibility, except when determined by collective agreements or covenants;</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VII.</w:t>
      </w:r>
      <w:r>
        <w:tab/>
        <w:t>For those receiving variable wages, no wage shall be less than the minimum;</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VIII.</w:t>
      </w:r>
      <w:r>
        <w:tab/>
        <w:t xml:space="preserve">A yearly bonus equivalent to one full month’s pay or pension, to be given at the end of the year. </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IX.</w:t>
      </w:r>
      <w:r>
        <w:tab/>
        <w:t>Night</w:t>
      </w:r>
      <w:r>
        <w:noBreakHyphen/>
        <w:t>shift work should pay more than daytime work;</w:t>
      </w:r>
    </w:p>
    <w:p w:rsidR="00000000" w:rsidRDefault="00000000">
      <w:pPr>
        <w:tabs>
          <w:tab w:val="right" w:pos="1701"/>
          <w:tab w:val="left" w:pos="1985"/>
        </w:tabs>
        <w:ind w:left="1985" w:hanging="1265"/>
      </w:pPr>
      <w:r>
        <w:tab/>
        <w:t>X.</w:t>
      </w:r>
      <w:r>
        <w:tab/>
        <w:t>Wage protection pursuant to the law:  withholding of wages intentionally is a felony;</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XI.</w:t>
      </w:r>
      <w:r>
        <w:tab/>
        <w:t>The right to share in company profits or results, independently of earnings, and in exceptional cases, to participate in the management of the company, as defined by law;</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XII.</w:t>
      </w:r>
      <w:r>
        <w:tab/>
        <w:t>A family allowance for their dependents;</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XIII.</w:t>
      </w:r>
      <w:r>
        <w:tab/>
        <w:t>Normal working hours shall not exceed eight hours per day and forty</w:t>
      </w:r>
      <w:r>
        <w:noBreakHyphen/>
        <w:t>four hours per week; options include compensatory time for hours worked or the reduction of the workday, to be decided by collective bargaining or agreements;</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XIV.</w:t>
      </w:r>
      <w:r>
        <w:tab/>
        <w:t>A workday of six hours for work carried out in continuous shifts, unless decided otherwise by collective bargaining;</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 xml:space="preserve"> XV.</w:t>
      </w:r>
      <w:r>
        <w:tab/>
        <w:t xml:space="preserve">Paid weekly leave, preferably on Sundays; </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XVI.</w:t>
      </w:r>
      <w:r>
        <w:tab/>
        <w:t>Overtime pay at rates at least 50 per cent higher than rates paid for normal work;</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XVII.</w:t>
      </w:r>
      <w:r>
        <w:tab/>
        <w:t>An annual vacation with remuneration at least one third higher than the normal salary;</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XVIII.</w:t>
      </w:r>
      <w:r>
        <w:tab/>
        <w:t>Maternity leave without loss of job and salary, for a period of one hundred and twenty days;</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XIX.</w:t>
      </w:r>
      <w:r>
        <w:tab/>
        <w:t>Paternity leave, under the terms determined by law;</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XX.</w:t>
      </w:r>
      <w:r>
        <w:tab/>
        <w:t>Protection of the labour market for women through specific incentives, as provided by law;</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XXI.</w:t>
      </w:r>
      <w:r>
        <w:tab/>
        <w:t>At least thirty days advance notice before dismissal; such notice will be proportional to the length of service, as required by law;</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XXII.</w:t>
      </w:r>
      <w:r>
        <w:tab/>
        <w:t>The reduction of job</w:t>
      </w:r>
      <w:r>
        <w:noBreakHyphen/>
        <w:t>related risks by enforcing health, hygiene and safety standards;</w:t>
      </w:r>
    </w:p>
    <w:p w:rsidR="00000000" w:rsidRDefault="00000000">
      <w:pPr>
        <w:tabs>
          <w:tab w:val="right" w:pos="1701"/>
          <w:tab w:val="left" w:pos="1985"/>
        </w:tabs>
        <w:ind w:left="720"/>
      </w:pPr>
    </w:p>
    <w:p w:rsidR="00000000" w:rsidRDefault="00000000">
      <w:pPr>
        <w:tabs>
          <w:tab w:val="right" w:pos="1701"/>
          <w:tab w:val="left" w:pos="1985"/>
        </w:tabs>
        <w:ind w:left="1985" w:hanging="1265"/>
      </w:pPr>
      <w:r>
        <w:tab/>
        <w:t>XXIII.</w:t>
      </w:r>
      <w:r>
        <w:tab/>
        <w:t>Additional remuneration for strenuous, unhealthy or dangerous work, as required by law;</w:t>
      </w:r>
    </w:p>
    <w:p w:rsidR="00000000" w:rsidRDefault="00000000">
      <w:pPr>
        <w:tabs>
          <w:tab w:val="right" w:pos="1701"/>
          <w:tab w:val="left" w:pos="1985"/>
        </w:tabs>
        <w:ind w:left="1985" w:hanging="1265"/>
      </w:pPr>
    </w:p>
    <w:p w:rsidR="00000000" w:rsidRDefault="00000000">
      <w:pPr>
        <w:tabs>
          <w:tab w:val="right" w:pos="1701"/>
          <w:tab w:val="left" w:pos="1985"/>
        </w:tabs>
        <w:ind w:left="1985" w:hanging="1265"/>
      </w:pPr>
      <w:r>
        <w:tab/>
        <w:t>XXIV.</w:t>
      </w:r>
      <w:r>
        <w:tab/>
        <w:t>A pension upon retirement;</w:t>
      </w:r>
    </w:p>
    <w:p w:rsidR="00000000" w:rsidRDefault="00000000">
      <w:pPr>
        <w:tabs>
          <w:tab w:val="right" w:pos="1701"/>
          <w:tab w:val="left" w:pos="1985"/>
        </w:tabs>
        <w:ind w:left="1985" w:hanging="1265"/>
      </w:pPr>
    </w:p>
    <w:p w:rsidR="00000000" w:rsidRDefault="00000000">
      <w:pPr>
        <w:tabs>
          <w:tab w:val="right" w:pos="1701"/>
          <w:tab w:val="left" w:pos="1985"/>
        </w:tabs>
        <w:ind w:left="1985" w:hanging="1265"/>
      </w:pPr>
      <w:r>
        <w:tab/>
        <w:t>XXV.</w:t>
      </w:r>
      <w:r>
        <w:tab/>
        <w:t>Free assistance for children and dependents from birth to six years of age in day</w:t>
      </w:r>
      <w:r>
        <w:noBreakHyphen/>
        <w:t>care centres and pre</w:t>
      </w:r>
      <w:r>
        <w:noBreakHyphen/>
        <w:t>school facilities;</w:t>
      </w:r>
    </w:p>
    <w:p w:rsidR="00000000" w:rsidRDefault="00000000">
      <w:pPr>
        <w:tabs>
          <w:tab w:val="right" w:pos="1701"/>
          <w:tab w:val="left" w:pos="1985"/>
        </w:tabs>
        <w:ind w:left="1985" w:hanging="1265"/>
      </w:pPr>
      <w:r>
        <w:tab/>
        <w:t>XXVI.</w:t>
      </w:r>
      <w:r>
        <w:tab/>
        <w:t>Recognition of collective bargaining agreements and conventions;</w:t>
      </w:r>
    </w:p>
    <w:p w:rsidR="00000000" w:rsidRDefault="00000000">
      <w:pPr>
        <w:tabs>
          <w:tab w:val="right" w:pos="1701"/>
          <w:tab w:val="left" w:pos="1985"/>
        </w:tabs>
        <w:ind w:left="1985" w:hanging="1265"/>
      </w:pPr>
    </w:p>
    <w:p w:rsidR="00000000" w:rsidRDefault="00000000">
      <w:pPr>
        <w:tabs>
          <w:tab w:val="right" w:pos="1701"/>
          <w:tab w:val="left" w:pos="1985"/>
        </w:tabs>
        <w:ind w:left="1985" w:hanging="1265"/>
      </w:pPr>
      <w:r>
        <w:tab/>
        <w:t>XXVII.</w:t>
      </w:r>
      <w:r>
        <w:tab/>
        <w:t>Protection in the face of automation, as required by law;</w:t>
      </w:r>
    </w:p>
    <w:p w:rsidR="00000000" w:rsidRDefault="00000000">
      <w:pPr>
        <w:tabs>
          <w:tab w:val="right" w:pos="1701"/>
          <w:tab w:val="left" w:pos="1985"/>
        </w:tabs>
        <w:ind w:left="1985" w:hanging="1265"/>
      </w:pPr>
    </w:p>
    <w:p w:rsidR="00000000" w:rsidRDefault="00000000">
      <w:pPr>
        <w:tabs>
          <w:tab w:val="right" w:pos="1701"/>
          <w:tab w:val="left" w:pos="1985"/>
        </w:tabs>
        <w:ind w:left="1985" w:hanging="1265"/>
      </w:pPr>
      <w:r>
        <w:tab/>
        <w:t>XXVIII.</w:t>
      </w:r>
      <w:r>
        <w:tab/>
        <w:t>Occupational accident insurance, to be paid for by the employer, without excluding the employer’s liability for indemnity in the event of malice or fault;</w:t>
      </w:r>
    </w:p>
    <w:p w:rsidR="00000000" w:rsidRDefault="00000000">
      <w:pPr>
        <w:tabs>
          <w:tab w:val="right" w:pos="1701"/>
          <w:tab w:val="left" w:pos="1985"/>
        </w:tabs>
        <w:ind w:left="1985" w:hanging="1265"/>
      </w:pPr>
    </w:p>
    <w:p w:rsidR="00000000" w:rsidRDefault="00000000">
      <w:pPr>
        <w:tabs>
          <w:tab w:val="right" w:pos="1701"/>
          <w:tab w:val="left" w:pos="1985"/>
        </w:tabs>
        <w:ind w:left="1985" w:hanging="1265"/>
      </w:pPr>
      <w:r>
        <w:tab/>
        <w:t>XXIX.</w:t>
      </w:r>
      <w:r>
        <w:tab/>
        <w:t>Legal action with respect to monies owed as a result of employment relationships will be time</w:t>
      </w:r>
      <w:r>
        <w:noBreakHyphen/>
        <w:t>barred after:</w:t>
      </w:r>
    </w:p>
    <w:p w:rsidR="00000000" w:rsidRDefault="00000000">
      <w:pPr>
        <w:tabs>
          <w:tab w:val="right" w:pos="1701"/>
          <w:tab w:val="left" w:pos="1985"/>
        </w:tabs>
        <w:ind w:left="720"/>
      </w:pPr>
    </w:p>
    <w:p w:rsidR="00000000" w:rsidRDefault="00000000">
      <w:pPr>
        <w:ind w:left="1985"/>
      </w:pPr>
      <w:r>
        <w:tab/>
        <w:t xml:space="preserve">    (a)</w:t>
      </w:r>
      <w:r>
        <w:tab/>
        <w:t>Five years for urban workers, up to the limit of two years after the end of the employment contract;</w:t>
      </w:r>
    </w:p>
    <w:p w:rsidR="00000000" w:rsidRDefault="00000000">
      <w:pPr>
        <w:ind w:left="1985"/>
      </w:pPr>
    </w:p>
    <w:p w:rsidR="00000000" w:rsidRDefault="00000000">
      <w:pPr>
        <w:ind w:left="1985"/>
      </w:pPr>
      <w:r>
        <w:tab/>
        <w:t xml:space="preserve">    (b)</w:t>
      </w:r>
      <w:r>
        <w:tab/>
        <w:t>Up to two years after the end of the contract for rural workers;</w:t>
      </w:r>
    </w:p>
    <w:p w:rsidR="00000000" w:rsidRDefault="00000000">
      <w:pPr>
        <w:tabs>
          <w:tab w:val="right" w:pos="1701"/>
          <w:tab w:val="left" w:pos="1985"/>
        </w:tabs>
        <w:ind w:left="1265"/>
      </w:pPr>
    </w:p>
    <w:p w:rsidR="00000000" w:rsidRDefault="00000000">
      <w:pPr>
        <w:tabs>
          <w:tab w:val="right" w:pos="1701"/>
          <w:tab w:val="left" w:pos="1985"/>
        </w:tabs>
        <w:ind w:left="1985" w:hanging="1265"/>
      </w:pPr>
      <w:r>
        <w:tab/>
        <w:t>XXX.</w:t>
      </w:r>
      <w:r>
        <w:tab/>
        <w:t>The prohibition of any difference in wages, in the performance of duties and in hiring criteria because of sex, age, colour or marital status;</w:t>
      </w:r>
    </w:p>
    <w:p w:rsidR="00000000" w:rsidRDefault="00000000">
      <w:pPr>
        <w:tabs>
          <w:tab w:val="right" w:pos="1701"/>
          <w:tab w:val="left" w:pos="1985"/>
        </w:tabs>
        <w:ind w:left="1985" w:hanging="1265"/>
      </w:pPr>
    </w:p>
    <w:p w:rsidR="00000000" w:rsidRDefault="00000000">
      <w:pPr>
        <w:tabs>
          <w:tab w:val="right" w:pos="1701"/>
          <w:tab w:val="left" w:pos="1985"/>
        </w:tabs>
        <w:ind w:left="1985" w:hanging="1265"/>
      </w:pPr>
      <w:r>
        <w:tab/>
        <w:t>XXXI.</w:t>
      </w:r>
      <w:r>
        <w:tab/>
        <w:t>Prohibition of any discrimination with respect to wages and hiring criteria regarding workers with disabilities;</w:t>
      </w:r>
    </w:p>
    <w:p w:rsidR="00000000" w:rsidRDefault="00000000">
      <w:pPr>
        <w:tabs>
          <w:tab w:val="right" w:pos="1701"/>
          <w:tab w:val="left" w:pos="1985"/>
        </w:tabs>
        <w:ind w:left="1985" w:hanging="1265"/>
      </w:pPr>
    </w:p>
    <w:p w:rsidR="00000000" w:rsidRDefault="00000000">
      <w:pPr>
        <w:tabs>
          <w:tab w:val="right" w:pos="1701"/>
          <w:tab w:val="left" w:pos="1985"/>
        </w:tabs>
        <w:ind w:left="1985" w:hanging="1265"/>
      </w:pPr>
      <w:r>
        <w:tab/>
        <w:t>XXXII.</w:t>
      </w:r>
      <w:r>
        <w:tab/>
        <w:t>Prohibition of any distinction between manual, technical and intellectual work or among the respective professionals;</w:t>
      </w:r>
    </w:p>
    <w:p w:rsidR="00000000" w:rsidRDefault="00000000">
      <w:pPr>
        <w:tabs>
          <w:tab w:val="right" w:pos="1701"/>
          <w:tab w:val="left" w:pos="1985"/>
        </w:tabs>
        <w:ind w:left="1985" w:hanging="1265"/>
      </w:pPr>
    </w:p>
    <w:p w:rsidR="00000000" w:rsidRDefault="00000000">
      <w:pPr>
        <w:tabs>
          <w:tab w:val="right" w:pos="1701"/>
          <w:tab w:val="left" w:pos="1985"/>
        </w:tabs>
        <w:ind w:left="1985" w:hanging="1265"/>
      </w:pPr>
      <w:r>
        <w:tab/>
        <w:t>XXXIII.</w:t>
      </w:r>
      <w:r>
        <w:tab/>
        <w:t>Prohibition of night, dangerous or unhealthy work for minors under eighteen years of age, and of any work for minors under fourteen years of age, except as an apprentice;</w:t>
      </w:r>
    </w:p>
    <w:p w:rsidR="00000000" w:rsidRDefault="00000000">
      <w:pPr>
        <w:tabs>
          <w:tab w:val="right" w:pos="1701"/>
          <w:tab w:val="left" w:pos="1985"/>
        </w:tabs>
        <w:ind w:left="1985" w:hanging="1265"/>
      </w:pPr>
    </w:p>
    <w:p w:rsidR="00000000" w:rsidRDefault="00000000">
      <w:pPr>
        <w:tabs>
          <w:tab w:val="right" w:pos="1701"/>
          <w:tab w:val="left" w:pos="1985"/>
        </w:tabs>
        <w:ind w:left="1985" w:hanging="1265"/>
      </w:pPr>
      <w:r>
        <w:tab/>
        <w:t>XXXIV.</w:t>
      </w:r>
      <w:r>
        <w:tab/>
        <w:t>Equal rights for workers with a permanent employment bond and for sporadic workers.</w:t>
      </w:r>
    </w:p>
    <w:p w:rsidR="00000000" w:rsidRDefault="00000000">
      <w:pPr>
        <w:tabs>
          <w:tab w:val="right" w:pos="1701"/>
          <w:tab w:val="left" w:pos="1985"/>
        </w:tabs>
        <w:ind w:left="720"/>
      </w:pPr>
    </w:p>
    <w:p w:rsidR="00000000" w:rsidRDefault="00000000">
      <w:pPr>
        <w:ind w:left="720"/>
      </w:pPr>
      <w:r>
        <w:t>Sole paragraph:  Domestic servants are guaranteed the rights set forth in items IV, VI, VIII, XV, XVII, XVIII, XIX, XXI and XXIV, in addition to the right to be covered by the social security system.</w:t>
      </w:r>
    </w:p>
    <w:p w:rsidR="00000000" w:rsidRDefault="00000000">
      <w:pPr>
        <w:ind w:left="720"/>
      </w:pPr>
    </w:p>
    <w:p w:rsidR="00000000" w:rsidRDefault="00000000">
      <w:pPr>
        <w:ind w:left="720"/>
        <w:rPr>
          <w:b/>
          <w:bCs/>
        </w:rPr>
      </w:pPr>
      <w:r>
        <w:rPr>
          <w:b/>
          <w:bCs/>
        </w:rPr>
        <w:t>Article 8</w:t>
      </w:r>
    </w:p>
    <w:p w:rsidR="00000000" w:rsidRDefault="00000000">
      <w:pPr>
        <w:ind w:left="720"/>
        <w:rPr>
          <w:b/>
          <w:bCs/>
        </w:rPr>
      </w:pPr>
    </w:p>
    <w:p w:rsidR="00000000" w:rsidRDefault="00000000">
      <w:pPr>
        <w:ind w:left="720"/>
      </w:pPr>
      <w:r>
        <w:tab/>
        <w:t>All persons are free to join professional associations or trade unions:</w:t>
      </w:r>
    </w:p>
    <w:p w:rsidR="00000000" w:rsidRDefault="00000000">
      <w:pPr>
        <w:ind w:left="720"/>
      </w:pPr>
    </w:p>
    <w:p w:rsidR="00000000" w:rsidRDefault="00000000">
      <w:pPr>
        <w:tabs>
          <w:tab w:val="right" w:pos="1701"/>
          <w:tab w:val="left" w:pos="1985"/>
        </w:tabs>
        <w:ind w:left="1985" w:hanging="1265"/>
      </w:pPr>
      <w:r>
        <w:tab/>
        <w:t>I.</w:t>
      </w:r>
      <w:r>
        <w:tab/>
        <w:t>The law may not require State authorization for a union to be founded, except for the authorization to register the union under the competent agency; the Government may not interfere or intervene in the union;</w:t>
      </w:r>
    </w:p>
    <w:p w:rsidR="00000000" w:rsidRDefault="00000000">
      <w:pPr>
        <w:tabs>
          <w:tab w:val="right" w:pos="1701"/>
          <w:tab w:val="left" w:pos="1985"/>
        </w:tabs>
        <w:ind w:left="1985" w:hanging="1265"/>
      </w:pPr>
    </w:p>
    <w:p w:rsidR="00000000" w:rsidRDefault="00000000">
      <w:pPr>
        <w:tabs>
          <w:tab w:val="right" w:pos="1701"/>
          <w:tab w:val="left" w:pos="1985"/>
        </w:tabs>
        <w:ind w:left="1985" w:hanging="1265"/>
      </w:pPr>
    </w:p>
    <w:p w:rsidR="00000000" w:rsidRDefault="00000000">
      <w:pPr>
        <w:tabs>
          <w:tab w:val="right" w:pos="1701"/>
          <w:tab w:val="left" w:pos="1985"/>
        </w:tabs>
        <w:ind w:left="1985" w:hanging="1265"/>
      </w:pPr>
    </w:p>
    <w:p w:rsidR="00000000" w:rsidRDefault="00000000">
      <w:pPr>
        <w:tabs>
          <w:tab w:val="right" w:pos="1701"/>
          <w:tab w:val="left" w:pos="1985"/>
        </w:tabs>
        <w:ind w:left="1985" w:hanging="1265"/>
      </w:pPr>
      <w:r>
        <w:tab/>
        <w:t>II.</w:t>
      </w:r>
      <w:r>
        <w:tab/>
        <w:t>Only one trade union representing a professional or economic category, at any level, may exist in each territory, to be defined by the workers or employers in question; such a territory may not cover less than the area of one municipality;</w:t>
      </w:r>
    </w:p>
    <w:p w:rsidR="00000000" w:rsidRDefault="00000000">
      <w:pPr>
        <w:tabs>
          <w:tab w:val="right" w:pos="1701"/>
          <w:tab w:val="left" w:pos="1985"/>
        </w:tabs>
        <w:ind w:left="1985" w:hanging="1265"/>
      </w:pPr>
    </w:p>
    <w:p w:rsidR="00000000" w:rsidRDefault="00000000">
      <w:pPr>
        <w:tabs>
          <w:tab w:val="right" w:pos="1701"/>
          <w:tab w:val="left" w:pos="1985"/>
        </w:tabs>
        <w:ind w:left="1985" w:hanging="1265"/>
      </w:pPr>
      <w:r>
        <w:tab/>
        <w:t>III.</w:t>
      </w:r>
      <w:r>
        <w:tab/>
        <w:t>The union is responsible for defending the collective or individual rights and interests of the professional group in question, including legal or administrative disputes;</w:t>
      </w:r>
    </w:p>
    <w:p w:rsidR="00000000" w:rsidRDefault="00000000">
      <w:pPr>
        <w:tabs>
          <w:tab w:val="right" w:pos="1701"/>
          <w:tab w:val="left" w:pos="1985"/>
        </w:tabs>
        <w:ind w:left="1985" w:hanging="1265"/>
      </w:pPr>
    </w:p>
    <w:p w:rsidR="00000000" w:rsidRDefault="00000000">
      <w:pPr>
        <w:tabs>
          <w:tab w:val="right" w:pos="1701"/>
          <w:tab w:val="left" w:pos="1985"/>
        </w:tabs>
        <w:ind w:left="1985" w:hanging="1265"/>
      </w:pPr>
      <w:r>
        <w:tab/>
        <w:t>IV.</w:t>
      </w:r>
      <w:r>
        <w:tab/>
        <w:t>A general assembly shall determine the trade union dues that will be discounted from the payroll in the case of certain specific professions.  Such monies will be used to support the system comprising confederations of each respective type of trade union, irregardless of the dues required by law;</w:t>
      </w:r>
    </w:p>
    <w:p w:rsidR="00000000" w:rsidRDefault="00000000">
      <w:pPr>
        <w:tabs>
          <w:tab w:val="right" w:pos="1701"/>
          <w:tab w:val="left" w:pos="1985"/>
        </w:tabs>
        <w:ind w:left="1985" w:hanging="1265"/>
      </w:pPr>
    </w:p>
    <w:p w:rsidR="00000000" w:rsidRDefault="00000000">
      <w:pPr>
        <w:tabs>
          <w:tab w:val="right" w:pos="1701"/>
          <w:tab w:val="left" w:pos="1985"/>
        </w:tabs>
        <w:ind w:left="1985" w:hanging="1265"/>
      </w:pPr>
      <w:r>
        <w:tab/>
        <w:t>V.</w:t>
      </w:r>
      <w:r>
        <w:tab/>
        <w:t>No one shall be required to join or to continue to be a member of a trade union;</w:t>
      </w:r>
    </w:p>
    <w:p w:rsidR="00000000" w:rsidRDefault="00000000">
      <w:pPr>
        <w:tabs>
          <w:tab w:val="right" w:pos="1701"/>
          <w:tab w:val="left" w:pos="1985"/>
        </w:tabs>
        <w:ind w:left="1985" w:hanging="1265"/>
      </w:pPr>
    </w:p>
    <w:p w:rsidR="00000000" w:rsidRDefault="00000000">
      <w:pPr>
        <w:tabs>
          <w:tab w:val="right" w:pos="1701"/>
          <w:tab w:val="left" w:pos="1985"/>
        </w:tabs>
        <w:ind w:left="1985" w:hanging="1265"/>
      </w:pPr>
      <w:r>
        <w:tab/>
        <w:t>VI.</w:t>
      </w:r>
      <w:r>
        <w:tab/>
        <w:t>Collective labour bargaining must include unions;</w:t>
      </w:r>
    </w:p>
    <w:p w:rsidR="00000000" w:rsidRDefault="00000000">
      <w:pPr>
        <w:tabs>
          <w:tab w:val="right" w:pos="1701"/>
          <w:tab w:val="left" w:pos="1985"/>
        </w:tabs>
        <w:ind w:left="1985" w:hanging="1265"/>
      </w:pPr>
    </w:p>
    <w:p w:rsidR="00000000" w:rsidRDefault="00000000">
      <w:pPr>
        <w:tabs>
          <w:tab w:val="right" w:pos="1701"/>
          <w:tab w:val="left" w:pos="1985"/>
        </w:tabs>
        <w:ind w:left="1985" w:hanging="1265"/>
      </w:pPr>
      <w:r>
        <w:tab/>
        <w:t>VII.</w:t>
      </w:r>
      <w:r>
        <w:tab/>
        <w:t>Union members who have entered into retirement shall be entitled to vote and be candidates during union votes;</w:t>
      </w:r>
    </w:p>
    <w:p w:rsidR="00000000" w:rsidRDefault="00000000">
      <w:pPr>
        <w:tabs>
          <w:tab w:val="right" w:pos="1701"/>
          <w:tab w:val="left" w:pos="1985"/>
        </w:tabs>
        <w:ind w:left="1985" w:hanging="1265"/>
      </w:pPr>
    </w:p>
    <w:p w:rsidR="00000000" w:rsidRDefault="00000000">
      <w:pPr>
        <w:tabs>
          <w:tab w:val="right" w:pos="1701"/>
          <w:tab w:val="left" w:pos="1985"/>
        </w:tabs>
        <w:ind w:left="1985" w:hanging="1265"/>
      </w:pPr>
      <w:r>
        <w:tab/>
        <w:t>VIII.</w:t>
      </w:r>
      <w:r>
        <w:tab/>
        <w:t>The dismissal of unionized employees is forbidden as of the moment when they register as candidates for office as a union director or representative.  If elected, even as a substitute, they may not be dismissed for up to one year after the end of their term of office, unless they commit a serious offence under the law.</w:t>
      </w:r>
    </w:p>
    <w:p w:rsidR="00000000" w:rsidRDefault="00000000">
      <w:pPr>
        <w:tabs>
          <w:tab w:val="right" w:pos="1843"/>
          <w:tab w:val="left" w:pos="2127"/>
        </w:tabs>
        <w:ind w:left="1440"/>
      </w:pPr>
    </w:p>
    <w:p w:rsidR="00000000" w:rsidRDefault="00000000">
      <w:pPr>
        <w:ind w:left="720"/>
      </w:pPr>
      <w:r>
        <w:t xml:space="preserve">Sole paragraph </w:t>
      </w:r>
      <w:r>
        <w:noBreakHyphen/>
        <w:t xml:space="preserve"> The provisions of this article apply to the organization of rural unions and to those representing fishing communities, with due regard for the conditions required by law.</w:t>
      </w:r>
    </w:p>
    <w:p w:rsidR="00000000" w:rsidRDefault="00000000">
      <w:pPr>
        <w:ind w:left="720"/>
      </w:pPr>
    </w:p>
    <w:p w:rsidR="00000000" w:rsidRDefault="00000000">
      <w:pPr>
        <w:ind w:left="720"/>
        <w:rPr>
          <w:b/>
          <w:bCs/>
        </w:rPr>
      </w:pPr>
      <w:r>
        <w:rPr>
          <w:b/>
          <w:bCs/>
        </w:rPr>
        <w:t>Article 9</w:t>
      </w:r>
    </w:p>
    <w:p w:rsidR="00000000" w:rsidRDefault="00000000">
      <w:pPr>
        <w:ind w:left="720"/>
        <w:rPr>
          <w:b/>
          <w:bCs/>
        </w:rPr>
      </w:pPr>
    </w:p>
    <w:p w:rsidR="00000000" w:rsidRDefault="00000000">
      <w:pPr>
        <w:ind w:left="720"/>
      </w:pPr>
      <w:r>
        <w:tab/>
        <w:t>The right to strike is guaranteed.  Workers are responsible for making decisions as to the advisability of exercising that right and regarding the interests to be defended thereby.</w:t>
      </w:r>
    </w:p>
    <w:p w:rsidR="00000000" w:rsidRDefault="00000000">
      <w:pPr>
        <w:ind w:left="720"/>
      </w:pPr>
    </w:p>
    <w:p w:rsidR="00000000" w:rsidRDefault="00000000">
      <w:pPr>
        <w:ind w:left="720"/>
      </w:pPr>
      <w:r>
        <w:t>Paragraph 1:  The law shall define essential services or activities and issue rulings regarding pressing community needs that must be met.</w:t>
      </w:r>
    </w:p>
    <w:p w:rsidR="00000000" w:rsidRDefault="00000000">
      <w:pPr>
        <w:ind w:left="720"/>
      </w:pPr>
    </w:p>
    <w:p w:rsidR="00000000" w:rsidRDefault="00000000">
      <w:pPr>
        <w:ind w:left="720"/>
      </w:pPr>
      <w:r>
        <w:t>Paragraph 2:  Any abuse of these rights shall subject those responsible to the penalties of the law.</w:t>
      </w:r>
    </w:p>
    <w:p w:rsidR="00000000" w:rsidRDefault="00000000">
      <w:pPr>
        <w:ind w:left="720"/>
      </w:pPr>
    </w:p>
    <w:p w:rsidR="00000000" w:rsidRDefault="00000000">
      <w:pPr>
        <w:ind w:left="720"/>
      </w:pPr>
    </w:p>
    <w:p w:rsidR="00000000" w:rsidRDefault="00000000">
      <w:pPr>
        <w:ind w:left="720"/>
      </w:pPr>
    </w:p>
    <w:p w:rsidR="00000000" w:rsidRDefault="00000000">
      <w:pPr>
        <w:ind w:left="720"/>
        <w:rPr>
          <w:b/>
          <w:bCs/>
        </w:rPr>
      </w:pPr>
      <w:r>
        <w:rPr>
          <w:b/>
          <w:bCs/>
        </w:rPr>
        <w:t>Article 10</w:t>
      </w:r>
    </w:p>
    <w:p w:rsidR="00000000" w:rsidRDefault="00000000">
      <w:pPr>
        <w:ind w:left="720"/>
      </w:pPr>
    </w:p>
    <w:p w:rsidR="00000000" w:rsidRDefault="00000000">
      <w:pPr>
        <w:ind w:left="720"/>
      </w:pPr>
      <w:r>
        <w:tab/>
        <w:t>Labour and management are guaranteed the right to participate in the collegiate bodies attached to government agencies when their professional or social security interests are the object of discussion and resolutions.</w:t>
      </w:r>
    </w:p>
    <w:p w:rsidR="00000000" w:rsidRDefault="00000000">
      <w:pPr>
        <w:ind w:left="720"/>
      </w:pPr>
    </w:p>
    <w:p w:rsidR="00000000" w:rsidRDefault="00000000">
      <w:pPr>
        <w:ind w:left="720"/>
        <w:rPr>
          <w:b/>
          <w:bCs/>
        </w:rPr>
      </w:pPr>
      <w:r>
        <w:rPr>
          <w:b/>
          <w:bCs/>
        </w:rPr>
        <w:t>Article 11</w:t>
      </w:r>
    </w:p>
    <w:p w:rsidR="00000000" w:rsidRDefault="00000000">
      <w:pPr>
        <w:ind w:left="720"/>
      </w:pPr>
    </w:p>
    <w:p w:rsidR="00000000" w:rsidRDefault="00000000">
      <w:pPr>
        <w:ind w:left="720"/>
      </w:pPr>
      <w:r>
        <w:tab/>
        <w:t>Employees in companies with more than 200 workers are guaranteed the right to elect a labour representative for the exclusive purpose of furthering direct negotiations with management.</w:t>
      </w:r>
    </w:p>
    <w:p w:rsidR="00000000" w:rsidRDefault="00000000">
      <w:pPr>
        <w:ind w:left="720"/>
      </w:pPr>
    </w:p>
    <w:p w:rsidR="00000000" w:rsidRDefault="00000000">
      <w:pPr>
        <w:ind w:left="720"/>
        <w:rPr>
          <w:b/>
          <w:bCs/>
        </w:rPr>
      </w:pPr>
      <w:r>
        <w:rPr>
          <w:b/>
          <w:bCs/>
        </w:rPr>
        <w:t>Article 34</w:t>
      </w:r>
    </w:p>
    <w:p w:rsidR="00000000" w:rsidRDefault="00000000">
      <w:pPr>
        <w:ind w:left="720"/>
      </w:pPr>
    </w:p>
    <w:p w:rsidR="00000000" w:rsidRDefault="00000000">
      <w:pPr>
        <w:ind w:left="720"/>
      </w:pPr>
      <w:r>
        <w:tab/>
        <w:t>The Federal Government (the Union) shall not intervene in the states or in the Federal District, except:</w:t>
      </w:r>
    </w:p>
    <w:p w:rsidR="00000000" w:rsidRDefault="00000000">
      <w:pPr>
        <w:ind w:left="720"/>
      </w:pPr>
    </w:p>
    <w:p w:rsidR="00000000" w:rsidRDefault="00000000">
      <w:pPr>
        <w:tabs>
          <w:tab w:val="right" w:pos="1701"/>
          <w:tab w:val="left" w:pos="1985"/>
        </w:tabs>
      </w:pPr>
      <w:r>
        <w:tab/>
        <w:t>VII.</w:t>
      </w:r>
      <w:r>
        <w:tab/>
        <w:t>To ensure compliance with the following constitutional principles:</w:t>
      </w:r>
    </w:p>
    <w:p w:rsidR="00000000" w:rsidRDefault="00000000">
      <w:pPr>
        <w:ind w:left="1440" w:hanging="720"/>
      </w:pPr>
    </w:p>
    <w:p w:rsidR="00000000" w:rsidRDefault="00000000">
      <w:pPr>
        <w:ind w:left="720"/>
      </w:pPr>
      <w:r>
        <w:tab/>
      </w:r>
      <w:r>
        <w:tab/>
        <w:t xml:space="preserve">    (b)</w:t>
      </w:r>
      <w:r>
        <w:tab/>
        <w:t>The rights of individuals.</w:t>
      </w:r>
    </w:p>
    <w:p w:rsidR="00000000" w:rsidRDefault="00000000">
      <w:pPr>
        <w:ind w:left="720"/>
      </w:pPr>
    </w:p>
    <w:p w:rsidR="00000000" w:rsidRDefault="00000000">
      <w:pPr>
        <w:ind w:left="720"/>
        <w:rPr>
          <w:b/>
          <w:bCs/>
        </w:rPr>
      </w:pPr>
      <w:r>
        <w:rPr>
          <w:b/>
          <w:bCs/>
        </w:rPr>
        <w:t>Article 196</w:t>
      </w:r>
    </w:p>
    <w:p w:rsidR="00000000" w:rsidRDefault="00000000">
      <w:pPr>
        <w:ind w:left="720"/>
      </w:pPr>
    </w:p>
    <w:p w:rsidR="00000000" w:rsidRDefault="00000000">
      <w:pPr>
        <w:ind w:left="720"/>
      </w:pPr>
      <w:r>
        <w:tab/>
        <w:t>Health is everyone’s right and the State’s duty, to be guaranteed by means of social and economic policies aimed at reducing the risk of illness and other hazards and at ensuring universal and equal access to activities and services for health promotion, protection and recovery.</w:t>
      </w:r>
    </w:p>
    <w:p w:rsidR="00000000" w:rsidRDefault="00000000">
      <w:pPr>
        <w:ind w:left="720"/>
      </w:pPr>
    </w:p>
    <w:p w:rsidR="00000000" w:rsidRDefault="00000000">
      <w:pPr>
        <w:ind w:left="720"/>
        <w:rPr>
          <w:b/>
          <w:bCs/>
        </w:rPr>
      </w:pPr>
      <w:r>
        <w:rPr>
          <w:b/>
          <w:bCs/>
        </w:rPr>
        <w:t>Article 205</w:t>
      </w:r>
    </w:p>
    <w:p w:rsidR="00000000" w:rsidRDefault="00000000">
      <w:pPr>
        <w:ind w:left="720"/>
        <w:rPr>
          <w:b/>
          <w:bCs/>
        </w:rPr>
      </w:pPr>
    </w:p>
    <w:p w:rsidR="00000000" w:rsidRDefault="00000000">
      <w:pPr>
        <w:ind w:left="720"/>
      </w:pPr>
      <w:r>
        <w:tab/>
        <w:t>Education, which is the right of all and the duty of the State and the family, shall be promoted and fostered with the cooperation of society at large, with a view to the full development of individuals, their preparation for the exercise of citizenship and their qualification for work.</w:t>
      </w:r>
    </w:p>
    <w:p w:rsidR="00000000" w:rsidRDefault="00000000">
      <w:pPr>
        <w:ind w:left="720"/>
      </w:pPr>
    </w:p>
    <w:p w:rsidR="00000000" w:rsidRDefault="00000000">
      <w:pPr>
        <w:ind w:left="720"/>
        <w:rPr>
          <w:b/>
          <w:bCs/>
        </w:rPr>
      </w:pPr>
      <w:r>
        <w:rPr>
          <w:b/>
          <w:bCs/>
        </w:rPr>
        <w:t>Article 215</w:t>
      </w:r>
    </w:p>
    <w:p w:rsidR="00000000" w:rsidRDefault="00000000">
      <w:pPr>
        <w:ind w:left="720"/>
        <w:rPr>
          <w:b/>
          <w:bCs/>
        </w:rPr>
      </w:pPr>
    </w:p>
    <w:p w:rsidR="00000000" w:rsidRDefault="00000000">
      <w:pPr>
        <w:ind w:left="720"/>
      </w:pPr>
      <w:r>
        <w:tab/>
        <w:t>The State shall ensure that everyone may fully exercise their cultural rights and enjoy access to the sources of national culture.  The State shall also support and foster the appreciation and dissemination of cultural manifestations.</w:t>
      </w:r>
    </w:p>
    <w:p w:rsidR="00000000" w:rsidRDefault="00000000">
      <w:pPr>
        <w:ind w:left="720"/>
      </w:pPr>
    </w:p>
    <w:p w:rsidR="00000000" w:rsidRDefault="00000000">
      <w:pPr>
        <w:ind w:left="720"/>
      </w:pPr>
      <w:r>
        <w:t xml:space="preserve">Paragraph 1 </w:t>
      </w:r>
      <w:r>
        <w:noBreakHyphen/>
        <w:t xml:space="preserve"> The State shall protect the manifestations of grass roots, Indian and Afro</w:t>
      </w:r>
      <w:r>
        <w:noBreakHyphen/>
        <w:t>Brazilian cultures, as well as those of other groups participating in the advancement of Brazil’s civilization.</w:t>
      </w:r>
    </w:p>
    <w:p w:rsidR="00000000" w:rsidRDefault="00000000">
      <w:pPr>
        <w:ind w:left="720"/>
      </w:pPr>
    </w:p>
    <w:p w:rsidR="00000000" w:rsidRDefault="00000000">
      <w:pPr>
        <w:ind w:left="720"/>
      </w:pPr>
    </w:p>
    <w:p w:rsidR="00000000" w:rsidRDefault="00000000">
      <w:pPr>
        <w:ind w:left="720"/>
        <w:rPr>
          <w:b/>
          <w:bCs/>
        </w:rPr>
      </w:pPr>
      <w:r>
        <w:rPr>
          <w:b/>
          <w:bCs/>
        </w:rPr>
        <w:t>Article 217</w:t>
      </w:r>
    </w:p>
    <w:p w:rsidR="00000000" w:rsidRDefault="00000000">
      <w:pPr>
        <w:ind w:left="720"/>
        <w:rPr>
          <w:b/>
          <w:bCs/>
        </w:rPr>
      </w:pPr>
    </w:p>
    <w:p w:rsidR="00000000" w:rsidRDefault="00000000">
      <w:pPr>
        <w:ind w:left="720"/>
      </w:pPr>
      <w:r>
        <w:tab/>
        <w:t>The State is responsible for encouraging the practice of formal and informal sporting activities, as a right of each individual, with due regard for:</w:t>
      </w:r>
    </w:p>
    <w:p w:rsidR="00000000" w:rsidRDefault="00000000">
      <w:pPr>
        <w:ind w:left="720"/>
      </w:pPr>
    </w:p>
    <w:p w:rsidR="00000000" w:rsidRDefault="00000000">
      <w:pPr>
        <w:ind w:left="720"/>
        <w:rPr>
          <w:b/>
          <w:bCs/>
        </w:rPr>
      </w:pPr>
      <w:r>
        <w:rPr>
          <w:b/>
          <w:bCs/>
        </w:rPr>
        <w:t>Article 218</w:t>
      </w:r>
    </w:p>
    <w:p w:rsidR="00000000" w:rsidRDefault="00000000">
      <w:pPr>
        <w:ind w:left="720"/>
        <w:rPr>
          <w:b/>
          <w:bCs/>
        </w:rPr>
      </w:pPr>
    </w:p>
    <w:p w:rsidR="00000000" w:rsidRDefault="00000000">
      <w:pPr>
        <w:ind w:left="720"/>
      </w:pPr>
      <w:r>
        <w:tab/>
        <w:t>The State shall promote and foster scientific development, research and technological expertise.</w:t>
      </w:r>
    </w:p>
    <w:p w:rsidR="00000000" w:rsidRDefault="00000000">
      <w:pPr>
        <w:ind w:left="720"/>
      </w:pPr>
    </w:p>
    <w:p w:rsidR="00000000" w:rsidRDefault="00000000">
      <w:pPr>
        <w:ind w:left="720"/>
        <w:rPr>
          <w:b/>
          <w:bCs/>
        </w:rPr>
      </w:pPr>
      <w:r>
        <w:rPr>
          <w:b/>
          <w:bCs/>
        </w:rPr>
        <w:t>Article 220</w:t>
      </w:r>
    </w:p>
    <w:p w:rsidR="00000000" w:rsidRDefault="00000000">
      <w:pPr>
        <w:ind w:left="720"/>
        <w:rPr>
          <w:b/>
          <w:bCs/>
        </w:rPr>
      </w:pPr>
    </w:p>
    <w:p w:rsidR="00000000" w:rsidRDefault="00000000">
      <w:pPr>
        <w:ind w:left="720"/>
      </w:pPr>
      <w:r>
        <w:tab/>
        <w:t>The manifestation of thought, creation, expression and information, in any form, process or medium shall not be subject to any restriction, pursuant to the provisions of this Constitution.</w:t>
      </w:r>
    </w:p>
    <w:p w:rsidR="00000000" w:rsidRDefault="00000000">
      <w:pPr>
        <w:ind w:left="720"/>
      </w:pPr>
    </w:p>
    <w:p w:rsidR="00000000" w:rsidRDefault="00000000">
      <w:pPr>
        <w:ind w:left="720"/>
        <w:rPr>
          <w:b/>
          <w:bCs/>
        </w:rPr>
      </w:pPr>
      <w:r>
        <w:rPr>
          <w:b/>
          <w:bCs/>
        </w:rPr>
        <w:t>Article 225</w:t>
      </w:r>
    </w:p>
    <w:p w:rsidR="00000000" w:rsidRDefault="00000000">
      <w:pPr>
        <w:ind w:left="720"/>
        <w:rPr>
          <w:b/>
          <w:bCs/>
        </w:rPr>
      </w:pPr>
    </w:p>
    <w:p w:rsidR="00000000" w:rsidRDefault="00000000">
      <w:pPr>
        <w:ind w:left="720"/>
      </w:pPr>
      <w:r>
        <w:tab/>
        <w:t>Everyone has the right to an ecologically balanced environment.  The environment is an asset to be shared by all and is essential to a healthy quality of life.  Both the Government and the community have the duty to defend and preserve it for present and future generations.</w:t>
      </w:r>
    </w:p>
    <w:p w:rsidR="00000000" w:rsidRDefault="00000000">
      <w:pPr>
        <w:ind w:left="720"/>
      </w:pPr>
    </w:p>
    <w:p w:rsidR="00000000" w:rsidRDefault="00000000">
      <w:pPr>
        <w:ind w:left="720"/>
        <w:rPr>
          <w:b/>
          <w:bCs/>
        </w:rPr>
      </w:pPr>
      <w:r>
        <w:rPr>
          <w:b/>
          <w:bCs/>
        </w:rPr>
        <w:t>Article 227</w:t>
      </w:r>
    </w:p>
    <w:p w:rsidR="00000000" w:rsidRDefault="00000000">
      <w:pPr>
        <w:ind w:left="720"/>
      </w:pPr>
    </w:p>
    <w:p w:rsidR="00000000" w:rsidRDefault="00000000">
      <w:pPr>
        <w:ind w:left="720"/>
      </w:pPr>
      <w:r>
        <w:tab/>
        <w:t>The family, society at large and the State are responsible for ensuring that children and adolescents will be given absolute priority with regard to the right to life, health, nourishment, education, leisure, professional training, culture, dignity, respect, freedom and family and community life, as well as for guarding them from all forms of negligence, discrimination, exploitation, violence, cruelty and oppression.</w:t>
      </w:r>
    </w:p>
    <w:p w:rsidR="00000000" w:rsidRDefault="00000000">
      <w:pPr>
        <w:ind w:left="720"/>
      </w:pPr>
    </w:p>
    <w:p w:rsidR="00000000" w:rsidRDefault="00000000">
      <w:pPr>
        <w:ind w:left="720"/>
        <w:rPr>
          <w:b/>
          <w:bCs/>
        </w:rPr>
      </w:pPr>
      <w:r>
        <w:rPr>
          <w:b/>
          <w:bCs/>
        </w:rPr>
        <w:t>Article 228</w:t>
      </w:r>
    </w:p>
    <w:p w:rsidR="00000000" w:rsidRDefault="00000000">
      <w:pPr>
        <w:ind w:left="720"/>
      </w:pPr>
    </w:p>
    <w:p w:rsidR="00000000" w:rsidRDefault="00000000">
      <w:pPr>
        <w:ind w:left="720"/>
      </w:pPr>
      <w:r>
        <w:tab/>
        <w:t>Minors under eighteen years of age may not be held criminally liable and shall be subject to the rules of special legislation.</w:t>
      </w:r>
    </w:p>
    <w:p w:rsidR="00000000" w:rsidRDefault="00000000">
      <w:pPr>
        <w:ind w:left="720"/>
      </w:pPr>
    </w:p>
    <w:p w:rsidR="00000000" w:rsidRDefault="00000000">
      <w:pPr>
        <w:ind w:left="720"/>
        <w:rPr>
          <w:b/>
          <w:bCs/>
        </w:rPr>
      </w:pPr>
      <w:r>
        <w:rPr>
          <w:b/>
          <w:bCs/>
        </w:rPr>
        <w:t>Article 231</w:t>
      </w:r>
    </w:p>
    <w:p w:rsidR="00000000" w:rsidRDefault="00000000">
      <w:pPr>
        <w:ind w:left="720"/>
      </w:pPr>
    </w:p>
    <w:p w:rsidR="00000000" w:rsidRDefault="00000000">
      <w:pPr>
        <w:ind w:left="720"/>
      </w:pPr>
      <w:r>
        <w:tab/>
        <w:t xml:space="preserve">The social organization, customs, languages, creeds and traditions of Indians are hereby recognized, as well as their original rights to the lands they traditionally occupy, it being incumbent upon the Union to demarcate them, while protecting and ensuring respect for all of their property. </w:t>
      </w:r>
    </w:p>
    <w:p w:rsidR="00000000" w:rsidRDefault="00000000">
      <w:pPr>
        <w:ind w:left="720"/>
      </w:pPr>
    </w:p>
    <w:p w:rsidR="00000000" w:rsidRDefault="00000000">
      <w:pPr>
        <w:ind w:left="720"/>
      </w:pPr>
    </w:p>
    <w:p w:rsidR="00000000" w:rsidRDefault="00000000">
      <w:pPr>
        <w:ind w:left="720"/>
      </w:pPr>
    </w:p>
    <w:p w:rsidR="00000000" w:rsidRDefault="00000000">
      <w:pPr>
        <w:ind w:left="720"/>
      </w:pPr>
    </w:p>
    <w:p w:rsidR="00000000" w:rsidRDefault="00000000">
      <w:pPr>
        <w:ind w:left="720"/>
        <w:rPr>
          <w:b/>
          <w:bCs/>
        </w:rPr>
      </w:pPr>
      <w:r>
        <w:rPr>
          <w:b/>
          <w:bCs/>
        </w:rPr>
        <w:t>Article 232</w:t>
      </w:r>
    </w:p>
    <w:p w:rsidR="00000000" w:rsidRDefault="00000000">
      <w:pPr>
        <w:ind w:left="720"/>
      </w:pPr>
    </w:p>
    <w:p w:rsidR="00000000" w:rsidRDefault="00000000">
      <w:pPr>
        <w:ind w:left="720"/>
      </w:pPr>
      <w:r>
        <w:tab/>
        <w:t>Indians and their communities and organizations are legally empowered to be parties to lawsuits to defend their rights and interests; the Public Ministry will be a part of all the procedural aspects of such cases.</w:t>
      </w:r>
    </w:p>
    <w:p w:rsidR="00000000" w:rsidRDefault="00000000">
      <w:pPr>
        <w:ind w:left="720"/>
      </w:pPr>
    </w:p>
  </w:endnote>
  <w:endnote w:id="3">
    <w:p w:rsidR="00000000" w:rsidRDefault="00000000">
      <w:pPr>
        <w:pStyle w:val="EndnoteText"/>
      </w:pPr>
      <w:r>
        <w:rPr>
          <w:rStyle w:val="EndnoteReference"/>
        </w:rPr>
        <w:endnoteRef/>
      </w:r>
      <w:r>
        <w:t xml:space="preserve">   The Public Ministry is a uniquely Brazilian institution, a fourth branch of power comprising public prosecutors.</w:t>
      </w:r>
    </w:p>
    <w:p w:rsidR="00000000" w:rsidRDefault="00000000">
      <w:pPr>
        <w:pStyle w:val="EndnoteText"/>
      </w:pPr>
    </w:p>
  </w:endnote>
  <w:endnote w:id="4">
    <w:p w:rsidR="00000000" w:rsidRDefault="00000000">
      <w:r>
        <w:rPr>
          <w:rStyle w:val="EndnoteReference"/>
          <w:bCs/>
        </w:rPr>
        <w:endnoteRef/>
      </w:r>
      <w:r>
        <w:t xml:space="preserve">  Once the Law had passed, Brazil’s Consolidated Labour Laws contained in Decree</w:t>
      </w:r>
      <w:r>
        <w:noBreakHyphen/>
        <w:t>Law 5452, dated 1 May 1943, went into effect with the following alterations:</w:t>
      </w:r>
    </w:p>
    <w:p w:rsidR="00000000" w:rsidRDefault="00000000"/>
    <w:p w:rsidR="00000000" w:rsidRDefault="00000000">
      <w:pPr>
        <w:ind w:left="720"/>
      </w:pPr>
      <w:r>
        <w:t>“SECTION I</w:t>
      </w:r>
    </w:p>
    <w:p w:rsidR="00000000" w:rsidRDefault="00000000">
      <w:pPr>
        <w:ind w:left="720"/>
      </w:pPr>
    </w:p>
    <w:p w:rsidR="00000000" w:rsidRDefault="00000000">
      <w:pPr>
        <w:ind w:left="720"/>
      </w:pPr>
      <w:r>
        <w:t>Duration, Workplace Conditions and Discrimination against Women</w:t>
      </w:r>
    </w:p>
    <w:p w:rsidR="00000000" w:rsidRDefault="00000000">
      <w:pPr>
        <w:ind w:left="720"/>
      </w:pPr>
      <w:r>
        <w:t>...............................................................................................................</w:t>
      </w:r>
    </w:p>
    <w:p w:rsidR="00000000" w:rsidRDefault="00000000">
      <w:pPr>
        <w:ind w:left="720"/>
        <w:rPr>
          <w:b/>
          <w:bCs/>
          <w:lang w:val="en-US"/>
        </w:rPr>
      </w:pPr>
    </w:p>
    <w:p w:rsidR="00000000" w:rsidRDefault="00000000">
      <w:pPr>
        <w:ind w:left="720"/>
        <w:rPr>
          <w:b/>
          <w:bCs/>
          <w:lang w:val="en-US"/>
        </w:rPr>
      </w:pPr>
      <w:r>
        <w:rPr>
          <w:b/>
          <w:bCs/>
          <w:lang w:val="en-US"/>
        </w:rPr>
        <w:t>Article 373 A.  With the exception of legal provisions designed to correct distortions that affected the access of women to the workplace and certain specificities agreed to in labour accords, it is illegal to:</w:t>
      </w:r>
    </w:p>
    <w:p w:rsidR="00000000" w:rsidRDefault="00000000">
      <w:pPr>
        <w:ind w:left="720"/>
        <w:rPr>
          <w:lang w:val="en-US"/>
        </w:rPr>
      </w:pPr>
    </w:p>
    <w:p w:rsidR="00000000" w:rsidRDefault="00000000">
      <w:pPr>
        <w:tabs>
          <w:tab w:val="right" w:pos="1701"/>
          <w:tab w:val="left" w:pos="1985"/>
        </w:tabs>
        <w:ind w:left="1985" w:hanging="545"/>
      </w:pPr>
      <w:r>
        <w:tab/>
        <w:t>I.</w:t>
      </w:r>
      <w:r>
        <w:tab/>
        <w:t>Publish, or cause to be published, any employment advertisement which makes reference to gender, age, colour or family status, unless the nature of the activity openly and evidently so requires;</w:t>
      </w:r>
    </w:p>
    <w:p w:rsidR="00000000" w:rsidRDefault="00000000">
      <w:pPr>
        <w:tabs>
          <w:tab w:val="right" w:pos="1701"/>
          <w:tab w:val="left" w:pos="1985"/>
        </w:tabs>
        <w:ind w:left="1440"/>
      </w:pPr>
    </w:p>
    <w:p w:rsidR="00000000" w:rsidRDefault="00000000">
      <w:pPr>
        <w:tabs>
          <w:tab w:val="right" w:pos="1701"/>
          <w:tab w:val="left" w:pos="1985"/>
        </w:tabs>
        <w:ind w:left="1985" w:hanging="545"/>
      </w:pPr>
      <w:r>
        <w:tab/>
        <w:t>II.</w:t>
      </w:r>
      <w:r>
        <w:tab/>
        <w:t>Refuse employment or promotion, or to motivate the dismissal from employment, of a person based on gender, age, colour, family status or status vis</w:t>
      </w:r>
      <w:r>
        <w:noBreakHyphen/>
        <w:t>à</w:t>
      </w:r>
      <w:r>
        <w:noBreakHyphen/>
        <w:t>vis pregnancy, unless there is open and evident incompatibility with the nature of the activity in question;</w:t>
      </w:r>
    </w:p>
    <w:p w:rsidR="00000000" w:rsidRDefault="00000000">
      <w:pPr>
        <w:tabs>
          <w:tab w:val="right" w:pos="1701"/>
          <w:tab w:val="left" w:pos="1985"/>
        </w:tabs>
        <w:ind w:left="1440"/>
      </w:pPr>
    </w:p>
    <w:p w:rsidR="00000000" w:rsidRDefault="00000000">
      <w:pPr>
        <w:tabs>
          <w:tab w:val="right" w:pos="1701"/>
          <w:tab w:val="left" w:pos="1985"/>
        </w:tabs>
        <w:ind w:left="1985" w:hanging="545"/>
      </w:pPr>
      <w:r>
        <w:tab/>
        <w:t>III.</w:t>
      </w:r>
      <w:r>
        <w:tab/>
        <w:t>Consider gender, age, colour or family status as a determinant for the purposes of remuneration, professional training and opportunities for professional advancement;</w:t>
      </w:r>
    </w:p>
    <w:p w:rsidR="00000000" w:rsidRDefault="00000000">
      <w:pPr>
        <w:tabs>
          <w:tab w:val="right" w:pos="1701"/>
          <w:tab w:val="left" w:pos="1985"/>
        </w:tabs>
        <w:ind w:left="1985" w:hanging="545"/>
      </w:pPr>
    </w:p>
    <w:p w:rsidR="00000000" w:rsidRDefault="00000000">
      <w:pPr>
        <w:tabs>
          <w:tab w:val="right" w:pos="1701"/>
          <w:tab w:val="left" w:pos="1985"/>
        </w:tabs>
        <w:ind w:left="1985" w:hanging="545"/>
      </w:pPr>
      <w:r>
        <w:tab/>
        <w:t>IV.</w:t>
      </w:r>
      <w:r>
        <w:tab/>
        <w:t>Require a certificate or examination of any nature to prove sterility or the status vis</w:t>
      </w:r>
      <w:r>
        <w:noBreakHyphen/>
        <w:t>à</w:t>
      </w:r>
      <w:r>
        <w:noBreakHyphen/>
        <w:t>vis pregnancy for the purposes of hiring or keeping staff on the job;</w:t>
      </w:r>
    </w:p>
    <w:p w:rsidR="00000000" w:rsidRDefault="00000000">
      <w:pPr>
        <w:tabs>
          <w:tab w:val="right" w:pos="1701"/>
          <w:tab w:val="left" w:pos="1985"/>
        </w:tabs>
        <w:ind w:left="1985" w:hanging="545"/>
      </w:pPr>
    </w:p>
    <w:p w:rsidR="00000000" w:rsidRDefault="00000000">
      <w:pPr>
        <w:tabs>
          <w:tab w:val="right" w:pos="1701"/>
          <w:tab w:val="left" w:pos="1985"/>
        </w:tabs>
        <w:ind w:left="1985" w:hanging="545"/>
      </w:pPr>
      <w:r>
        <w:tab/>
        <w:t>V.</w:t>
      </w:r>
      <w:r>
        <w:tab/>
        <w:t>Impede access to or adopt subjective criteria regarding approval for registration or approval in civil service examinations, in private companies based on gender, age, colour, family status or status vis</w:t>
      </w:r>
      <w:r>
        <w:noBreakHyphen/>
        <w:t>à</w:t>
      </w:r>
      <w:r>
        <w:noBreakHyphen/>
        <w:t>vis pregnancy;</w:t>
      </w:r>
    </w:p>
    <w:p w:rsidR="00000000" w:rsidRDefault="00000000">
      <w:pPr>
        <w:tabs>
          <w:tab w:val="right" w:pos="1701"/>
          <w:tab w:val="left" w:pos="1985"/>
        </w:tabs>
        <w:ind w:left="1985" w:hanging="545"/>
      </w:pPr>
    </w:p>
    <w:p w:rsidR="00000000" w:rsidRDefault="00000000">
      <w:pPr>
        <w:tabs>
          <w:tab w:val="right" w:pos="1701"/>
          <w:tab w:val="left" w:pos="1985"/>
        </w:tabs>
        <w:ind w:left="1985" w:hanging="545"/>
      </w:pPr>
      <w:r>
        <w:tab/>
        <w:t>VI.</w:t>
      </w:r>
      <w:r>
        <w:tab/>
        <w:t>Have employers or their underlings conduct intimate bodily searches of female employees or staff members.</w:t>
      </w:r>
    </w:p>
    <w:p w:rsidR="00000000" w:rsidRDefault="00000000">
      <w:pPr>
        <w:ind w:left="1985" w:hanging="545"/>
      </w:pPr>
    </w:p>
    <w:p w:rsidR="00000000" w:rsidRDefault="00000000">
      <w:pPr>
        <w:ind w:left="720"/>
      </w:pPr>
      <w:r>
        <w:t>Sole paragraph.  The provisions of this article do not impede the adoption of temporary steps designed to establish equal policies for men and women, particularly those designed to correct distortions that affect professional training, job access and general conditions for women’s work.”</w:t>
      </w:r>
    </w:p>
    <w:p w:rsidR="00000000" w:rsidRDefault="00000000">
      <w:pPr>
        <w:ind w:left="720"/>
      </w:pPr>
    </w:p>
    <w:p w:rsidR="00000000" w:rsidRDefault="00000000">
      <w:pPr>
        <w:ind w:left="720"/>
        <w:rPr>
          <w:lang w:val="fr-FR"/>
        </w:rPr>
      </w:pPr>
      <w:r>
        <w:rPr>
          <w:lang w:val="fr-FR"/>
        </w:rPr>
        <w:t>“Article 390 A.  (VETOED).”</w:t>
      </w:r>
    </w:p>
    <w:p w:rsidR="00000000" w:rsidRDefault="00000000">
      <w:pPr>
        <w:ind w:left="720"/>
        <w:rPr>
          <w:lang w:val="fr-FR"/>
        </w:rPr>
      </w:pPr>
    </w:p>
    <w:p w:rsidR="00000000" w:rsidRDefault="00000000">
      <w:pPr>
        <w:ind w:left="720"/>
      </w:pPr>
      <w:r>
        <w:t>“Article 390 B.  Openings in courses to train the labour force run by government institutions, by employers themselves or by any vocational training entity shall be offered to employees of both sexes.”</w:t>
      </w:r>
    </w:p>
    <w:p w:rsidR="00000000" w:rsidRDefault="00000000">
      <w:pPr>
        <w:ind w:left="720"/>
      </w:pPr>
    </w:p>
    <w:p w:rsidR="00000000" w:rsidRDefault="00000000">
      <w:pPr>
        <w:ind w:left="720"/>
      </w:pPr>
      <w:r>
        <w:t>“Article 390 C.  Companies with more than one hundred employees of both sexes should offer special professional incentives and advanced training programmes to their labour force.”</w:t>
      </w:r>
    </w:p>
    <w:p w:rsidR="00000000" w:rsidRDefault="00000000">
      <w:pPr>
        <w:ind w:left="720"/>
      </w:pPr>
    </w:p>
    <w:p w:rsidR="00000000" w:rsidRDefault="00000000">
      <w:pPr>
        <w:ind w:left="720"/>
        <w:rPr>
          <w:lang w:val="fr-FR"/>
        </w:rPr>
      </w:pPr>
      <w:r>
        <w:rPr>
          <w:lang w:val="fr-FR"/>
        </w:rPr>
        <w:t>“Article 390 D.  (VETOED).”</w:t>
      </w:r>
    </w:p>
    <w:p w:rsidR="00000000" w:rsidRDefault="00000000">
      <w:pPr>
        <w:ind w:left="720"/>
        <w:rPr>
          <w:lang w:val="fr-FR"/>
        </w:rPr>
      </w:pPr>
    </w:p>
    <w:p w:rsidR="00000000" w:rsidRDefault="00000000">
      <w:pPr>
        <w:ind w:left="720"/>
      </w:pPr>
      <w:r>
        <w:t>“Article 390 E.  Companies may enter into associations with professional training organizations, civil society organizations, cooperative groups, public bodies and entities or trade union groups, and may also sign agreements for the development of joint efforts, with a view to implementing projects to encourage women’s work.”</w:t>
      </w:r>
    </w:p>
    <w:p w:rsidR="00000000" w:rsidRDefault="00000000">
      <w:pPr>
        <w:ind w:left="720"/>
      </w:pPr>
    </w:p>
    <w:p w:rsidR="00000000" w:rsidRDefault="00000000">
      <w:pPr>
        <w:ind w:left="720"/>
      </w:pPr>
      <w:r>
        <w:t>“Article 392 ..........................................................................................................................</w:t>
      </w:r>
    </w:p>
    <w:p w:rsidR="00000000" w:rsidRDefault="00000000">
      <w:pPr>
        <w:ind w:left="720"/>
      </w:pPr>
      <w:r>
        <w:t>...............................................................................................................................................</w:t>
      </w:r>
    </w:p>
    <w:p w:rsidR="00000000" w:rsidRDefault="00000000">
      <w:pPr>
        <w:ind w:left="720"/>
      </w:pPr>
      <w:r>
        <w:t xml:space="preserve"> </w:t>
      </w:r>
    </w:p>
    <w:p w:rsidR="00000000" w:rsidRDefault="00000000">
      <w:pPr>
        <w:ind w:left="720"/>
      </w:pPr>
      <w:r>
        <w:t>§ 4.  Employees are guaranteed the following rights during pregnancy without prejudice to their salaries and other rights:</w:t>
      </w:r>
    </w:p>
    <w:p w:rsidR="00000000" w:rsidRDefault="00000000">
      <w:pPr>
        <w:ind w:left="720"/>
      </w:pPr>
    </w:p>
    <w:p w:rsidR="00000000" w:rsidRDefault="00000000">
      <w:pPr>
        <w:tabs>
          <w:tab w:val="right" w:pos="1701"/>
          <w:tab w:val="left" w:pos="1985"/>
        </w:tabs>
        <w:ind w:left="1985" w:hanging="545"/>
      </w:pPr>
      <w:r>
        <w:tab/>
        <w:t>I.</w:t>
      </w:r>
      <w:r>
        <w:tab/>
        <w:t>A transfer with regard to employment responsibilities when required by health considerations; the woman has a guaranteed right to discharge her previous responsibilities once again as soon as she has returned to the workplace;</w:t>
      </w:r>
    </w:p>
    <w:p w:rsidR="00000000" w:rsidRDefault="00000000">
      <w:pPr>
        <w:tabs>
          <w:tab w:val="right" w:pos="1701"/>
          <w:tab w:val="left" w:pos="1985"/>
        </w:tabs>
        <w:ind w:left="1440"/>
      </w:pPr>
    </w:p>
    <w:p w:rsidR="00000000" w:rsidRDefault="00000000">
      <w:pPr>
        <w:tabs>
          <w:tab w:val="right" w:pos="1701"/>
          <w:tab w:val="left" w:pos="1985"/>
        </w:tabs>
        <w:ind w:left="1985" w:hanging="545"/>
      </w:pPr>
      <w:r>
        <w:tab/>
        <w:t>II.</w:t>
      </w:r>
      <w:r>
        <w:tab/>
        <w:t>The right to be excused from work for as long as is needed to visit doctors on at least six occasions and to have additional complementary medical exams.”</w:t>
      </w:r>
    </w:p>
    <w:p w:rsidR="00000000" w:rsidRDefault="00000000">
      <w:pPr>
        <w:ind w:left="720"/>
      </w:pPr>
    </w:p>
    <w:p w:rsidR="00000000" w:rsidRDefault="00000000">
      <w:pPr>
        <w:ind w:left="720"/>
        <w:rPr>
          <w:lang w:val="fr-FR"/>
        </w:rPr>
      </w:pPr>
      <w:r>
        <w:rPr>
          <w:lang w:val="fr-FR"/>
        </w:rPr>
        <w:t>“Article 401 A.  (VETOED).”</w:t>
      </w:r>
    </w:p>
    <w:p w:rsidR="00000000" w:rsidRDefault="00000000">
      <w:pPr>
        <w:ind w:left="720"/>
        <w:rPr>
          <w:lang w:val="fr-FR"/>
        </w:rPr>
      </w:pPr>
    </w:p>
    <w:p w:rsidR="00000000" w:rsidRDefault="00000000">
      <w:pPr>
        <w:ind w:left="720"/>
        <w:rPr>
          <w:lang w:val="fr-FR"/>
        </w:rPr>
      </w:pPr>
    </w:p>
    <w:p w:rsidR="00000000" w:rsidRDefault="00000000">
      <w:pPr>
        <w:ind w:left="720"/>
        <w:rPr>
          <w:lang w:val="fr-FR"/>
        </w:rPr>
      </w:pPr>
    </w:p>
    <w:p w:rsidR="00000000" w:rsidRDefault="00000000">
      <w:pPr>
        <w:ind w:left="720"/>
        <w:rPr>
          <w:lang w:val="fr-FR"/>
        </w:rPr>
      </w:pPr>
    </w:p>
    <w:p w:rsidR="00000000" w:rsidRDefault="00000000">
      <w:pPr>
        <w:ind w:left="720"/>
        <w:rPr>
          <w:lang w:val="fr-FR"/>
        </w:rPr>
      </w:pPr>
    </w:p>
    <w:p w:rsidR="00000000" w:rsidRDefault="00000000">
      <w:pPr>
        <w:ind w:left="720"/>
        <w:rPr>
          <w:lang w:val="fr-FR"/>
        </w:rPr>
      </w:pPr>
    </w:p>
    <w:p w:rsidR="00000000" w:rsidRDefault="00000000">
      <w:pPr>
        <w:ind w:left="720"/>
        <w:rPr>
          <w:lang w:val="fr-FR"/>
        </w:rPr>
      </w:pPr>
    </w:p>
    <w:p w:rsidR="00000000" w:rsidRDefault="00000000">
      <w:pPr>
        <w:ind w:left="720"/>
        <w:rPr>
          <w:lang w:val="fr-FR"/>
        </w:rPr>
      </w:pPr>
    </w:p>
    <w:p w:rsidR="00000000" w:rsidRDefault="00000000">
      <w:pPr>
        <w:ind w:left="720"/>
        <w:rPr>
          <w:lang w:val="fr-FR"/>
        </w:rPr>
      </w:pPr>
      <w:r>
        <w:rPr>
          <w:lang w:val="fr-FR"/>
        </w:rPr>
        <w:t>“Article 401 B.  (VETOED).”</w:t>
      </w:r>
    </w:p>
    <w:p w:rsidR="00000000" w:rsidRDefault="00000000">
      <w:pPr>
        <w:ind w:left="720"/>
        <w:rPr>
          <w:lang w:val="fr-FR"/>
        </w:rPr>
      </w:pPr>
    </w:p>
    <w:p w:rsidR="00000000" w:rsidRDefault="00000000">
      <w:pPr>
        <w:ind w:left="720"/>
      </w:pPr>
      <w:r>
        <w:rPr>
          <w:lang w:val="fr-FR"/>
        </w:rPr>
        <w:tab/>
      </w:r>
      <w:r>
        <w:t>The Executive Branch issued a partial veto of the Bill of Law in Message 673 on 26 May 1999, pursuant to paragraph 1 of article 66 of the Federal Constitution, for the following reasons:</w:t>
      </w:r>
    </w:p>
    <w:p w:rsidR="00000000" w:rsidRDefault="00000000">
      <w:pPr>
        <w:ind w:left="720"/>
      </w:pPr>
    </w:p>
    <w:p w:rsidR="00000000" w:rsidRDefault="00000000">
      <w:pPr>
        <w:ind w:left="720"/>
      </w:pPr>
      <w:r>
        <w:t>The Ministry of Justice was heard and stated the opinion that articles 390 A, 390 D, 401 A and 401 B transcribed below should be vetoed:</w:t>
      </w:r>
    </w:p>
    <w:p w:rsidR="00000000" w:rsidRDefault="00000000">
      <w:pPr>
        <w:ind w:left="720"/>
      </w:pPr>
    </w:p>
    <w:p w:rsidR="00000000" w:rsidRDefault="00000000">
      <w:pPr>
        <w:ind w:left="720"/>
      </w:pPr>
      <w:r>
        <w:t>“Article 390 A.  The dismissal of a worker is considered null and void when it is the result of a suit that is filed on the basis of the violation of the principles of professional equality and equal opportunity among men and women.”</w:t>
      </w:r>
    </w:p>
    <w:p w:rsidR="00000000" w:rsidRDefault="00000000">
      <w:pPr>
        <w:ind w:left="720"/>
      </w:pPr>
    </w:p>
    <w:p w:rsidR="00000000" w:rsidRDefault="00000000">
      <w:pPr>
        <w:ind w:left="720"/>
      </w:pPr>
      <w:r>
        <w:t>The veto is explained as follows:  the dismissal of a worker is considered null and void when the same worker files a suit alleging discrimination.  This nullification of the dismissal creates job tenure, which is contrary to Article 7, I of the Federal Constitution, and which has not permitted tenure as a general rule.  Furthermore, as stated above, the command would encourage lawsuits as a way to achieve job tenure in a preventive fashion.  This, after all, would create an effect that runs contrary to what is desired, in turn leading to greater restrictions when hiring women instead of protecting them.  Thus, as the provision in question does not establish an exact time period for the tenure and is generic in nature, it is deemed to be unconstitutional and therefore should be vetoed.</w:t>
      </w:r>
    </w:p>
    <w:p w:rsidR="00000000" w:rsidRDefault="00000000">
      <w:pPr>
        <w:ind w:left="720"/>
      </w:pPr>
    </w:p>
    <w:p w:rsidR="00000000" w:rsidRDefault="00000000">
      <w:pPr>
        <w:ind w:left="720"/>
      </w:pPr>
      <w:r>
        <w:t>“Article 390 D.  When the employment relationship is interrupted by a discriminatory act the employee may opt between:</w:t>
      </w:r>
    </w:p>
    <w:p w:rsidR="00000000" w:rsidRDefault="00000000">
      <w:pPr>
        <w:ind w:left="720"/>
      </w:pPr>
    </w:p>
    <w:p w:rsidR="00000000" w:rsidRDefault="00000000">
      <w:pPr>
        <w:tabs>
          <w:tab w:val="right" w:pos="1701"/>
          <w:tab w:val="left" w:pos="1985"/>
        </w:tabs>
        <w:ind w:left="1985" w:hanging="545"/>
      </w:pPr>
      <w:r>
        <w:tab/>
        <w:t>I.</w:t>
      </w:r>
      <w:r>
        <w:tab/>
        <w:t>Readmission with full compensation for the entire period off the job, by paying the remuneration that was due plus monetary corrections and the additional interest required by law;</w:t>
      </w:r>
    </w:p>
    <w:p w:rsidR="00000000" w:rsidRDefault="00000000">
      <w:pPr>
        <w:tabs>
          <w:tab w:val="right" w:pos="1701"/>
          <w:tab w:val="left" w:pos="1985"/>
        </w:tabs>
        <w:ind w:left="1440"/>
      </w:pPr>
    </w:p>
    <w:p w:rsidR="00000000" w:rsidRDefault="00000000">
      <w:pPr>
        <w:tabs>
          <w:tab w:val="right" w:pos="1701"/>
          <w:tab w:val="left" w:pos="1985"/>
        </w:tabs>
        <w:ind w:left="1985" w:hanging="545"/>
      </w:pPr>
      <w:r>
        <w:tab/>
        <w:t>II.</w:t>
      </w:r>
      <w:r>
        <w:tab/>
        <w:t>Receipt of double remuneration for the period off the job, plus monetary corrections and the additional interest required by law.</w:t>
      </w:r>
    </w:p>
    <w:p w:rsidR="00000000" w:rsidRDefault="00000000">
      <w:pPr>
        <w:tabs>
          <w:tab w:val="right" w:pos="1701"/>
          <w:tab w:val="left" w:pos="1985"/>
        </w:tabs>
        <w:ind w:left="1440"/>
      </w:pPr>
    </w:p>
    <w:p w:rsidR="00000000" w:rsidRDefault="00000000">
      <w:pPr>
        <w:ind w:left="720"/>
      </w:pPr>
      <w:r>
        <w:t>When explaining its veto the Executive Branch quoted the law that covers the issue.  The provision is a mere copy of Article 4 of Law 9029/95, (please see the aide</w:t>
      </w:r>
      <w:r>
        <w:noBreakHyphen/>
        <w:t xml:space="preserve">memoire report attached to Convention 111 </w:t>
      </w:r>
      <w:r>
        <w:noBreakHyphen/>
        <w:t xml:space="preserve"> Year 1995) currently in effect.  This situation flouts the provisions of Article 7, IV of Complementary Law 95/98, which prohibits the regulation of the same matter by more than one law.  As this Bill of Law neither intends to substitute Law 9029/95 nor revokes it expressly, the provision should be vetoed as being contrary to public interest by promoting a multitude of legal commands, all of which are identical in nature.”</w:t>
      </w:r>
    </w:p>
    <w:p w:rsidR="00000000" w:rsidRDefault="00000000">
      <w:pPr>
        <w:ind w:left="720"/>
      </w:pPr>
    </w:p>
    <w:p w:rsidR="00000000" w:rsidRDefault="00000000">
      <w:pPr>
        <w:ind w:left="720"/>
      </w:pPr>
    </w:p>
    <w:p w:rsidR="00000000" w:rsidRDefault="00000000">
      <w:pPr>
        <w:ind w:left="720"/>
      </w:pPr>
    </w:p>
    <w:p w:rsidR="00000000" w:rsidRDefault="00000000">
      <w:pPr>
        <w:ind w:left="720"/>
      </w:pPr>
    </w:p>
    <w:p w:rsidR="00000000" w:rsidRDefault="00000000">
      <w:pPr>
        <w:ind w:left="720"/>
      </w:pPr>
    </w:p>
    <w:p w:rsidR="00000000" w:rsidRDefault="00000000">
      <w:pPr>
        <w:ind w:left="720"/>
      </w:pPr>
      <w:r>
        <w:t>“Article 401 A.  The following discriminatory practices are a crime:</w:t>
      </w:r>
    </w:p>
    <w:p w:rsidR="00000000" w:rsidRDefault="00000000">
      <w:pPr>
        <w:ind w:left="720"/>
      </w:pPr>
    </w:p>
    <w:p w:rsidR="00000000" w:rsidRDefault="00000000">
      <w:pPr>
        <w:tabs>
          <w:tab w:val="right" w:pos="1701"/>
          <w:tab w:val="left" w:pos="1985"/>
        </w:tabs>
        <w:ind w:left="1985" w:hanging="545"/>
      </w:pPr>
      <w:r>
        <w:tab/>
        <w:t>I.</w:t>
      </w:r>
      <w:r>
        <w:tab/>
        <w:t>Requiring a test, exam, an expert opinion, a ruling, a certificate, a declaration or any other procedure regarding sterilization or status vis</w:t>
      </w:r>
      <w:r>
        <w:noBreakHyphen/>
        <w:t>à</w:t>
      </w:r>
      <w:r>
        <w:noBreakHyphen/>
        <w:t>vis pregnancy;</w:t>
      </w:r>
    </w:p>
    <w:p w:rsidR="00000000" w:rsidRDefault="00000000">
      <w:pPr>
        <w:tabs>
          <w:tab w:val="right" w:pos="1701"/>
          <w:tab w:val="left" w:pos="1985"/>
        </w:tabs>
        <w:ind w:left="1440"/>
      </w:pPr>
    </w:p>
    <w:p w:rsidR="00000000" w:rsidRDefault="00000000">
      <w:pPr>
        <w:tabs>
          <w:tab w:val="right" w:pos="1701"/>
          <w:tab w:val="left" w:pos="1985"/>
        </w:tabs>
        <w:ind w:left="1440"/>
      </w:pPr>
      <w:r>
        <w:tab/>
        <w:t>II.</w:t>
      </w:r>
      <w:r>
        <w:tab/>
        <w:t>The adoption of any measures by the employer that constitute:</w:t>
      </w:r>
    </w:p>
    <w:p w:rsidR="00000000" w:rsidRDefault="00000000">
      <w:pPr>
        <w:ind w:left="1440"/>
      </w:pPr>
    </w:p>
    <w:p w:rsidR="00000000" w:rsidRDefault="00000000">
      <w:pPr>
        <w:ind w:left="1985"/>
      </w:pPr>
      <w:r>
        <w:tab/>
        <w:t xml:space="preserve">    (a)</w:t>
      </w:r>
      <w:r>
        <w:tab/>
        <w:t>inducement or instigation to genetic sterilization;</w:t>
      </w:r>
    </w:p>
    <w:p w:rsidR="00000000" w:rsidRDefault="00000000">
      <w:pPr>
        <w:ind w:left="1985"/>
      </w:pPr>
    </w:p>
    <w:p w:rsidR="00000000" w:rsidRDefault="00000000">
      <w:pPr>
        <w:ind w:left="1985"/>
      </w:pPr>
      <w:r>
        <w:tab/>
        <w:t xml:space="preserve">    (b)</w:t>
      </w:r>
      <w:r>
        <w:tab/>
        <w:t xml:space="preserve">promotion of birth control.  This does not preclude offering family planning counselling or services via public or private institutions in accordance with the standards of the Single Health System </w:t>
      </w:r>
      <w:r>
        <w:noBreakHyphen/>
        <w:t xml:space="preserve"> SUS;</w:t>
      </w:r>
    </w:p>
    <w:p w:rsidR="00000000" w:rsidRDefault="00000000">
      <w:pPr>
        <w:ind w:left="1440"/>
      </w:pPr>
    </w:p>
    <w:p w:rsidR="00000000" w:rsidRDefault="00000000">
      <w:pPr>
        <w:ind w:left="1440"/>
      </w:pPr>
      <w:r>
        <w:t>Penalty - one to two years of detention and a fine.</w:t>
      </w:r>
    </w:p>
    <w:p w:rsidR="00000000" w:rsidRDefault="00000000">
      <w:pPr>
        <w:ind w:left="1440"/>
        <w:rPr>
          <w:lang w:val="en-US"/>
        </w:rPr>
      </w:pPr>
    </w:p>
    <w:p w:rsidR="00000000" w:rsidRDefault="00000000">
      <w:pPr>
        <w:ind w:left="720"/>
        <w:rPr>
          <w:b/>
          <w:bCs/>
          <w:lang w:val="en-US"/>
        </w:rPr>
      </w:pPr>
      <w:r>
        <w:rPr>
          <w:b/>
          <w:bCs/>
          <w:lang w:val="en-US"/>
        </w:rPr>
        <w:t>Sole paragraph.  Those held responsible for the crime referred to in this article are:</w:t>
      </w:r>
    </w:p>
    <w:p w:rsidR="00000000" w:rsidRDefault="00000000">
      <w:pPr>
        <w:ind w:left="720"/>
      </w:pPr>
    </w:p>
    <w:p w:rsidR="00000000" w:rsidRDefault="00000000">
      <w:pPr>
        <w:tabs>
          <w:tab w:val="right" w:pos="1701"/>
          <w:tab w:val="left" w:pos="1985"/>
        </w:tabs>
        <w:ind w:left="1440"/>
      </w:pPr>
      <w:r>
        <w:tab/>
        <w:t>I.</w:t>
      </w:r>
      <w:r>
        <w:tab/>
        <w:t>The individual who is the employer;</w:t>
      </w:r>
    </w:p>
    <w:p w:rsidR="00000000" w:rsidRDefault="00000000">
      <w:pPr>
        <w:tabs>
          <w:tab w:val="right" w:pos="1701"/>
          <w:tab w:val="left" w:pos="1985"/>
        </w:tabs>
        <w:ind w:left="1440"/>
      </w:pPr>
    </w:p>
    <w:p w:rsidR="00000000" w:rsidRDefault="00000000">
      <w:pPr>
        <w:tabs>
          <w:tab w:val="right" w:pos="1701"/>
          <w:tab w:val="left" w:pos="1985"/>
        </w:tabs>
        <w:ind w:left="1440"/>
      </w:pPr>
      <w:r>
        <w:tab/>
        <w:t>II.</w:t>
      </w:r>
      <w:r>
        <w:tab/>
        <w:t>The legal representative of the employer as defined by labour law.</w:t>
      </w:r>
    </w:p>
    <w:p w:rsidR="00000000" w:rsidRDefault="00000000">
      <w:pPr>
        <w:tabs>
          <w:tab w:val="right" w:pos="1701"/>
          <w:tab w:val="left" w:pos="1985"/>
        </w:tabs>
        <w:ind w:left="1440"/>
      </w:pPr>
    </w:p>
    <w:p w:rsidR="00000000" w:rsidRDefault="00000000">
      <w:pPr>
        <w:tabs>
          <w:tab w:val="right" w:pos="1701"/>
          <w:tab w:val="left" w:pos="1985"/>
        </w:tabs>
        <w:ind w:left="1985" w:hanging="545"/>
      </w:pPr>
      <w:r>
        <w:tab/>
        <w:t>III.</w:t>
      </w:r>
      <w:r>
        <w:tab/>
        <w:t>The director assigned, by delegation or by direct authority, to public agencies and entities of the direct and indirect public administrative service and/or foundations of any of the branches of power in the Federal Government, in the States, in the federal district and municipalities.”</w:t>
      </w:r>
    </w:p>
    <w:p w:rsidR="00000000" w:rsidRDefault="00000000">
      <w:pPr>
        <w:ind w:left="720"/>
      </w:pPr>
    </w:p>
    <w:p w:rsidR="00000000" w:rsidRDefault="00000000">
      <w:pPr>
        <w:ind w:left="720"/>
      </w:pPr>
      <w:r>
        <w:t>For the same reason explained above, the Executive Branch vetoed this article because it felt that the matter had already been regulated by Article 2 of Law 9029/95.  Furthermore, it felt that such an article would promote an undesirable insertion of a penal provision in the CLT, contrary to paragraphs II and IV of Article 7 of Complementary Law 95/98, which prohibits single laws that deal with separate issues, for example inserting a criminal matter into a labour law.  It should be observed that crimes against the organization of work or labour which are an issue connected to labour laws are covered in the penal code and not in the CLT.  Therefore, this provision should be vetoed as being contrary to public interests.”</w:t>
      </w:r>
    </w:p>
    <w:p w:rsidR="00000000" w:rsidRDefault="00000000">
      <w:pPr>
        <w:ind w:left="720"/>
        <w:rPr>
          <w:lang w:val="en-US"/>
        </w:rPr>
      </w:pPr>
    </w:p>
    <w:p w:rsidR="00000000" w:rsidRDefault="00000000">
      <w:pPr>
        <w:ind w:left="720"/>
        <w:rPr>
          <w:b/>
          <w:bCs/>
          <w:lang w:val="en-US"/>
        </w:rPr>
      </w:pPr>
      <w:r>
        <w:rPr>
          <w:b/>
          <w:bCs/>
          <w:lang w:val="en-US"/>
        </w:rPr>
        <w:t>“Article 401 B.  Without prejudice to the provisions of the previous article, offenders pursuant to Articles 373 A, 390 A, 390 B, 390 C, 390 D, 392, § 4 of this Consolidated Labour Law are subject to the following sanctions:</w:t>
      </w:r>
    </w:p>
    <w:p w:rsidR="00000000" w:rsidRDefault="00000000">
      <w:pPr>
        <w:ind w:left="720"/>
      </w:pPr>
    </w:p>
    <w:p w:rsidR="00000000" w:rsidRDefault="00000000">
      <w:pPr>
        <w:tabs>
          <w:tab w:val="right" w:pos="1701"/>
          <w:tab w:val="left" w:pos="1985"/>
        </w:tabs>
        <w:ind w:left="1985" w:hanging="545"/>
      </w:pPr>
      <w:r>
        <w:tab/>
        <w:t>I.</w:t>
      </w:r>
      <w:r>
        <w:tab/>
        <w:t>An administrative fine worth ten times the highest wage paid by the employer; such fine is to be increased 50 per cent in the case of a repeat offence;</w:t>
      </w:r>
    </w:p>
    <w:p w:rsidR="00000000" w:rsidRDefault="00000000">
      <w:pPr>
        <w:tabs>
          <w:tab w:val="right" w:pos="1701"/>
          <w:tab w:val="left" w:pos="1985"/>
        </w:tabs>
        <w:ind w:left="1440"/>
      </w:pPr>
    </w:p>
    <w:p w:rsidR="00000000" w:rsidRDefault="00000000">
      <w:pPr>
        <w:tabs>
          <w:tab w:val="right" w:pos="1701"/>
          <w:tab w:val="left" w:pos="1985"/>
        </w:tabs>
        <w:ind w:left="1985" w:hanging="545"/>
      </w:pPr>
      <w:r>
        <w:tab/>
        <w:t>II.</w:t>
      </w:r>
      <w:r>
        <w:tab/>
        <w:t>A ban on loans or financing to be sought from official financial institutions”.</w:t>
      </w:r>
    </w:p>
    <w:p w:rsidR="00000000" w:rsidRDefault="00000000">
      <w:pPr>
        <w:ind w:left="1440"/>
      </w:pPr>
    </w:p>
    <w:p w:rsidR="00000000" w:rsidRDefault="00000000">
      <w:pPr>
        <w:ind w:left="720"/>
      </w:pPr>
      <w:r>
        <w:t>Reasons for the veto:  According to the Executive Branch the issue has already been regulated by Article 3 of Law 9029/95, which is why the provision should be vetoed as being contrary to public interest, as explained with regard to the provisions mentioned above.</w:t>
      </w:r>
    </w:p>
    <w:p w:rsidR="00000000" w:rsidRDefault="00000000">
      <w:pPr>
        <w:ind w:left="720"/>
      </w:pPr>
    </w:p>
  </w:endnote>
  <w:endnote w:id="5">
    <w:p w:rsidR="00000000" w:rsidRDefault="00000000">
      <w:pPr>
        <w:pStyle w:val="EndnoteText"/>
      </w:pPr>
      <w:r>
        <w:rPr>
          <w:rStyle w:val="EndnoteReference"/>
        </w:rPr>
        <w:endnoteRef/>
      </w:r>
      <w:r>
        <w:t xml:space="preserve">  A provisional measure is a legal device contained in the 1988 Federal Constitution, which enjoys the force of law.  Although the President of the Republic may issue such provisional measures, they must nevertheless be immediately submitted to the National Congress to be converted into a law within a time-frame of 30 days.  If the provisional measure is not converted into a law, it must be reissued on a monthly basis.</w:t>
      </w:r>
    </w:p>
    <w:p w:rsidR="00000000" w:rsidRDefault="00000000">
      <w:pPr>
        <w:pStyle w:val="EndnoteText"/>
      </w:pPr>
    </w:p>
  </w:endnote>
  <w:endnote w:id="6">
    <w:p w:rsidR="00000000" w:rsidRDefault="00000000">
      <w:pPr>
        <w:pStyle w:val="BodyText"/>
      </w:pPr>
      <w:r>
        <w:rPr>
          <w:rStyle w:val="EndnoteReference"/>
        </w:rPr>
        <w:endnoteRef/>
      </w:r>
      <w:r>
        <w:t xml:space="preserve">  Article 5, items XVII to XX:</w:t>
      </w:r>
    </w:p>
    <w:p w:rsidR="00000000" w:rsidRDefault="00000000">
      <w:pPr>
        <w:pStyle w:val="BodyText"/>
      </w:pPr>
    </w:p>
    <w:p w:rsidR="00000000" w:rsidRDefault="00000000">
      <w:pPr>
        <w:tabs>
          <w:tab w:val="right" w:pos="1418"/>
          <w:tab w:val="left" w:pos="1985"/>
        </w:tabs>
        <w:ind w:left="1560" w:hanging="851"/>
      </w:pPr>
      <w:r>
        <w:tab/>
        <w:t>XVII.</w:t>
      </w:r>
      <w:r>
        <w:tab/>
        <w:t>The freedom of association for licit purposes is full, while forbidden to those of a paramilitary nature;</w:t>
      </w:r>
    </w:p>
    <w:p w:rsidR="00000000" w:rsidRDefault="00000000">
      <w:pPr>
        <w:pStyle w:val="BodyText"/>
        <w:tabs>
          <w:tab w:val="right" w:pos="993"/>
          <w:tab w:val="right" w:pos="1418"/>
          <w:tab w:val="left" w:pos="1985"/>
        </w:tabs>
        <w:ind w:left="1560" w:hanging="851"/>
      </w:pPr>
    </w:p>
    <w:p w:rsidR="00000000" w:rsidRDefault="00000000">
      <w:pPr>
        <w:tabs>
          <w:tab w:val="right" w:pos="1418"/>
          <w:tab w:val="left" w:pos="1985"/>
        </w:tabs>
        <w:ind w:left="1560" w:hanging="851"/>
      </w:pPr>
      <w:r>
        <w:tab/>
        <w:t>XVIII.</w:t>
      </w:r>
      <w:r>
        <w:tab/>
        <w:t>The creation of associations and, by law, of cooperatives does not require authorization, while state interference in their operations is forbidden;</w:t>
      </w:r>
    </w:p>
    <w:p w:rsidR="00000000" w:rsidRDefault="00000000">
      <w:pPr>
        <w:tabs>
          <w:tab w:val="right" w:pos="1418"/>
          <w:tab w:val="left" w:pos="1985"/>
        </w:tabs>
        <w:ind w:left="1560" w:hanging="851"/>
      </w:pPr>
    </w:p>
    <w:p w:rsidR="00000000" w:rsidRDefault="00000000">
      <w:pPr>
        <w:tabs>
          <w:tab w:val="right" w:pos="1418"/>
          <w:tab w:val="left" w:pos="1985"/>
        </w:tabs>
        <w:ind w:left="1560" w:hanging="851"/>
      </w:pPr>
      <w:r>
        <w:tab/>
        <w:t>XIX.</w:t>
      </w:r>
      <w:r>
        <w:tab/>
        <w:t xml:space="preserve">Associations only may be compulsorily dissolved or have their activities suspended by legal decision, requiring in the first case transit in </w:t>
      </w:r>
      <w:r>
        <w:rPr>
          <w:u w:val="single"/>
        </w:rPr>
        <w:t>rem judicatam</w:t>
      </w:r>
      <w:r>
        <w:t>;</w:t>
      </w:r>
    </w:p>
    <w:p w:rsidR="00000000" w:rsidRDefault="00000000">
      <w:pPr>
        <w:tabs>
          <w:tab w:val="right" w:pos="1418"/>
          <w:tab w:val="left" w:pos="1985"/>
        </w:tabs>
        <w:ind w:left="1560" w:hanging="851"/>
      </w:pPr>
    </w:p>
    <w:p w:rsidR="00000000" w:rsidRDefault="00000000">
      <w:pPr>
        <w:tabs>
          <w:tab w:val="right" w:pos="1418"/>
          <w:tab w:val="left" w:pos="1985"/>
        </w:tabs>
        <w:ind w:left="1560" w:hanging="851"/>
      </w:pPr>
      <w:r>
        <w:tab/>
        <w:t>XX.</w:t>
      </w:r>
      <w:r>
        <w:tab/>
        <w:t>No one may be compelled to be or remain a member.</w:t>
      </w:r>
    </w:p>
    <w:p w:rsidR="00000000" w:rsidRDefault="00000000">
      <w:pPr>
        <w:ind w:left="720"/>
      </w:pPr>
    </w:p>
  </w:endnote>
  <w:endnote w:id="7">
    <w:p w:rsidR="00000000" w:rsidRDefault="00000000">
      <w:pPr>
        <w:pStyle w:val="BodyText"/>
      </w:pPr>
      <w:r>
        <w:rPr>
          <w:rStyle w:val="EndnoteReference"/>
        </w:rPr>
        <w:endnoteRef/>
      </w:r>
      <w:r>
        <w:t xml:space="preserve">  Article 8.  The professional or trade union association is free, pursuant to the following:</w:t>
      </w:r>
    </w:p>
    <w:p w:rsidR="00000000" w:rsidRDefault="00000000"/>
    <w:p w:rsidR="00000000" w:rsidRDefault="00000000">
      <w:pPr>
        <w:pStyle w:val="BodyText"/>
        <w:tabs>
          <w:tab w:val="right" w:pos="1418"/>
          <w:tab w:val="left" w:pos="1560"/>
        </w:tabs>
        <w:ind w:left="1560" w:hanging="840"/>
      </w:pPr>
      <w:r>
        <w:tab/>
        <w:t>I.</w:t>
      </w:r>
      <w:r>
        <w:tab/>
        <w:t>The law may not demand authorization from the State to found a trade union, except when registered in the competent agency, the interference and intervention in the union organization being forbidden to the public authorities.</w:t>
      </w:r>
    </w:p>
    <w:p w:rsidR="00000000" w:rsidRDefault="00000000"/>
  </w:endnote>
  <w:endnote w:id="8">
    <w:p w:rsidR="00000000" w:rsidRDefault="00000000">
      <w:pPr>
        <w:pStyle w:val="BodyText"/>
      </w:pPr>
      <w:r>
        <w:rPr>
          <w:rStyle w:val="EndnoteReference"/>
        </w:rPr>
        <w:endnoteRef/>
      </w:r>
      <w:r>
        <w:t xml:space="preserve">  Article 8:</w:t>
      </w:r>
    </w:p>
    <w:p w:rsidR="00000000" w:rsidRDefault="00000000"/>
    <w:p w:rsidR="00000000" w:rsidRDefault="00000000">
      <w:pPr>
        <w:pStyle w:val="BodyText"/>
        <w:tabs>
          <w:tab w:val="right" w:pos="1418"/>
          <w:tab w:val="left" w:pos="1560"/>
        </w:tabs>
        <w:ind w:left="1560" w:hanging="840"/>
      </w:pPr>
      <w:r>
        <w:tab/>
        <w:t>II.</w:t>
      </w:r>
      <w:r>
        <w:tab/>
        <w:t>It is forbidden to create more than one trade union organization, in any degree, representing a professional or economic category, in the same territorial base to be established by the interested workers or employers, and may not be less than the area of a county;</w:t>
      </w:r>
    </w:p>
    <w:p w:rsidR="00000000" w:rsidRDefault="00000000">
      <w:pPr>
        <w:tabs>
          <w:tab w:val="right" w:pos="1418"/>
          <w:tab w:val="left" w:pos="1560"/>
        </w:tabs>
        <w:ind w:left="1560" w:hanging="840"/>
      </w:pPr>
    </w:p>
    <w:p w:rsidR="00000000" w:rsidRDefault="00000000">
      <w:pPr>
        <w:pStyle w:val="BodyText"/>
        <w:tabs>
          <w:tab w:val="right" w:pos="1418"/>
          <w:tab w:val="left" w:pos="1560"/>
        </w:tabs>
        <w:ind w:left="1560" w:hanging="840"/>
      </w:pPr>
      <w:r>
        <w:tab/>
        <w:t>IV.</w:t>
      </w:r>
      <w:r>
        <w:tab/>
        <w:t>The general meeting will fix the contribution that, when addressing a professional category, will be discounted from the payroll, to pay for the confederative system of the relevant union representation, regardless of the contribution prescribed by law.</w:t>
      </w:r>
    </w:p>
    <w:p w:rsidR="00000000" w:rsidRDefault="00000000">
      <w:pPr>
        <w:pStyle w:val="BodyText"/>
        <w:tabs>
          <w:tab w:val="left" w:pos="1701"/>
        </w:tabs>
      </w:pPr>
    </w:p>
  </w:endnote>
  <w:endnote w:id="9">
    <w:p w:rsidR="00000000" w:rsidRDefault="00000000">
      <w:pPr>
        <w:pStyle w:val="EndnoteText"/>
        <w:rPr>
          <w:kern w:val="16"/>
        </w:rPr>
      </w:pPr>
      <w:r>
        <w:rPr>
          <w:rStyle w:val="EndnoteReference"/>
        </w:rPr>
        <w:endnoteRef/>
      </w:r>
      <w:r>
        <w:t xml:space="preserve">  </w:t>
      </w:r>
      <w:r>
        <w:rPr>
          <w:kern w:val="16"/>
        </w:rPr>
        <w:t>Article 9, introductory paragraph:  The right to strike is ensured, its being up to the workers to decide on the opportunity to apply it and on the interests that they should defend through it.</w:t>
      </w:r>
    </w:p>
    <w:p w:rsidR="00000000" w:rsidRDefault="00000000">
      <w:pPr>
        <w:pStyle w:val="EndnoteText"/>
      </w:pPr>
    </w:p>
  </w:endnote>
  <w:endnote w:id="10">
    <w:p w:rsidR="00000000" w:rsidRDefault="00000000">
      <w:pPr>
        <w:pStyle w:val="BodyText"/>
      </w:pPr>
      <w:r>
        <w:rPr>
          <w:rStyle w:val="EndnoteReference"/>
        </w:rPr>
        <w:endnoteRef/>
      </w:r>
      <w:r>
        <w:t xml:space="preserve">  Article 10 of Law No. 7783, dated 28 June 1989:</w:t>
      </w:r>
    </w:p>
    <w:p w:rsidR="00000000" w:rsidRDefault="00000000"/>
    <w:p w:rsidR="00000000" w:rsidRDefault="00000000">
      <w:pPr>
        <w:tabs>
          <w:tab w:val="right" w:pos="1418"/>
          <w:tab w:val="left" w:pos="1560"/>
        </w:tabs>
        <w:ind w:left="1560" w:hanging="840"/>
      </w:pPr>
      <w:r>
        <w:tab/>
        <w:t>I.</w:t>
      </w:r>
      <w:r>
        <w:tab/>
        <w:t xml:space="preserve">Water treatment and supply; production and distribution of electricity, gas and fuel; </w:t>
      </w:r>
    </w:p>
    <w:p w:rsidR="00000000" w:rsidRDefault="00000000">
      <w:pPr>
        <w:tabs>
          <w:tab w:val="right" w:pos="1418"/>
          <w:tab w:val="left" w:pos="1560"/>
        </w:tabs>
        <w:ind w:left="1701" w:hanging="981"/>
      </w:pPr>
    </w:p>
    <w:p w:rsidR="00000000" w:rsidRDefault="00000000">
      <w:pPr>
        <w:tabs>
          <w:tab w:val="right" w:pos="1418"/>
          <w:tab w:val="left" w:pos="1560"/>
        </w:tabs>
        <w:ind w:left="1701" w:hanging="981"/>
      </w:pPr>
      <w:r>
        <w:tab/>
        <w:t>II.</w:t>
      </w:r>
      <w:r>
        <w:tab/>
        <w:t>Hospital medical care;</w:t>
      </w:r>
    </w:p>
    <w:p w:rsidR="00000000" w:rsidRDefault="00000000">
      <w:pPr>
        <w:tabs>
          <w:tab w:val="right" w:pos="1418"/>
          <w:tab w:val="left" w:pos="1560"/>
        </w:tabs>
        <w:ind w:left="1701" w:hanging="981"/>
      </w:pPr>
    </w:p>
    <w:p w:rsidR="00000000" w:rsidRDefault="00000000">
      <w:pPr>
        <w:tabs>
          <w:tab w:val="right" w:pos="1418"/>
          <w:tab w:val="left" w:pos="1560"/>
        </w:tabs>
        <w:ind w:left="1701" w:hanging="981"/>
      </w:pPr>
      <w:r>
        <w:tab/>
        <w:t>III.</w:t>
      </w:r>
      <w:r>
        <w:tab/>
        <w:t>Distribution and retailing of medicaments and food;</w:t>
      </w:r>
    </w:p>
    <w:p w:rsidR="00000000" w:rsidRDefault="00000000">
      <w:pPr>
        <w:tabs>
          <w:tab w:val="right" w:pos="1418"/>
          <w:tab w:val="left" w:pos="1560"/>
        </w:tabs>
        <w:ind w:left="1701" w:hanging="981"/>
      </w:pPr>
    </w:p>
    <w:p w:rsidR="00000000" w:rsidRDefault="00000000">
      <w:pPr>
        <w:tabs>
          <w:tab w:val="right" w:pos="1418"/>
          <w:tab w:val="left" w:pos="1560"/>
        </w:tabs>
        <w:ind w:left="1701" w:hanging="981"/>
      </w:pPr>
      <w:r>
        <w:tab/>
        <w:t>IV.</w:t>
      </w:r>
      <w:r>
        <w:tab/>
        <w:t>Funeral homes;</w:t>
      </w:r>
    </w:p>
    <w:p w:rsidR="00000000" w:rsidRDefault="00000000">
      <w:pPr>
        <w:tabs>
          <w:tab w:val="right" w:pos="1418"/>
          <w:tab w:val="left" w:pos="1560"/>
        </w:tabs>
        <w:ind w:left="1701" w:hanging="981"/>
      </w:pPr>
    </w:p>
    <w:p w:rsidR="00000000" w:rsidRDefault="00000000">
      <w:pPr>
        <w:tabs>
          <w:tab w:val="right" w:pos="1418"/>
          <w:tab w:val="left" w:pos="1560"/>
        </w:tabs>
        <w:ind w:left="1701" w:hanging="981"/>
      </w:pPr>
      <w:r>
        <w:tab/>
        <w:t>V.</w:t>
      </w:r>
      <w:r>
        <w:tab/>
        <w:t>Public transportation;</w:t>
      </w:r>
    </w:p>
    <w:p w:rsidR="00000000" w:rsidRDefault="00000000">
      <w:pPr>
        <w:tabs>
          <w:tab w:val="right" w:pos="1418"/>
          <w:tab w:val="left" w:pos="1560"/>
        </w:tabs>
        <w:ind w:left="1701" w:hanging="981"/>
      </w:pPr>
    </w:p>
    <w:p w:rsidR="00000000" w:rsidRDefault="00000000">
      <w:pPr>
        <w:tabs>
          <w:tab w:val="right" w:pos="1418"/>
          <w:tab w:val="left" w:pos="1560"/>
        </w:tabs>
        <w:ind w:left="1701" w:hanging="981"/>
      </w:pPr>
      <w:r>
        <w:tab/>
        <w:t>VI.</w:t>
      </w:r>
      <w:r>
        <w:tab/>
        <w:t>Sewage and garbage collection and treatment;</w:t>
      </w:r>
    </w:p>
    <w:p w:rsidR="00000000" w:rsidRDefault="00000000">
      <w:pPr>
        <w:tabs>
          <w:tab w:val="right" w:pos="1418"/>
          <w:tab w:val="left" w:pos="1560"/>
        </w:tabs>
        <w:ind w:left="1701" w:hanging="981"/>
      </w:pPr>
    </w:p>
    <w:p w:rsidR="00000000" w:rsidRDefault="00000000">
      <w:pPr>
        <w:tabs>
          <w:tab w:val="right" w:pos="1418"/>
          <w:tab w:val="left" w:pos="1560"/>
        </w:tabs>
        <w:ind w:left="1701" w:hanging="981"/>
      </w:pPr>
      <w:r>
        <w:tab/>
        <w:t>VII.</w:t>
      </w:r>
      <w:r>
        <w:tab/>
        <w:t>Telecommunications;</w:t>
      </w:r>
    </w:p>
    <w:p w:rsidR="00000000" w:rsidRDefault="00000000">
      <w:pPr>
        <w:tabs>
          <w:tab w:val="right" w:pos="1418"/>
          <w:tab w:val="left" w:pos="1560"/>
        </w:tabs>
        <w:ind w:left="1701" w:hanging="981"/>
      </w:pPr>
    </w:p>
    <w:p w:rsidR="00000000" w:rsidRDefault="00000000">
      <w:pPr>
        <w:tabs>
          <w:tab w:val="right" w:pos="1418"/>
          <w:tab w:val="left" w:pos="1560"/>
        </w:tabs>
        <w:ind w:left="1560" w:hanging="840"/>
      </w:pPr>
      <w:r>
        <w:tab/>
        <w:t>VIII.</w:t>
      </w:r>
      <w:r>
        <w:tab/>
        <w:t>Storage, use and control of radioactive substances, nuclear equipment and material;</w:t>
      </w:r>
    </w:p>
    <w:p w:rsidR="00000000" w:rsidRDefault="00000000">
      <w:pPr>
        <w:tabs>
          <w:tab w:val="right" w:pos="1418"/>
          <w:tab w:val="left" w:pos="1560"/>
        </w:tabs>
        <w:ind w:left="1701" w:hanging="981"/>
      </w:pPr>
    </w:p>
    <w:p w:rsidR="00000000" w:rsidRDefault="00000000">
      <w:pPr>
        <w:tabs>
          <w:tab w:val="right" w:pos="1418"/>
          <w:tab w:val="left" w:pos="1560"/>
        </w:tabs>
        <w:ind w:left="1701" w:hanging="981"/>
      </w:pPr>
      <w:r>
        <w:tab/>
        <w:t>IX.</w:t>
      </w:r>
      <w:r>
        <w:tab/>
        <w:t>Data processing relating to essential services;</w:t>
      </w:r>
    </w:p>
    <w:p w:rsidR="00000000" w:rsidRDefault="00000000">
      <w:pPr>
        <w:tabs>
          <w:tab w:val="right" w:pos="1418"/>
          <w:tab w:val="left" w:pos="1560"/>
        </w:tabs>
        <w:ind w:left="1701" w:hanging="981"/>
      </w:pPr>
    </w:p>
    <w:p w:rsidR="00000000" w:rsidRDefault="00000000">
      <w:pPr>
        <w:tabs>
          <w:tab w:val="right" w:pos="1418"/>
          <w:tab w:val="left" w:pos="1560"/>
        </w:tabs>
        <w:ind w:left="1701" w:hanging="981"/>
      </w:pPr>
      <w:r>
        <w:tab/>
        <w:t>X.</w:t>
      </w:r>
      <w:r>
        <w:tab/>
        <w:t>Air traffic control;</w:t>
      </w:r>
    </w:p>
    <w:p w:rsidR="00000000" w:rsidRDefault="00000000">
      <w:pPr>
        <w:tabs>
          <w:tab w:val="right" w:pos="1418"/>
          <w:tab w:val="left" w:pos="1560"/>
        </w:tabs>
        <w:ind w:left="1701" w:hanging="981"/>
      </w:pPr>
    </w:p>
    <w:p w:rsidR="00000000" w:rsidRDefault="00000000">
      <w:pPr>
        <w:tabs>
          <w:tab w:val="right" w:pos="1418"/>
          <w:tab w:val="left" w:pos="1560"/>
          <w:tab w:val="left" w:pos="1701"/>
        </w:tabs>
        <w:ind w:left="1701" w:hanging="981"/>
      </w:pPr>
      <w:r>
        <w:tab/>
        <w:t>XI.</w:t>
      </w:r>
      <w:r>
        <w:tab/>
        <w:t>Bank clearance.</w:t>
      </w:r>
    </w:p>
    <w:p w:rsidR="00000000" w:rsidRDefault="00000000">
      <w:pPr>
        <w:tabs>
          <w:tab w:val="right" w:pos="1418"/>
          <w:tab w:val="left" w:pos="1701"/>
        </w:tabs>
        <w:ind w:left="1701" w:hanging="981"/>
      </w:pPr>
    </w:p>
  </w:endnote>
  <w:endnote w:id="11">
    <w:p w:rsidR="00000000" w:rsidRDefault="00000000">
      <w:pPr>
        <w:pStyle w:val="BodyText"/>
      </w:pPr>
      <w:r>
        <w:rPr>
          <w:rStyle w:val="EndnoteReference"/>
        </w:rPr>
        <w:endnoteRef/>
      </w:r>
      <w:r>
        <w:t xml:space="preserve">  Part of the statistics that are used to investigate problems relating to the theory and calculation of insurance in a collective.</w:t>
      </w:r>
    </w:p>
    <w:p w:rsidR="00000000" w:rsidRDefault="00000000">
      <w:pPr>
        <w:pStyle w:val="EndnoteText"/>
      </w:pPr>
    </w:p>
  </w:endnote>
  <w:endnote w:id="12">
    <w:p w:rsidR="00000000" w:rsidRDefault="00000000">
      <w:pPr>
        <w:pStyle w:val="EndnoteText"/>
      </w:pPr>
      <w:r>
        <w:rPr>
          <w:rStyle w:val="EndnoteReference"/>
        </w:rPr>
        <w:endnoteRef/>
      </w:r>
      <w:r>
        <w:t xml:space="preserve">  It is, however, worth mentioning that life expectancy at birth alone cannot be considered, since this indicator is heavily influenced by infant mortality which is still very high in Brazil.  The analysis must be complemented, as will be seen in the text, by the indicator of additional life expectancy or survival at more advanced ages.</w:t>
      </w:r>
    </w:p>
    <w:p w:rsidR="00000000" w:rsidRDefault="00000000">
      <w:pPr>
        <w:pStyle w:val="EndnoteText"/>
      </w:pPr>
    </w:p>
  </w:endnote>
  <w:endnote w:id="13">
    <w:p w:rsidR="00000000" w:rsidRDefault="00000000">
      <w:pPr>
        <w:pStyle w:val="EndnoteText"/>
      </w:pPr>
      <w:r>
        <w:rPr>
          <w:rStyle w:val="EndnoteReference"/>
        </w:rPr>
        <w:endnoteRef/>
      </w:r>
      <w:r>
        <w:t xml:space="preserve">  The category of random workers includes stevedores, and the special beneficiary category includes rural producers, sharecroppers, rural partners and tenant farmers, and artisan fishermen who work in a family business system (Decree 3048/99).</w:t>
      </w:r>
    </w:p>
    <w:p w:rsidR="00000000" w:rsidRDefault="00000000">
      <w:pPr>
        <w:pStyle w:val="EndnoteText"/>
      </w:pPr>
    </w:p>
  </w:endnote>
  <w:endnote w:id="14">
    <w:p w:rsidR="00000000" w:rsidRDefault="00000000">
      <w:pPr>
        <w:pStyle w:val="EndnoteText"/>
      </w:pPr>
      <w:r>
        <w:rPr>
          <w:rStyle w:val="EndnoteReference"/>
        </w:rPr>
        <w:endnoteRef/>
      </w:r>
      <w:r>
        <w:t xml:space="preserve">  The ratio of outlay for benefits to GDP takes into account payment of all social security and welfare benefits paid by the INSS.</w:t>
      </w:r>
    </w:p>
    <w:p w:rsidR="00000000" w:rsidRDefault="00000000">
      <w:pPr>
        <w:pStyle w:val="EndnoteText"/>
      </w:pPr>
    </w:p>
  </w:endnote>
  <w:endnote w:id="15">
    <w:p w:rsidR="00000000" w:rsidRDefault="00000000">
      <w:pPr>
        <w:pStyle w:val="EndnoteText"/>
      </w:pPr>
      <w:r>
        <w:rPr>
          <w:rStyle w:val="EndnoteReference"/>
        </w:rPr>
        <w:endnoteRef/>
      </w:r>
      <w:r>
        <w:t xml:space="preserve">  With reservation to article 29.</w:t>
      </w:r>
    </w:p>
    <w:p w:rsidR="00000000" w:rsidRDefault="00000000">
      <w:pPr>
        <w:pStyle w:val="EndnoteText"/>
      </w:pPr>
    </w:p>
  </w:endnote>
  <w:endnote w:id="16">
    <w:p w:rsidR="00000000" w:rsidRDefault="00000000">
      <w:pPr>
        <w:pStyle w:val="EndnoteText"/>
      </w:pPr>
      <w:r>
        <w:rPr>
          <w:rStyle w:val="EndnoteReference"/>
        </w:rPr>
        <w:endnoteRef/>
      </w:r>
      <w:r>
        <w:t xml:space="preserve">  The literature on the determinants of child participation in the work force point to five major circumstances:  (1) the participation of children in the work force - understood as the proportion of minors of a given age who are employed or seeking employment in relation to the total number of children in the same age bracket - increases with age and is greater among boys than among girls; (2) this participation is greater among blacks or mulattos; (3) the participation of children declines with the income level of their family; (4) the rate of participation of minors is higher in rural areas than in urban settings; (5) finally, in the case of Brazil’s urban metropolitan areas, participation rates are higher in the south and the south-west than in the north and the north-east.</w:t>
      </w:r>
    </w:p>
  </w:endnote>
  <w:endnote w:id="17">
    <w:p w:rsidR="00000000" w:rsidRDefault="00000000">
      <w:pPr>
        <w:pStyle w:val="EndnoteText"/>
      </w:pPr>
    </w:p>
    <w:p w:rsidR="00000000" w:rsidRDefault="00000000">
      <w:pPr>
        <w:pStyle w:val="EndnoteText"/>
      </w:pPr>
      <w:r>
        <w:rPr>
          <w:rStyle w:val="EndnoteReference"/>
        </w:rPr>
        <w:endnoteRef/>
      </w:r>
      <w:r>
        <w:t xml:space="preserve">  The study does not cover the northern region.</w:t>
      </w:r>
    </w:p>
  </w:endnote>
  <w:endnote w:id="18">
    <w:p w:rsidR="00000000" w:rsidRDefault="00000000">
      <w:pPr>
        <w:rPr>
          <w:b/>
        </w:rPr>
      </w:pPr>
    </w:p>
    <w:p w:rsidR="00000000" w:rsidRDefault="00000000">
      <w:r>
        <w:rPr>
          <w:rStyle w:val="EndnoteReference"/>
          <w:bCs/>
        </w:rPr>
        <w:endnoteRef/>
      </w:r>
      <w:r>
        <w:rPr>
          <w:b/>
        </w:rPr>
        <w:t xml:space="preserve">  </w:t>
      </w:r>
      <w:r>
        <w:t>The issue of classification by race in Brazil deserves careful attention, as it hides prejudices and most often falsifies the portrayal of our national reality.  A more complex, detailed data</w:t>
      </w:r>
      <w:r>
        <w:noBreakHyphen/>
        <w:t>collection and statistical-analysis system is being developed which will allow a more realistic diagnosis.  Figures related to race in Brazil are also important for combating racism and racial discrimination.</w:t>
      </w:r>
    </w:p>
    <w:p w:rsidR="00000000" w:rsidRDefault="00000000">
      <w:pPr>
        <w:pStyle w:val="EndnoteText"/>
        <w:jc w:val="both"/>
        <w:rPr>
          <w:sz w:val="16"/>
        </w:rPr>
      </w:pPr>
    </w:p>
  </w:endnote>
  <w:endnote w:id="19">
    <w:p w:rsidR="00000000" w:rsidRDefault="00000000">
      <w:pPr>
        <w:pStyle w:val="EndnoteText"/>
        <w:jc w:val="both"/>
        <w:rPr>
          <w:b/>
        </w:rPr>
      </w:pPr>
      <w:r>
        <w:rPr>
          <w:rStyle w:val="EndnoteReference"/>
          <w:bCs/>
        </w:rPr>
        <w:endnoteRef/>
      </w:r>
      <w:r>
        <w:rPr>
          <w:b/>
        </w:rPr>
        <w:t xml:space="preserve">  </w:t>
      </w:r>
      <w:r>
        <w:t>G.T. No. 4.  National Housing Policy - SEDUPR.</w:t>
      </w:r>
    </w:p>
    <w:p w:rsidR="00000000" w:rsidRDefault="00000000">
      <w:pPr>
        <w:pStyle w:val="EndnoteText"/>
        <w:jc w:val="both"/>
        <w:rPr>
          <w:b/>
        </w:rPr>
      </w:pPr>
    </w:p>
  </w:endnote>
  <w:endnote w:id="20">
    <w:p w:rsidR="00000000" w:rsidRDefault="00000000">
      <w:pPr>
        <w:pStyle w:val="EndnoteText"/>
      </w:pPr>
      <w:r>
        <w:rPr>
          <w:rStyle w:val="EndnoteReference"/>
        </w:rPr>
        <w:endnoteRef/>
      </w:r>
      <w:r>
        <w:t xml:space="preserve">  Examples taken from the study “Management of Land Use and Urban Grown Disjunctures”, IPED, 1998.</w:t>
      </w:r>
    </w:p>
    <w:p w:rsidR="00000000" w:rsidRDefault="00000000">
      <w:pPr>
        <w:pStyle w:val="EndnoteText"/>
      </w:pPr>
    </w:p>
  </w:endnote>
  <w:endnote w:id="21">
    <w:p w:rsidR="00000000" w:rsidRDefault="00000000">
      <w:pPr>
        <w:pStyle w:val="EndnoteText"/>
      </w:pPr>
      <w:r>
        <w:rPr>
          <w:rStyle w:val="EndnoteReference"/>
        </w:rPr>
        <w:endnoteRef/>
      </w:r>
      <w:r>
        <w:t xml:space="preserve">  Estimate based on data from the 1998 National Household Sampling Survey (PNAD/IBGE).  It should be stressed that this survey did not collect information on rural areas of Rondônia, Acre, Amazonas, Roraima, Pará and Amapá States</w:t>
      </w:r>
      <w:r>
        <w:rPr>
          <w:spacing w:val="20"/>
          <w:kern w:val="16"/>
          <w:sz w:val="16"/>
        </w:rPr>
        <w:t>.</w:t>
      </w:r>
    </w:p>
    <w:p w:rsidR="00000000" w:rsidRDefault="00000000">
      <w:pPr>
        <w:pStyle w:val="EndnoteText"/>
      </w:pPr>
    </w:p>
  </w:endnote>
  <w:endnote w:id="22">
    <w:p w:rsidR="00000000" w:rsidRDefault="00000000">
      <w:pPr>
        <w:pStyle w:val="EndnoteText"/>
      </w:pPr>
      <w:r>
        <w:rPr>
          <w:rStyle w:val="EndnoteReference"/>
        </w:rPr>
        <w:endnoteRef/>
      </w:r>
      <w:r>
        <w:t xml:space="preserve">  The data from the 1998 National Household Sampling Survey (PNAD) show that the illiteracy rate for the population aged 15-19 years was 4.8 per cent, rising to 6.2 per cent among young people aged 20-24 years, 7.7 per cent for those aged 25-29 years, 10.1 per cent for the 30-39 year group and 14.0 per cent for those aged 40-49 years, reaching 29.9 per cent for the population aged 50 years or more.</w:t>
      </w:r>
    </w:p>
  </w:endnote>
  <w:endnote w:id="23">
    <w:p w:rsidR="00000000" w:rsidRDefault="00000000">
      <w:pPr>
        <w:pStyle w:val="EndnoteText"/>
        <w:jc w:val="both"/>
      </w:pPr>
    </w:p>
    <w:p w:rsidR="00000000" w:rsidRDefault="00000000">
      <w:pPr>
        <w:rPr>
          <w:kern w:val="16"/>
        </w:rPr>
      </w:pPr>
      <w:r>
        <w:rPr>
          <w:rStyle w:val="EndnoteReference"/>
        </w:rPr>
        <w:endnoteRef/>
      </w:r>
      <w:r>
        <w:t xml:space="preserve">  </w:t>
      </w:r>
      <w:r>
        <w:rPr>
          <w:kern w:val="16"/>
        </w:rPr>
        <w:t>From 1970 to 1998, the illiteracy rate for the population aged 15 years or more dropped 58.9 per cent.  The reduction among young people aged 15-19 years was 80.2 per cent and 76.6 per cent among those aged 20-24 years, while for the group aged 40-49 years it fell 63.6 per cent, shrinking to 38.2 per cent among those aged 50 years or more.</w:t>
      </w:r>
    </w:p>
    <w:p w:rsidR="00000000" w:rsidRDefault="00000000"/>
  </w:endnote>
  <w:endnote w:id="24">
    <w:p w:rsidR="00000000" w:rsidRDefault="00000000">
      <w:pPr>
        <w:rPr>
          <w:kern w:val="16"/>
        </w:rPr>
      </w:pPr>
      <w:r>
        <w:rPr>
          <w:rStyle w:val="EndnoteReference"/>
        </w:rPr>
        <w:endnoteRef/>
      </w:r>
      <w:r>
        <w:t xml:space="preserve">  </w:t>
      </w:r>
      <w:r>
        <w:rPr>
          <w:kern w:val="16"/>
        </w:rPr>
        <w:t>According to the forecast prepared by the Applied Economic Research Institute (IPEA) on the basis of the 1991 Census.</w:t>
      </w:r>
    </w:p>
    <w:p w:rsidR="00000000" w:rsidRDefault="00000000"/>
  </w:endnote>
  <w:endnote w:id="25">
    <w:p w:rsidR="00000000" w:rsidRDefault="00000000">
      <w:pPr>
        <w:rPr>
          <w:kern w:val="16"/>
        </w:rPr>
      </w:pPr>
      <w:r>
        <w:rPr>
          <w:rStyle w:val="EndnoteReference"/>
        </w:rPr>
        <w:endnoteRef/>
      </w:r>
      <w:r>
        <w:t xml:space="preserve">  </w:t>
      </w:r>
      <w:r>
        <w:rPr>
          <w:kern w:val="16"/>
        </w:rPr>
        <w:t>Cf. data from the Higher Education Census by the Ministry of Education and Culture.</w:t>
      </w:r>
    </w:p>
    <w:p w:rsidR="00000000" w:rsidRDefault="00000000"/>
  </w:endnote>
  <w:endnote w:id="26">
    <w:p w:rsidR="00000000" w:rsidRDefault="00000000">
      <w:r>
        <w:rPr>
          <w:rStyle w:val="EndnoteReference"/>
        </w:rPr>
        <w:endnoteRef/>
      </w:r>
      <w:r>
        <w:t xml:space="preserve">  </w:t>
      </w:r>
      <w:r>
        <w:rPr>
          <w:kern w:val="16"/>
        </w:rPr>
        <w:t>In addition to measures designed to cover other welfare requirements (school meals, school buses, school health care, etc.), others are intended to upgrade teaching conditions, such as: (i) book distribution, educational materials and equipment; (ii) redefining curricula; (iii) changing management processes; and others.</w:t>
      </w:r>
    </w:p>
  </w:endnote>
  <w:endnote w:id="27">
    <w:p w:rsidR="00000000" w:rsidRDefault="00000000">
      <w:pPr>
        <w:rPr>
          <w:kern w:val="16"/>
        </w:rPr>
      </w:pPr>
      <w:r>
        <w:rPr>
          <w:rStyle w:val="EndnoteReference"/>
        </w:rPr>
        <w:endnoteRef/>
      </w:r>
      <w:r>
        <w:t xml:space="preserve">  </w:t>
      </w:r>
      <w:r>
        <w:rPr>
          <w:kern w:val="16"/>
        </w:rPr>
        <w:t>Analysing expenditures in this field and taking the performance of Brazil’s GDP into consideration, outlays in this area corresponded to around 4.3 per cent of GDP in 1995.  Comparing this result with other countries in Latin America, Fernandez et al show that although Brazil posted the highest share of welfare costs x GDP in Latin America in the field of education, it nevertheless ranks sixth, behind Costa Rica (5.4 per cent), Panama (4.9 per cent), Ecuador (4.6 per cent), Mexico (4.5 per cent) and Bolivia (4.4 per cent).</w:t>
      </w:r>
    </w:p>
    <w:p w:rsidR="00000000" w:rsidRDefault="00000000"/>
  </w:endnote>
  <w:endnote w:id="28">
    <w:p w:rsidR="00000000" w:rsidRDefault="00000000">
      <w:pPr>
        <w:rPr>
          <w:kern w:val="16"/>
        </w:rPr>
      </w:pPr>
      <w:r>
        <w:rPr>
          <w:rStyle w:val="EndnoteReference"/>
        </w:rPr>
        <w:endnoteRef/>
      </w:r>
      <w:r>
        <w:t xml:space="preserve">  </w:t>
      </w:r>
      <w:r>
        <w:rPr>
          <w:kern w:val="16"/>
        </w:rPr>
        <w:t>Brazil is a Federative Republic consisting of the indissoluble Union of the states, municipal districts and the Federal District (DF).  Its 1988 Constitution states that the Federal Government, the states, the Federal District and the municipal districts will work together to organize their educational systems and assign specific spheres of competence to the various levels of government in terms of these systems.  The responsibility for government education is consequently shared as follows, on a non-exclusive priority basis:  early childhood education is assigned to the municipal districts; basic education goes to the states, the Federal District and the municipal districts; high school to the states and the Federal District; higher education to the Federal Government and the states.</w:t>
      </w:r>
    </w:p>
    <w:p w:rsidR="00000000" w:rsidRDefault="00000000"/>
  </w:endnote>
  <w:endnote w:id="29">
    <w:p w:rsidR="00000000" w:rsidRDefault="00000000">
      <w:pPr>
        <w:rPr>
          <w:kern w:val="16"/>
        </w:rPr>
      </w:pPr>
      <w:r>
        <w:rPr>
          <w:rStyle w:val="EndnoteReference"/>
        </w:rPr>
        <w:endnoteRef/>
      </w:r>
      <w:r>
        <w:t xml:space="preserve">  </w:t>
      </w:r>
      <w:r>
        <w:rPr>
          <w:kern w:val="16"/>
        </w:rPr>
        <w:t>The Federal Government is responsible for:  coordinating the preparation of national plans, rendering technical and financial assistance to the states, the DF and the municipal districts for the development of their education systems, with top priority to mandatory schooling.  Furthermore, the Ministry of Education and Sports maintains a federal network of establishments that includes universities, stand-alone institutions providing higher education, technical schools, agricultural colleges and technological education centres, while also supervising the private higher education network.</w:t>
      </w:r>
    </w:p>
    <w:p w:rsidR="00000000" w:rsidRDefault="00000000"/>
  </w:endnote>
  <w:endnote w:id="30">
    <w:p w:rsidR="00000000" w:rsidRDefault="00000000">
      <w:pPr>
        <w:pStyle w:val="EndnoteText"/>
      </w:pPr>
      <w:r>
        <w:rPr>
          <w:rStyle w:val="EndnoteReference"/>
        </w:rPr>
        <w:endnoteRef/>
      </w:r>
      <w:r>
        <w:t xml:space="preserve">  </w:t>
      </w:r>
      <w:r>
        <w:rPr>
          <w:kern w:val="16"/>
        </w:rPr>
        <w:t>The federal education network services 110,000 students and consists of 43 agricultural colleges located mainly in rural areas, 19 technical schools located mainly in major state capitals that service the industrial and service sectors, and 36 decentralized education units that are subordinate to them.</w:t>
      </w:r>
    </w:p>
    <w:p w:rsidR="00000000" w:rsidRDefault="00000000">
      <w:pPr>
        <w:pStyle w:val="EndnoteText"/>
      </w:pPr>
    </w:p>
  </w:endnote>
  <w:endnote w:id="31">
    <w:p w:rsidR="00000000" w:rsidRDefault="00000000">
      <w:pPr>
        <w:pStyle w:val="EndnoteText"/>
        <w:rPr>
          <w:kern w:val="16"/>
        </w:rPr>
      </w:pPr>
      <w:r>
        <w:rPr>
          <w:rStyle w:val="EndnoteReference"/>
        </w:rPr>
        <w:endnoteRef/>
      </w:r>
      <w:r>
        <w:t xml:space="preserve">  Report of Civil Society on</w:t>
      </w:r>
      <w:r>
        <w:rPr>
          <w:kern w:val="16"/>
        </w:rPr>
        <w:t xml:space="preserve"> Compliance by </w:t>
      </w:r>
      <w:r>
        <w:rPr>
          <w:kern w:val="20"/>
        </w:rPr>
        <w:t>Brazil</w:t>
      </w:r>
      <w:r>
        <w:rPr>
          <w:kern w:val="16"/>
        </w:rPr>
        <w:t xml:space="preserve"> with the International Covenant on Economic, Social and Cultur</w:t>
      </w:r>
      <w:r>
        <w:t xml:space="preserve">al Rights </w:t>
      </w:r>
      <w:r>
        <w:rPr>
          <w:kern w:val="16"/>
        </w:rPr>
        <w:t>(</w:t>
      </w:r>
      <w:r>
        <w:rPr>
          <w:kern w:val="16"/>
          <w:u w:val="single"/>
        </w:rPr>
        <w:t>Relatório</w:t>
      </w:r>
      <w:r>
        <w:rPr>
          <w:kern w:val="16"/>
          <w:u w:val="single"/>
          <w:lang w:val="pt-BR"/>
        </w:rPr>
        <w:t xml:space="preserve"> da Sociedade Civil sobre o Cumprimento, pelo Brasil, do Pacto </w:t>
      </w:r>
      <w:r>
        <w:rPr>
          <w:kern w:val="16"/>
          <w:u w:val="single"/>
        </w:rPr>
        <w:t>Internacional</w:t>
      </w:r>
      <w:r>
        <w:rPr>
          <w:kern w:val="16"/>
          <w:u w:val="single"/>
          <w:lang w:val="pt-BR"/>
        </w:rPr>
        <w:t xml:space="preserve"> de Direitos Econômicos</w:t>
      </w:r>
      <w:r>
        <w:rPr>
          <w:kern w:val="16"/>
          <w:lang w:val="pt-BR"/>
        </w:rPr>
        <w:t xml:space="preserve">, </w:t>
      </w:r>
      <w:r>
        <w:rPr>
          <w:kern w:val="16"/>
          <w:u w:val="single"/>
          <w:lang w:val="pt-BR"/>
        </w:rPr>
        <w:t>Sociais e Culturais</w:t>
      </w:r>
      <w:r>
        <w:rPr>
          <w:kern w:val="16"/>
          <w:lang w:val="pt-BR"/>
        </w:rPr>
        <w:t>)</w:t>
      </w:r>
      <w:r>
        <w:rPr>
          <w:kern w:val="16"/>
        </w:rPr>
        <w:t>, pp. 121 and following.</w:t>
      </w:r>
    </w:p>
    <w:p w:rsidR="00000000" w:rsidRDefault="00000000">
      <w:pPr>
        <w:pStyle w:val="EndnoteText"/>
      </w:pPr>
    </w:p>
  </w:endnote>
  <w:endnote w:id="32">
    <w:p w:rsidR="00000000" w:rsidRDefault="00000000">
      <w:pPr>
        <w:rPr>
          <w:kern w:val="16"/>
        </w:rPr>
      </w:pPr>
      <w:r>
        <w:rPr>
          <w:rStyle w:val="EndnoteReference"/>
          <w:bCs/>
        </w:rPr>
        <w:endnoteRef/>
      </w:r>
      <w:r>
        <w:rPr>
          <w:b/>
        </w:rPr>
        <w:t xml:space="preserve">  </w:t>
      </w:r>
      <w:r>
        <w:rPr>
          <w:kern w:val="16"/>
        </w:rPr>
        <w:t>Areas where runaway slaves sought refuge.</w:t>
      </w:r>
    </w:p>
    <w:p w:rsidR="00000000" w:rsidRDefault="00000000">
      <w:pPr>
        <w:rPr>
          <w:b/>
        </w:rPr>
      </w:pPr>
    </w:p>
  </w:endnote>
  <w:endnote w:id="33">
    <w:p w:rsidR="00000000" w:rsidRDefault="00000000">
      <w:pPr>
        <w:rPr>
          <w:kern w:val="16"/>
        </w:rPr>
      </w:pPr>
      <w:r>
        <w:rPr>
          <w:rStyle w:val="EndnoteReference"/>
        </w:rPr>
        <w:endnoteRef/>
      </w:r>
      <w:r>
        <w:t xml:space="preserve">  </w:t>
      </w:r>
      <w:r>
        <w:rPr>
          <w:kern w:val="16"/>
        </w:rPr>
        <w:t>This includes relatively large towns such as Porto Seguro, as well as smaller towns such as Arraial D’Ajuda, Trancoso and Cabrália.</w:t>
      </w:r>
    </w:p>
    <w:p w:rsidR="00000000" w:rsidRDefault="00000000"/>
  </w:endnote>
  <w:endnote w:id="34">
    <w:p w:rsidR="00000000" w:rsidRDefault="00000000">
      <w:pPr>
        <w:pStyle w:val="EndnoteText"/>
      </w:pPr>
      <w:r>
        <w:rPr>
          <w:rStyle w:val="EndnoteReference"/>
        </w:rPr>
        <w:endnoteRef/>
      </w:r>
      <w:r>
        <w:t xml:space="preserve">  From the standpoint of the “family group”, the disabled and their families could well include some 60 million people.  Once again, it is important to stress the fact that the National Census currently under way includes for the first time a methodology allowing more accurate assessments.</w:t>
      </w:r>
    </w:p>
    <w:p w:rsidR="00000000" w:rsidRDefault="00000000">
      <w:pPr>
        <w:pStyle w:val="EndnoteText"/>
      </w:pP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onotype Sorts">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Plantin OUP">
    <w:altName w:val="Symbol"/>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r>
        <w:rPr>
          <w:rStyle w:val="FootnoteReference"/>
          <w:b w:val="0"/>
          <w:bCs/>
          <w:vertAlign w:val="baseline"/>
        </w:rPr>
        <w:t>*</w:t>
      </w:r>
      <w:r>
        <w:t xml:space="preserve">  The information submitted by Brazil in accordance with the guidelines concerning the initial part of reports of States parties is contained in the core document (HRI/CORE/1/Add.53).</w:t>
      </w:r>
    </w:p>
    <w:p w:rsidR="00000000" w:rsidRDefault="00000000"/>
    <w:p w:rsidR="00000000" w:rsidRDefault="00000000"/>
    <w:p w:rsidR="00000000" w:rsidRDefault="00000000">
      <w:r>
        <w:t>GE.01-46156  (E)    130302</w:t>
      </w:r>
    </w:p>
    <w:p w:rsidR="00000000" w:rsidRDefault="00000000">
      <w:pPr>
        <w:pStyle w:val="FootnoteText"/>
      </w:pPr>
    </w:p>
  </w:footnote>
  <w:footnote w:id="2">
    <w:p w:rsidR="00000000" w:rsidRDefault="00000000">
      <w:r>
        <w:rPr>
          <w:rStyle w:val="FootnoteReference"/>
          <w:b w:val="0"/>
          <w:bCs/>
          <w:vertAlign w:val="baseline"/>
        </w:rPr>
        <w:t>*</w:t>
      </w:r>
      <w:r>
        <w:t xml:space="preserve">  The data in chart 5 are different from those in chart 1, because the first chart comprises the entire country whereas the latter chart covers metropolitan regions only.</w:t>
      </w:r>
    </w:p>
    <w:p w:rsidR="00000000" w:rsidRDefault="00000000"/>
  </w:footnote>
  <w:footnote w:id="3">
    <w:p w:rsidR="00000000" w:rsidRDefault="00000000">
      <w:pPr>
        <w:pStyle w:val="FootnoteText"/>
        <w:tabs>
          <w:tab w:val="clear" w:pos="1418"/>
        </w:tabs>
        <w:ind w:left="0" w:firstLine="0"/>
        <w:rPr>
          <w:color w:val="auto"/>
          <w:spacing w:val="0"/>
          <w:kern w:val="0"/>
        </w:rPr>
      </w:pPr>
      <w:r>
        <w:rPr>
          <w:rStyle w:val="FootnoteReference"/>
          <w:b w:val="0"/>
          <w:bCs/>
          <w:vertAlign w:val="baseline"/>
        </w:rPr>
        <w:sym w:font="Plantin OUP" w:char="F02A"/>
      </w:r>
      <w:r>
        <w:t xml:space="preserve">  </w:t>
      </w:r>
      <w:r>
        <w:rPr>
          <w:color w:val="auto"/>
          <w:spacing w:val="0"/>
          <w:kern w:val="0"/>
        </w:rPr>
        <w:t xml:space="preserve">Note:  for IBGE, “precarious” or “rustic” homes refer to </w:t>
      </w:r>
      <w:r>
        <w:rPr>
          <w:b/>
          <w:bCs/>
          <w:color w:val="auto"/>
          <w:spacing w:val="0"/>
          <w:kern w:val="0"/>
        </w:rPr>
        <w:t>permanent</w:t>
      </w:r>
      <w:r>
        <w:rPr>
          <w:color w:val="auto"/>
          <w:spacing w:val="0"/>
          <w:kern w:val="0"/>
        </w:rPr>
        <w:t xml:space="preserve"> homes built predominantly with improvised materials - unfinished wattle-and-daub walls, recycled wood or containers, dirt floors, adobe, etc.</w:t>
      </w:r>
    </w:p>
    <w:p w:rsidR="00000000" w:rsidRDefault="00000000">
      <w:pPr>
        <w:pStyle w:val="FootnoteText"/>
        <w:tabs>
          <w:tab w:val="clear" w:pos="1418"/>
        </w:tabs>
        <w:ind w:left="0" w:firstLine="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E/1990/5/Add.53</w:t>
    </w:r>
  </w:p>
  <w:p w:rsidR="00000000" w:rsidRDefault="00000000">
    <w:pPr>
      <w:pStyle w:val="Header"/>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2</w:t>
    </w:r>
    <w:r>
      <w:rPr>
        <w:rStyle w:val="PageNumber"/>
      </w:rP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946"/>
      </w:tabs>
      <w:rPr>
        <w:lang w:val="fr-FR"/>
      </w:rPr>
    </w:pPr>
    <w:r>
      <w:tab/>
    </w:r>
    <w:r>
      <w:rPr>
        <w:lang w:val="fr-FR"/>
      </w:rPr>
      <w:t>E/1990/5/Add.53</w:t>
    </w:r>
  </w:p>
  <w:p w:rsidR="00000000" w:rsidRDefault="00000000">
    <w:pPr>
      <w:pStyle w:val="Header"/>
      <w:tabs>
        <w:tab w:val="clear" w:pos="4320"/>
        <w:tab w:val="left" w:pos="6946"/>
      </w:tabs>
      <w:rPr>
        <w:rStyle w:val="PageNumber"/>
        <w:lang w:val="fr-FR"/>
      </w:rPr>
    </w:pP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11</w:t>
    </w:r>
    <w:r>
      <w:rPr>
        <w:rStyle w:val="PageNumber"/>
      </w:rPr>
      <w:fldChar w:fldCharType="end"/>
    </w:r>
  </w:p>
  <w:p w:rsidR="00000000" w:rsidRDefault="00000000">
    <w:pPr>
      <w:tabs>
        <w:tab w:val="left" w:pos="4320"/>
        <w:tab w:val="right" w:pos="8640"/>
      </w:tabs>
      <w:rPr>
        <w:lang w:val="fr-F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663.95pt;margin-top:36.65pt;width:43.95pt;height:150.8pt;z-index:1" o:allowincell="f" stroked="f">
          <v:textbox style="layout-flow:vertical" inset=",,,.5mm">
            <w:txbxContent>
              <w:p w:rsidR="00000000" w:rsidRDefault="00000000">
                <w:pPr>
                  <w:rPr>
                    <w:lang w:val="fr-FR"/>
                  </w:rPr>
                </w:pPr>
                <w:r>
                  <w:rPr>
                    <w:lang w:val="fr-FR"/>
                  </w:rPr>
                  <w:t>E/1990/5/Add.53</w:t>
                </w:r>
              </w:p>
              <w:p w:rsidR="00000000" w:rsidRDefault="00000000">
                <w:pPr>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12</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0" type="#_x0000_t202" style="position:absolute;margin-left:663.95pt;margin-top:370.8pt;width:42.5pt;height:170.1pt;z-index:2;mso-position-vertical-relative:page" o:allowincell="f" stroked="f">
          <v:textbox style="layout-flow:vertical">
            <w:txbxContent>
              <w:p w:rsidR="00000000" w:rsidRDefault="00000000">
                <w:pPr>
                  <w:tabs>
                    <w:tab w:val="left" w:pos="851"/>
                  </w:tabs>
                  <w:rPr>
                    <w:lang w:val="fr-FR"/>
                  </w:rPr>
                </w:pPr>
                <w:r>
                  <w:rPr>
                    <w:lang w:val="fr-FR"/>
                  </w:rPr>
                  <w:tab/>
                  <w:t>E/1990/5/Add.53</w:t>
                </w:r>
              </w:p>
              <w:p w:rsidR="00000000" w:rsidRDefault="00000000">
                <w:pPr>
                  <w:tabs>
                    <w:tab w:val="left" w:pos="851"/>
                  </w:tabs>
                  <w:rPr>
                    <w:lang w:val="fr-FR"/>
                  </w:rPr>
                </w:pP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13</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E/1990/5/Add.53</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108</w:t>
    </w:r>
    <w:r>
      <w:rPr>
        <w:rStyle w:val="PageNumber"/>
      </w:rPr>
      <w:fldChar w:fldCharType="end"/>
    </w:r>
  </w:p>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946"/>
      </w:tabs>
    </w:pPr>
    <w:r>
      <w:tab/>
      <w:t>E/1990/5/Add.53</w:t>
    </w:r>
  </w:p>
  <w:p w:rsidR="00000000" w:rsidRDefault="00000000">
    <w:pPr>
      <w:pStyle w:val="Header"/>
      <w:tabs>
        <w:tab w:val="clear" w:pos="4320"/>
        <w:tab w:val="left" w:pos="6946"/>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107</w:t>
    </w:r>
    <w:r>
      <w:rPr>
        <w:rStyle w:val="PageNumber"/>
      </w:rPr>
      <w:fldChar w:fldCharType="end"/>
    </w:r>
  </w:p>
  <w:p w:rsidR="00000000" w:rsidRDefault="00000000">
    <w:pPr>
      <w:pStyle w:val="Header"/>
      <w:tabs>
        <w:tab w:val="clear" w:pos="4320"/>
        <w:tab w:val="left" w:pos="6946"/>
      </w:tabs>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2" type="#_x0000_t202" style="position:absolute;margin-left:663.95pt;margin-top:36.65pt;width:43.95pt;height:150.8pt;z-index:3" o:allowincell="f" stroked="f">
          <v:textbox style="layout-flow:vertical" inset=",,,.5mm">
            <w:txbxContent>
              <w:p w:rsidR="00000000" w:rsidRDefault="00000000">
                <w:pPr>
                  <w:rPr>
                    <w:lang w:val="fr-FR"/>
                  </w:rPr>
                </w:pPr>
                <w:r>
                  <w:rPr>
                    <w:lang w:val="fr-FR"/>
                  </w:rPr>
                  <w:t>E/1990/5/Add.53</w:t>
                </w:r>
              </w:p>
              <w:p w:rsidR="00000000" w:rsidRDefault="00000000">
                <w:pPr>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114</w:t>
                </w:r>
                <w:r>
                  <w:rPr>
                    <w:rStyle w:val="PageNumber"/>
                  </w:rPr>
                  <w:fldChar w:fldCharType="end"/>
                </w:r>
              </w:p>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3" type="#_x0000_t202" style="position:absolute;margin-left:663.95pt;margin-top:370.8pt;width:42.5pt;height:170.1pt;z-index:4;mso-position-vertical-relative:page" o:allowincell="f" stroked="f">
          <v:textbox style="layout-flow:vertical">
            <w:txbxContent>
              <w:p w:rsidR="00000000" w:rsidRDefault="00000000">
                <w:pPr>
                  <w:tabs>
                    <w:tab w:val="left" w:pos="851"/>
                  </w:tabs>
                  <w:rPr>
                    <w:lang w:val="fr-FR"/>
                  </w:rPr>
                </w:pPr>
                <w:r>
                  <w:rPr>
                    <w:lang w:val="fr-FR"/>
                  </w:rPr>
                  <w:tab/>
                  <w:t>E/1990/5/Add.53</w:t>
                </w:r>
              </w:p>
              <w:p w:rsidR="00000000" w:rsidRDefault="00000000">
                <w:pPr>
                  <w:tabs>
                    <w:tab w:val="left" w:pos="851"/>
                  </w:tabs>
                  <w:rPr>
                    <w:lang w:val="fr-FR"/>
                  </w:rPr>
                </w:pP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113</w:t>
                </w:r>
                <w:r>
                  <w:rPr>
                    <w:rStyle w:val="PageNumber"/>
                  </w:rPr>
                  <w:fldChar w:fldCharType="end"/>
                </w:r>
              </w:p>
            </w:txbxContent>
          </v:textbox>
          <w10:wrap anchory="page"/>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E/1990/5/Add.53</w:t>
    </w:r>
  </w:p>
  <w:p w:rsidR="00000000" w:rsidRDefault="00000000">
    <w:pPr>
      <w:pStyle w:val="Header"/>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212</w:t>
    </w:r>
    <w:r>
      <w:rPr>
        <w:rStyle w:val="PageNumber"/>
      </w:rPr>
      <w:fldChar w:fldCharType="end"/>
    </w:r>
  </w:p>
  <w:p w:rsidR="00000000" w:rsidRDefault="00000000">
    <w:pPr>
      <w:pStyle w:val="Header"/>
      <w:rPr>
        <w:lang w:val="fr-FR"/>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946"/>
      </w:tabs>
      <w:rPr>
        <w:lang w:val="fr-FR"/>
      </w:rPr>
    </w:pPr>
    <w:r>
      <w:tab/>
    </w:r>
    <w:r>
      <w:rPr>
        <w:lang w:val="fr-FR"/>
      </w:rPr>
      <w:t>E/1990/5/Add.53</w:t>
    </w:r>
  </w:p>
  <w:p w:rsidR="00000000" w:rsidRDefault="00000000">
    <w:pPr>
      <w:pStyle w:val="Header"/>
      <w:tabs>
        <w:tab w:val="clear" w:pos="4320"/>
        <w:tab w:val="left" w:pos="6946"/>
      </w:tabs>
      <w:rPr>
        <w:rStyle w:val="PageNumber"/>
        <w:lang w:val="fr-FR"/>
      </w:rPr>
    </w:pP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213</w:t>
    </w:r>
    <w:r>
      <w:rPr>
        <w:rStyle w:val="PageNumber"/>
      </w:rPr>
      <w:fldChar w:fldCharType="end"/>
    </w:r>
  </w:p>
  <w:p w:rsidR="00000000" w:rsidRDefault="00000000">
    <w:pPr>
      <w:pStyle w:val="Header"/>
      <w:rPr>
        <w:lang w:val="fr-FR"/>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6" type="#_x0000_t202" style="position:absolute;margin-left:663.95pt;margin-top:36.65pt;width:43.95pt;height:150.8pt;z-index:6" o:allowincell="f" stroked="f">
          <v:textbox style="layout-flow:vertical" inset=",,,.5mm">
            <w:txbxContent>
              <w:p w:rsidR="00000000" w:rsidRDefault="00000000">
                <w:pPr>
                  <w:rPr>
                    <w:lang w:val="fr-FR"/>
                  </w:rPr>
                </w:pPr>
                <w:r>
                  <w:rPr>
                    <w:lang w:val="fr-FR"/>
                  </w:rPr>
                  <w:t>E/1990/5/Add.53</w:t>
                </w:r>
              </w:p>
              <w:p w:rsidR="00000000" w:rsidRDefault="00000000">
                <w:pPr>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214</w:t>
                </w:r>
                <w:r>
                  <w:rPr>
                    <w:rStyle w:val="PageNumber"/>
                  </w:rPr>
                  <w:fldChar w:fldCharType="end"/>
                </w:r>
              </w:p>
            </w:txbxContent>
          </v:textbox>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5" type="#_x0000_t202" style="position:absolute;margin-left:663.95pt;margin-top:370.8pt;width:42.5pt;height:170.1pt;z-index:5;mso-position-vertical-relative:page" o:allowincell="f" stroked="f">
          <v:textbox style="layout-flow:vertical">
            <w:txbxContent>
              <w:p w:rsidR="00000000" w:rsidRDefault="00000000">
                <w:pPr>
                  <w:tabs>
                    <w:tab w:val="left" w:pos="851"/>
                  </w:tabs>
                  <w:rPr>
                    <w:lang w:val="fr-FR"/>
                  </w:rPr>
                </w:pPr>
                <w:r>
                  <w:rPr>
                    <w:lang w:val="fr-FR"/>
                  </w:rPr>
                  <w:tab/>
                  <w:t>E/1990/5/Add.53</w:t>
                </w:r>
              </w:p>
              <w:p w:rsidR="00000000" w:rsidRDefault="00000000">
                <w:pPr>
                  <w:tabs>
                    <w:tab w:val="left" w:pos="851"/>
                  </w:tabs>
                  <w:rPr>
                    <w:lang w:val="fr-FR"/>
                  </w:rPr>
                </w:pP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215</w:t>
                </w:r>
                <w:r>
                  <w:rPr>
                    <w:rStyle w:val="PageNumber"/>
                  </w:rPr>
                  <w:fldChar w:fldCharType="end"/>
                </w:r>
              </w:p>
            </w:txbxContent>
          </v:textbox>
          <w10:wrap anchory="page"/>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E/1990/5/Add.53</w:t>
    </w:r>
  </w:p>
  <w:p w:rsidR="00000000" w:rsidRDefault="00000000">
    <w:pPr>
      <w:pStyle w:val="Header"/>
      <w:rPr>
        <w:rStyle w:val="PageNumbe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254</w:t>
    </w:r>
    <w:r>
      <w:rPr>
        <w:rStyle w:val="PageNumber"/>
      </w:rPr>
      <w:fldChar w:fldCharType="end"/>
    </w:r>
  </w:p>
  <w:p w:rsidR="00000000" w:rsidRDefault="00000000">
    <w:pPr>
      <w:pStyle w:val="Header"/>
      <w:rPr>
        <w:rStyle w:val="PageNumber"/>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946"/>
      </w:tabs>
    </w:pPr>
    <w:r>
      <w:tab/>
      <w:t>E/1990/5/Add.53</w:t>
    </w:r>
  </w:p>
  <w:p w:rsidR="00000000" w:rsidRDefault="00000000">
    <w:pPr>
      <w:pStyle w:val="Header"/>
      <w:tabs>
        <w:tab w:val="clear" w:pos="4320"/>
        <w:tab w:val="left" w:pos="6946"/>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253</w:t>
    </w:r>
    <w:r>
      <w:rPr>
        <w:rStyle w:val="PageNumber"/>
      </w:rPr>
      <w:fldChar w:fldCharType="end"/>
    </w:r>
  </w:p>
  <w:p w:rsidR="00000000" w:rsidRDefault="00000000">
    <w:pPr>
      <w:pStyle w:val="Header"/>
      <w:tabs>
        <w:tab w:val="clear" w:pos="4320"/>
        <w:tab w:val="left" w:pos="6946"/>
      </w:tabs>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2">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3">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4">
    <w:nsid w:val="0000000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5">
    <w:nsid w:val="00000006"/>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6">
    <w:nsid w:val="00000007"/>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7">
    <w:nsid w:val="00000008"/>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8">
    <w:nsid w:val="00000009"/>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9">
    <w:nsid w:val="000500A5"/>
    <w:multiLevelType w:val="singleLevel"/>
    <w:tmpl w:val="118A400E"/>
    <w:lvl w:ilvl="0">
      <w:numFmt w:val="bullet"/>
      <w:lvlText w:val="-"/>
      <w:lvlJc w:val="left"/>
      <w:pPr>
        <w:tabs>
          <w:tab w:val="num" w:pos="4755"/>
        </w:tabs>
        <w:ind w:left="4755" w:hanging="360"/>
      </w:pPr>
      <w:rPr>
        <w:b/>
        <w:i w:val="0"/>
      </w:rPr>
    </w:lvl>
  </w:abstractNum>
  <w:abstractNum w:abstractNumId="20">
    <w:nsid w:val="001F5EFF"/>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21">
    <w:nsid w:val="004041CF"/>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22">
    <w:nsid w:val="00D10355"/>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23">
    <w:nsid w:val="01583C8E"/>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24">
    <w:nsid w:val="0160673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5">
    <w:nsid w:val="01A66345"/>
    <w:multiLevelType w:val="singleLevel"/>
    <w:tmpl w:val="297007DE"/>
    <w:lvl w:ilvl="0">
      <w:start w:val="1"/>
      <w:numFmt w:val="decimal"/>
      <w:lvlText w:val="6.%1. "/>
      <w:legacy w:legacy="1" w:legacySpace="0" w:legacyIndent="283"/>
      <w:lvlJc w:val="left"/>
      <w:pPr>
        <w:ind w:left="283" w:hanging="283"/>
      </w:pPr>
      <w:rPr>
        <w:rFonts w:ascii="Century Gothic" w:hAnsi="Century Gothic" w:hint="default"/>
        <w:b/>
        <w:i w:val="0"/>
        <w:sz w:val="24"/>
        <w:u w:val="none"/>
      </w:rPr>
    </w:lvl>
  </w:abstractNum>
  <w:abstractNum w:abstractNumId="26">
    <w:nsid w:val="01C05691"/>
    <w:multiLevelType w:val="singleLevel"/>
    <w:tmpl w:val="36084DBE"/>
    <w:lvl w:ilvl="0">
      <w:start w:val="1"/>
      <w:numFmt w:val="decimal"/>
      <w:lvlText w:val="%1."/>
      <w:lvlJc w:val="left"/>
      <w:pPr>
        <w:tabs>
          <w:tab w:val="num" w:pos="1440"/>
        </w:tabs>
        <w:ind w:left="1440" w:hanging="720"/>
      </w:pPr>
    </w:lvl>
  </w:abstractNum>
  <w:abstractNum w:abstractNumId="27">
    <w:nsid w:val="01D31AF0"/>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28">
    <w:nsid w:val="020E7137"/>
    <w:multiLevelType w:val="singleLevel"/>
    <w:tmpl w:val="CAD4D1D8"/>
    <w:lvl w:ilvl="0">
      <w:start w:val="1"/>
      <w:numFmt w:val="bullet"/>
      <w:lvlText w:val=""/>
      <w:lvlJc w:val="left"/>
      <w:pPr>
        <w:tabs>
          <w:tab w:val="num" w:pos="360"/>
        </w:tabs>
        <w:ind w:left="360" w:hanging="360"/>
      </w:pPr>
      <w:rPr>
        <w:rFonts w:ascii="Wingdings" w:hAnsi="Wingdings" w:hint="default"/>
        <w:sz w:val="16"/>
      </w:rPr>
    </w:lvl>
  </w:abstractNum>
  <w:abstractNum w:abstractNumId="29">
    <w:nsid w:val="0287303F"/>
    <w:multiLevelType w:val="singleLevel"/>
    <w:tmpl w:val="37E0060A"/>
    <w:lvl w:ilvl="0">
      <w:start w:val="1"/>
      <w:numFmt w:val="decimal"/>
      <w:lvlText w:val="%1."/>
      <w:legacy w:legacy="1" w:legacySpace="0" w:legacyIndent="283"/>
      <w:lvlJc w:val="left"/>
      <w:pPr>
        <w:ind w:left="283" w:hanging="283"/>
      </w:pPr>
    </w:lvl>
  </w:abstractNum>
  <w:abstractNum w:abstractNumId="30">
    <w:nsid w:val="028E1F8C"/>
    <w:multiLevelType w:val="singleLevel"/>
    <w:tmpl w:val="118A400E"/>
    <w:lvl w:ilvl="0">
      <w:numFmt w:val="bullet"/>
      <w:lvlText w:val="-"/>
      <w:lvlJc w:val="left"/>
      <w:pPr>
        <w:tabs>
          <w:tab w:val="num" w:pos="4755"/>
        </w:tabs>
        <w:ind w:left="4755" w:hanging="360"/>
      </w:pPr>
      <w:rPr>
        <w:b/>
        <w:i w:val="0"/>
      </w:rPr>
    </w:lvl>
  </w:abstractNum>
  <w:abstractNum w:abstractNumId="31">
    <w:nsid w:val="03004917"/>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32">
    <w:nsid w:val="03092D1D"/>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3">
    <w:nsid w:val="030C21A3"/>
    <w:multiLevelType w:val="singleLevel"/>
    <w:tmpl w:val="24424B7C"/>
    <w:lvl w:ilvl="0">
      <w:start w:val="2"/>
      <w:numFmt w:val="decimal"/>
      <w:lvlText w:val="%1. "/>
      <w:legacy w:legacy="1" w:legacySpace="0" w:legacyIndent="283"/>
      <w:lvlJc w:val="left"/>
      <w:pPr>
        <w:ind w:left="1701" w:hanging="283"/>
      </w:pPr>
      <w:rPr>
        <w:rFonts w:ascii="Arial" w:hAnsi="Arial" w:hint="default"/>
        <w:b/>
        <w:i w:val="0"/>
        <w:sz w:val="24"/>
      </w:rPr>
    </w:lvl>
  </w:abstractNum>
  <w:abstractNum w:abstractNumId="34">
    <w:nsid w:val="031C05B7"/>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35">
    <w:nsid w:val="03737606"/>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36">
    <w:nsid w:val="037B2B5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7">
    <w:nsid w:val="03812D6B"/>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38">
    <w:nsid w:val="03841F0A"/>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39">
    <w:nsid w:val="038824FD"/>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40">
    <w:nsid w:val="039470C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1">
    <w:nsid w:val="03C01A5D"/>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2">
    <w:nsid w:val="03D4091F"/>
    <w:multiLevelType w:val="singleLevel"/>
    <w:tmpl w:val="3240479A"/>
    <w:lvl w:ilvl="0">
      <w:start w:val="2"/>
      <w:numFmt w:val="lowerLetter"/>
      <w:lvlText w:val="%1."/>
      <w:lvlJc w:val="left"/>
      <w:pPr>
        <w:tabs>
          <w:tab w:val="num" w:pos="-15"/>
        </w:tabs>
        <w:ind w:left="-15" w:hanging="360"/>
      </w:pPr>
      <w:rPr>
        <w:rFonts w:hint="default"/>
      </w:rPr>
    </w:lvl>
  </w:abstractNum>
  <w:abstractNum w:abstractNumId="43">
    <w:nsid w:val="03DE0B9F"/>
    <w:multiLevelType w:val="singleLevel"/>
    <w:tmpl w:val="FFFFFFFF"/>
    <w:lvl w:ilvl="0">
      <w:numFmt w:val="decimal"/>
      <w:lvlText w:val="%1"/>
      <w:legacy w:legacy="1" w:legacySpace="0" w:legacyIndent="0"/>
      <w:lvlJc w:val="left"/>
    </w:lvl>
  </w:abstractNum>
  <w:abstractNum w:abstractNumId="44">
    <w:nsid w:val="048E5DF2"/>
    <w:multiLevelType w:val="singleLevel"/>
    <w:tmpl w:val="118A400E"/>
    <w:lvl w:ilvl="0">
      <w:numFmt w:val="bullet"/>
      <w:lvlText w:val="-"/>
      <w:lvlJc w:val="left"/>
      <w:pPr>
        <w:tabs>
          <w:tab w:val="num" w:pos="4755"/>
        </w:tabs>
        <w:ind w:left="4755" w:hanging="360"/>
      </w:pPr>
      <w:rPr>
        <w:b/>
        <w:i w:val="0"/>
      </w:rPr>
    </w:lvl>
  </w:abstractNum>
  <w:abstractNum w:abstractNumId="45">
    <w:nsid w:val="04DD3848"/>
    <w:multiLevelType w:val="singleLevel"/>
    <w:tmpl w:val="118A400E"/>
    <w:lvl w:ilvl="0">
      <w:numFmt w:val="bullet"/>
      <w:lvlText w:val="-"/>
      <w:lvlJc w:val="left"/>
      <w:pPr>
        <w:tabs>
          <w:tab w:val="num" w:pos="4755"/>
        </w:tabs>
        <w:ind w:left="4755" w:hanging="360"/>
      </w:pPr>
      <w:rPr>
        <w:b/>
        <w:i w:val="0"/>
      </w:rPr>
    </w:lvl>
  </w:abstractNum>
  <w:abstractNum w:abstractNumId="46">
    <w:nsid w:val="054B30AE"/>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47">
    <w:nsid w:val="058F6820"/>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8">
    <w:nsid w:val="059A1DA6"/>
    <w:multiLevelType w:val="multilevel"/>
    <w:tmpl w:val="33F22FCC"/>
    <w:lvl w:ilvl="0">
      <w:start w:val="3"/>
      <w:numFmt w:val="decimal"/>
      <w:lvlText w:val="%1"/>
      <w:lvlJc w:val="left"/>
      <w:pPr>
        <w:tabs>
          <w:tab w:val="num" w:pos="465"/>
        </w:tabs>
        <w:ind w:left="465" w:hanging="465"/>
      </w:pPr>
      <w:rPr>
        <w:rFonts w:hint="default"/>
      </w:rPr>
    </w:lvl>
    <w:lvl w:ilvl="1">
      <w:start w:val="7"/>
      <w:numFmt w:val="decimal"/>
      <w:lvlText w:val="%1.%2"/>
      <w:lvlJc w:val="left"/>
      <w:pPr>
        <w:tabs>
          <w:tab w:val="num" w:pos="1854"/>
        </w:tabs>
        <w:ind w:left="1854" w:hanging="465"/>
      </w:pPr>
      <w:rPr>
        <w:rFonts w:hint="default"/>
      </w:rPr>
    </w:lvl>
    <w:lvl w:ilvl="2">
      <w:start w:val="1"/>
      <w:numFmt w:val="decimal"/>
      <w:lvlText w:val="%1.%2.%3"/>
      <w:lvlJc w:val="left"/>
      <w:pPr>
        <w:tabs>
          <w:tab w:val="num" w:pos="3498"/>
        </w:tabs>
        <w:ind w:left="3498" w:hanging="720"/>
      </w:pPr>
      <w:rPr>
        <w:rFonts w:hint="default"/>
      </w:rPr>
    </w:lvl>
    <w:lvl w:ilvl="3">
      <w:start w:val="1"/>
      <w:numFmt w:val="decimal"/>
      <w:lvlText w:val="%1.%2.%3.%4"/>
      <w:lvlJc w:val="left"/>
      <w:pPr>
        <w:tabs>
          <w:tab w:val="num" w:pos="5247"/>
        </w:tabs>
        <w:ind w:left="5247" w:hanging="1080"/>
      </w:pPr>
      <w:rPr>
        <w:rFonts w:hint="default"/>
      </w:rPr>
    </w:lvl>
    <w:lvl w:ilvl="4">
      <w:start w:val="1"/>
      <w:numFmt w:val="decimal"/>
      <w:lvlText w:val="%1.%2.%3.%4.%5"/>
      <w:lvlJc w:val="left"/>
      <w:pPr>
        <w:tabs>
          <w:tab w:val="num" w:pos="6636"/>
        </w:tabs>
        <w:ind w:left="6636" w:hanging="1080"/>
      </w:pPr>
      <w:rPr>
        <w:rFonts w:hint="default"/>
      </w:rPr>
    </w:lvl>
    <w:lvl w:ilvl="5">
      <w:start w:val="1"/>
      <w:numFmt w:val="decimal"/>
      <w:lvlText w:val="%1.%2.%3.%4.%5.%6"/>
      <w:lvlJc w:val="left"/>
      <w:pPr>
        <w:tabs>
          <w:tab w:val="num" w:pos="8385"/>
        </w:tabs>
        <w:ind w:left="8385" w:hanging="1440"/>
      </w:pPr>
      <w:rPr>
        <w:rFonts w:hint="default"/>
      </w:rPr>
    </w:lvl>
    <w:lvl w:ilvl="6">
      <w:start w:val="1"/>
      <w:numFmt w:val="decimal"/>
      <w:lvlText w:val="%1.%2.%3.%4.%5.%6.%7"/>
      <w:lvlJc w:val="left"/>
      <w:pPr>
        <w:tabs>
          <w:tab w:val="num" w:pos="9774"/>
        </w:tabs>
        <w:ind w:left="9774" w:hanging="1440"/>
      </w:pPr>
      <w:rPr>
        <w:rFonts w:hint="default"/>
      </w:rPr>
    </w:lvl>
    <w:lvl w:ilvl="7">
      <w:start w:val="1"/>
      <w:numFmt w:val="decimal"/>
      <w:lvlText w:val="%1.%2.%3.%4.%5.%6.%7.%8"/>
      <w:lvlJc w:val="left"/>
      <w:pPr>
        <w:tabs>
          <w:tab w:val="num" w:pos="11523"/>
        </w:tabs>
        <w:ind w:left="11523" w:hanging="1800"/>
      </w:pPr>
      <w:rPr>
        <w:rFonts w:hint="default"/>
      </w:rPr>
    </w:lvl>
    <w:lvl w:ilvl="8">
      <w:start w:val="1"/>
      <w:numFmt w:val="decimal"/>
      <w:lvlText w:val="%1.%2.%3.%4.%5.%6.%7.%8.%9"/>
      <w:lvlJc w:val="left"/>
      <w:pPr>
        <w:tabs>
          <w:tab w:val="num" w:pos="12912"/>
        </w:tabs>
        <w:ind w:left="12912" w:hanging="1800"/>
      </w:pPr>
      <w:rPr>
        <w:rFonts w:hint="default"/>
      </w:rPr>
    </w:lvl>
  </w:abstractNum>
  <w:abstractNum w:abstractNumId="49">
    <w:nsid w:val="05AA6C5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0">
    <w:nsid w:val="05AA6E0E"/>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51">
    <w:nsid w:val="0600504B"/>
    <w:multiLevelType w:val="hybridMultilevel"/>
    <w:tmpl w:val="29AAE0B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060D56C6"/>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53">
    <w:nsid w:val="06743B11"/>
    <w:multiLevelType w:val="singleLevel"/>
    <w:tmpl w:val="66567358"/>
    <w:lvl w:ilvl="0">
      <w:start w:val="1"/>
      <w:numFmt w:val="lowerLetter"/>
      <w:lvlText w:val="%1)"/>
      <w:lvlJc w:val="left"/>
      <w:pPr>
        <w:tabs>
          <w:tab w:val="num" w:pos="1770"/>
        </w:tabs>
        <w:ind w:left="1770" w:hanging="360"/>
      </w:pPr>
      <w:rPr>
        <w:rFonts w:hint="default"/>
        <w:b/>
      </w:rPr>
    </w:lvl>
  </w:abstractNum>
  <w:abstractNum w:abstractNumId="54">
    <w:nsid w:val="06C55E03"/>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55">
    <w:nsid w:val="06ED54D9"/>
    <w:multiLevelType w:val="singleLevel"/>
    <w:tmpl w:val="89805F18"/>
    <w:lvl w:ilvl="0">
      <w:start w:val="1"/>
      <w:numFmt w:val="lowerLetter"/>
      <w:lvlText w:val="%1)"/>
      <w:lvlJc w:val="left"/>
      <w:pPr>
        <w:tabs>
          <w:tab w:val="num" w:pos="360"/>
        </w:tabs>
        <w:ind w:left="360" w:hanging="360"/>
      </w:pPr>
      <w:rPr>
        <w:rFonts w:hint="default"/>
        <w:b/>
      </w:rPr>
    </w:lvl>
  </w:abstractNum>
  <w:abstractNum w:abstractNumId="56">
    <w:nsid w:val="07480295"/>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57">
    <w:nsid w:val="078E732E"/>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58">
    <w:nsid w:val="0794782D"/>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59">
    <w:nsid w:val="07B551C8"/>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60">
    <w:nsid w:val="089E51ED"/>
    <w:multiLevelType w:val="singleLevel"/>
    <w:tmpl w:val="04160011"/>
    <w:lvl w:ilvl="0">
      <w:start w:val="1"/>
      <w:numFmt w:val="decimal"/>
      <w:lvlText w:val="%1)"/>
      <w:lvlJc w:val="left"/>
      <w:pPr>
        <w:tabs>
          <w:tab w:val="num" w:pos="360"/>
        </w:tabs>
        <w:ind w:left="360" w:hanging="360"/>
      </w:pPr>
      <w:rPr>
        <w:rFonts w:hint="default"/>
      </w:rPr>
    </w:lvl>
  </w:abstractNum>
  <w:abstractNum w:abstractNumId="61">
    <w:nsid w:val="08B8229B"/>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62">
    <w:nsid w:val="08CE72D2"/>
    <w:multiLevelType w:val="singleLevel"/>
    <w:tmpl w:val="0409000F"/>
    <w:lvl w:ilvl="0">
      <w:start w:val="1"/>
      <w:numFmt w:val="decimal"/>
      <w:lvlText w:val="%1."/>
      <w:lvlJc w:val="left"/>
      <w:pPr>
        <w:tabs>
          <w:tab w:val="num" w:pos="360"/>
        </w:tabs>
        <w:ind w:left="360" w:hanging="360"/>
      </w:pPr>
    </w:lvl>
  </w:abstractNum>
  <w:abstractNum w:abstractNumId="63">
    <w:nsid w:val="09105B75"/>
    <w:multiLevelType w:val="singleLevel"/>
    <w:tmpl w:val="E4D08734"/>
    <w:lvl w:ilvl="0">
      <w:start w:val="5"/>
      <w:numFmt w:val="decimal"/>
      <w:lvlText w:val="%1. "/>
      <w:legacy w:legacy="1" w:legacySpace="0" w:legacyIndent="283"/>
      <w:lvlJc w:val="left"/>
      <w:pPr>
        <w:ind w:left="283" w:hanging="283"/>
      </w:pPr>
      <w:rPr>
        <w:rFonts w:ascii="Arial" w:hAnsi="Arial" w:hint="default"/>
        <w:b w:val="0"/>
        <w:i w:val="0"/>
        <w:sz w:val="24"/>
      </w:rPr>
    </w:lvl>
  </w:abstractNum>
  <w:abstractNum w:abstractNumId="64">
    <w:nsid w:val="092F0479"/>
    <w:multiLevelType w:val="singleLevel"/>
    <w:tmpl w:val="16BC7322"/>
    <w:lvl w:ilvl="0">
      <w:start w:val="1"/>
      <w:numFmt w:val="bullet"/>
      <w:lvlText w:val="-"/>
      <w:lvlJc w:val="left"/>
      <w:pPr>
        <w:tabs>
          <w:tab w:val="num" w:pos="360"/>
        </w:tabs>
        <w:ind w:left="360" w:hanging="360"/>
      </w:pPr>
      <w:rPr>
        <w:rFonts w:hint="default"/>
        <w:sz w:val="26"/>
      </w:rPr>
    </w:lvl>
  </w:abstractNum>
  <w:abstractNum w:abstractNumId="65">
    <w:nsid w:val="0930286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6">
    <w:nsid w:val="093745B3"/>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67">
    <w:nsid w:val="093C6556"/>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68">
    <w:nsid w:val="09E7017B"/>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69">
    <w:nsid w:val="0A0F01B4"/>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70">
    <w:nsid w:val="0A190CE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1">
    <w:nsid w:val="0A3A73E0"/>
    <w:multiLevelType w:val="singleLevel"/>
    <w:tmpl w:val="87E876DE"/>
    <w:lvl w:ilvl="0">
      <w:start w:val="1"/>
      <w:numFmt w:val="bullet"/>
      <w:lvlText w:val=""/>
      <w:lvlJc w:val="left"/>
      <w:pPr>
        <w:tabs>
          <w:tab w:val="num" w:pos="1778"/>
        </w:tabs>
        <w:ind w:left="1701" w:hanging="283"/>
      </w:pPr>
      <w:rPr>
        <w:rFonts w:ascii="Symbol" w:hAnsi="Symbol" w:hint="default"/>
        <w:sz w:val="16"/>
      </w:rPr>
    </w:lvl>
  </w:abstractNum>
  <w:abstractNum w:abstractNumId="72">
    <w:nsid w:val="0A9D5A84"/>
    <w:multiLevelType w:val="singleLevel"/>
    <w:tmpl w:val="118A400E"/>
    <w:lvl w:ilvl="0">
      <w:numFmt w:val="bullet"/>
      <w:lvlText w:val="-"/>
      <w:lvlJc w:val="left"/>
      <w:pPr>
        <w:tabs>
          <w:tab w:val="num" w:pos="4755"/>
        </w:tabs>
        <w:ind w:left="4755" w:hanging="360"/>
      </w:pPr>
      <w:rPr>
        <w:b/>
        <w:i w:val="0"/>
      </w:rPr>
    </w:lvl>
  </w:abstractNum>
  <w:abstractNum w:abstractNumId="73">
    <w:nsid w:val="0AC26C62"/>
    <w:multiLevelType w:val="singleLevel"/>
    <w:tmpl w:val="561E0F3E"/>
    <w:lvl w:ilvl="0">
      <w:start w:val="1"/>
      <w:numFmt w:val="decimal"/>
      <w:lvlText w:val="%1."/>
      <w:lvlJc w:val="left"/>
      <w:pPr>
        <w:tabs>
          <w:tab w:val="num" w:pos="720"/>
        </w:tabs>
        <w:ind w:left="720" w:hanging="720"/>
      </w:pPr>
    </w:lvl>
  </w:abstractNum>
  <w:abstractNum w:abstractNumId="74">
    <w:nsid w:val="0ACF62A9"/>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75">
    <w:nsid w:val="0AE05714"/>
    <w:multiLevelType w:val="singleLevel"/>
    <w:tmpl w:val="11FEA9E2"/>
    <w:lvl w:ilvl="0">
      <w:start w:val="1"/>
      <w:numFmt w:val="bullet"/>
      <w:lvlText w:val=""/>
      <w:lvlJc w:val="left"/>
      <w:pPr>
        <w:tabs>
          <w:tab w:val="num" w:pos="1512"/>
        </w:tabs>
        <w:ind w:left="1435" w:hanging="283"/>
      </w:pPr>
      <w:rPr>
        <w:rFonts w:ascii="Symbol" w:hAnsi="Symbol" w:hint="default"/>
        <w:sz w:val="28"/>
      </w:rPr>
    </w:lvl>
  </w:abstractNum>
  <w:abstractNum w:abstractNumId="76">
    <w:nsid w:val="0B0F5E4B"/>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77">
    <w:nsid w:val="0B346CC5"/>
    <w:multiLevelType w:val="singleLevel"/>
    <w:tmpl w:val="04160001"/>
    <w:lvl w:ilvl="0">
      <w:start w:val="8"/>
      <w:numFmt w:val="bullet"/>
      <w:lvlText w:val=""/>
      <w:lvlJc w:val="left"/>
      <w:pPr>
        <w:tabs>
          <w:tab w:val="num" w:pos="360"/>
        </w:tabs>
        <w:ind w:left="360" w:hanging="360"/>
      </w:pPr>
      <w:rPr>
        <w:rFonts w:ascii="Symbol" w:hAnsi="Symbol" w:hint="default"/>
      </w:rPr>
    </w:lvl>
  </w:abstractNum>
  <w:abstractNum w:abstractNumId="78">
    <w:nsid w:val="0B8A689A"/>
    <w:multiLevelType w:val="singleLevel"/>
    <w:tmpl w:val="40427516"/>
    <w:lvl w:ilvl="0">
      <w:start w:val="1"/>
      <w:numFmt w:val="upperRoman"/>
      <w:lvlText w:val="%1."/>
      <w:lvlJc w:val="left"/>
      <w:pPr>
        <w:tabs>
          <w:tab w:val="num" w:pos="2138"/>
        </w:tabs>
        <w:ind w:left="2138" w:hanging="720"/>
      </w:pPr>
      <w:rPr>
        <w:rFonts w:hint="default"/>
      </w:rPr>
    </w:lvl>
  </w:abstractNum>
  <w:abstractNum w:abstractNumId="79">
    <w:nsid w:val="0C123D79"/>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80">
    <w:nsid w:val="0C183020"/>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81">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0C2511C9"/>
    <w:multiLevelType w:val="singleLevel"/>
    <w:tmpl w:val="FFFFFFFF"/>
    <w:lvl w:ilvl="0">
      <w:start w:val="1"/>
      <w:numFmt w:val="bullet"/>
      <w:lvlText w:val=""/>
      <w:legacy w:legacy="1" w:legacySpace="0" w:legacyIndent="283"/>
      <w:lvlJc w:val="left"/>
      <w:pPr>
        <w:ind w:left="283" w:hanging="283"/>
      </w:pPr>
      <w:rPr>
        <w:rFonts w:ascii="Wingdings" w:hAnsi="Wingdings" w:hint="default"/>
        <w:sz w:val="22"/>
      </w:rPr>
    </w:lvl>
  </w:abstractNum>
  <w:abstractNum w:abstractNumId="83">
    <w:nsid w:val="0C485FE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84">
    <w:nsid w:val="0C5E2B37"/>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85">
    <w:nsid w:val="0C8571BE"/>
    <w:multiLevelType w:val="singleLevel"/>
    <w:tmpl w:val="3404C7E6"/>
    <w:lvl w:ilvl="0">
      <w:start w:val="1"/>
      <w:numFmt w:val="decimal"/>
      <w:lvlText w:val="%1."/>
      <w:lvlJc w:val="left"/>
      <w:pPr>
        <w:tabs>
          <w:tab w:val="num" w:pos="360"/>
        </w:tabs>
        <w:ind w:left="360" w:hanging="360"/>
      </w:pPr>
      <w:rPr>
        <w:b w:val="0"/>
        <w:i w:val="0"/>
      </w:rPr>
    </w:lvl>
  </w:abstractNum>
  <w:abstractNum w:abstractNumId="86">
    <w:nsid w:val="0CB77457"/>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87">
    <w:nsid w:val="0CC059D4"/>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88">
    <w:nsid w:val="0CFF3B38"/>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89">
    <w:nsid w:val="0D4A7364"/>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90">
    <w:nsid w:val="0D645E96"/>
    <w:multiLevelType w:val="multilevel"/>
    <w:tmpl w:val="11A68E22"/>
    <w:lvl w:ilvl="0">
      <w:start w:val="7"/>
      <w:numFmt w:val="decimal"/>
      <w:lvlText w:val="%1"/>
      <w:lvlJc w:val="left"/>
      <w:pPr>
        <w:tabs>
          <w:tab w:val="num" w:pos="480"/>
        </w:tabs>
        <w:ind w:left="480" w:hanging="480"/>
      </w:pPr>
      <w:rPr>
        <w:rFonts w:hint="default"/>
      </w:rPr>
    </w:lvl>
    <w:lvl w:ilvl="1">
      <w:start w:val="2"/>
      <w:numFmt w:val="decimal"/>
      <w:lvlText w:val="%1.%2"/>
      <w:lvlJc w:val="left"/>
      <w:pPr>
        <w:tabs>
          <w:tab w:val="num" w:pos="1734"/>
        </w:tabs>
        <w:ind w:left="1734" w:hanging="480"/>
      </w:pPr>
      <w:rPr>
        <w:rFonts w:hint="default"/>
      </w:rPr>
    </w:lvl>
    <w:lvl w:ilvl="2">
      <w:start w:val="1"/>
      <w:numFmt w:val="decimal"/>
      <w:lvlText w:val="%1.%2.%3"/>
      <w:lvlJc w:val="left"/>
      <w:pPr>
        <w:tabs>
          <w:tab w:val="num" w:pos="3228"/>
        </w:tabs>
        <w:ind w:left="3228" w:hanging="720"/>
      </w:pPr>
      <w:rPr>
        <w:rFonts w:hint="default"/>
      </w:rPr>
    </w:lvl>
    <w:lvl w:ilvl="3">
      <w:start w:val="1"/>
      <w:numFmt w:val="decimal"/>
      <w:lvlText w:val="%1.%2.%3.%4"/>
      <w:lvlJc w:val="left"/>
      <w:pPr>
        <w:tabs>
          <w:tab w:val="num" w:pos="4842"/>
        </w:tabs>
        <w:ind w:left="4842" w:hanging="1080"/>
      </w:pPr>
      <w:rPr>
        <w:rFonts w:hint="default"/>
      </w:rPr>
    </w:lvl>
    <w:lvl w:ilvl="4">
      <w:start w:val="1"/>
      <w:numFmt w:val="decimal"/>
      <w:lvlText w:val="%1.%2.%3.%4.%5"/>
      <w:lvlJc w:val="left"/>
      <w:pPr>
        <w:tabs>
          <w:tab w:val="num" w:pos="6096"/>
        </w:tabs>
        <w:ind w:left="6096" w:hanging="1080"/>
      </w:pPr>
      <w:rPr>
        <w:rFonts w:hint="default"/>
      </w:rPr>
    </w:lvl>
    <w:lvl w:ilvl="5">
      <w:start w:val="1"/>
      <w:numFmt w:val="decimal"/>
      <w:lvlText w:val="%1.%2.%3.%4.%5.%6"/>
      <w:lvlJc w:val="left"/>
      <w:pPr>
        <w:tabs>
          <w:tab w:val="num" w:pos="7710"/>
        </w:tabs>
        <w:ind w:left="7710" w:hanging="1440"/>
      </w:pPr>
      <w:rPr>
        <w:rFonts w:hint="default"/>
      </w:rPr>
    </w:lvl>
    <w:lvl w:ilvl="6">
      <w:start w:val="1"/>
      <w:numFmt w:val="decimal"/>
      <w:lvlText w:val="%1.%2.%3.%4.%5.%6.%7"/>
      <w:lvlJc w:val="left"/>
      <w:pPr>
        <w:tabs>
          <w:tab w:val="num" w:pos="8964"/>
        </w:tabs>
        <w:ind w:left="8964" w:hanging="1440"/>
      </w:pPr>
      <w:rPr>
        <w:rFonts w:hint="default"/>
      </w:rPr>
    </w:lvl>
    <w:lvl w:ilvl="7">
      <w:start w:val="1"/>
      <w:numFmt w:val="decimal"/>
      <w:lvlText w:val="%1.%2.%3.%4.%5.%6.%7.%8"/>
      <w:lvlJc w:val="left"/>
      <w:pPr>
        <w:tabs>
          <w:tab w:val="num" w:pos="10578"/>
        </w:tabs>
        <w:ind w:left="10578" w:hanging="1800"/>
      </w:pPr>
      <w:rPr>
        <w:rFonts w:hint="default"/>
      </w:rPr>
    </w:lvl>
    <w:lvl w:ilvl="8">
      <w:start w:val="1"/>
      <w:numFmt w:val="decimal"/>
      <w:lvlText w:val="%1.%2.%3.%4.%5.%6.%7.%8.%9"/>
      <w:lvlJc w:val="left"/>
      <w:pPr>
        <w:tabs>
          <w:tab w:val="num" w:pos="11832"/>
        </w:tabs>
        <w:ind w:left="11832" w:hanging="1800"/>
      </w:pPr>
      <w:rPr>
        <w:rFonts w:hint="default"/>
      </w:rPr>
    </w:lvl>
  </w:abstractNum>
  <w:abstractNum w:abstractNumId="91">
    <w:nsid w:val="0D7B54DE"/>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92">
    <w:nsid w:val="0DB4538A"/>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93">
    <w:nsid w:val="0DB51A70"/>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94">
    <w:nsid w:val="0E03409B"/>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95">
    <w:nsid w:val="0E4F231F"/>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96">
    <w:nsid w:val="0E533F4B"/>
    <w:multiLevelType w:val="singleLevel"/>
    <w:tmpl w:val="A8AA3604"/>
    <w:lvl w:ilvl="0">
      <w:start w:val="1"/>
      <w:numFmt w:val="decimal"/>
      <w:lvlText w:val="%1) "/>
      <w:legacy w:legacy="1" w:legacySpace="0" w:legacyIndent="283"/>
      <w:lvlJc w:val="left"/>
      <w:pPr>
        <w:ind w:left="567" w:hanging="283"/>
      </w:pPr>
      <w:rPr>
        <w:rFonts w:ascii="Arial" w:hAnsi="Arial" w:hint="default"/>
        <w:b w:val="0"/>
        <w:i w:val="0"/>
        <w:sz w:val="21"/>
        <w:u w:val="none"/>
      </w:rPr>
    </w:lvl>
  </w:abstractNum>
  <w:abstractNum w:abstractNumId="97">
    <w:nsid w:val="0E545115"/>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98">
    <w:nsid w:val="0E6743D4"/>
    <w:multiLevelType w:val="singleLevel"/>
    <w:tmpl w:val="A62A0A42"/>
    <w:lvl w:ilvl="0">
      <w:start w:val="1"/>
      <w:numFmt w:val="decimal"/>
      <w:lvlText w:val="2.%1. "/>
      <w:legacy w:legacy="1" w:legacySpace="0" w:legacyIndent="283"/>
      <w:lvlJc w:val="left"/>
      <w:pPr>
        <w:ind w:left="283" w:hanging="283"/>
      </w:pPr>
      <w:rPr>
        <w:rFonts w:ascii="Century Gothic" w:hAnsi="Century Gothic" w:hint="default"/>
        <w:b/>
        <w:i w:val="0"/>
        <w:sz w:val="24"/>
        <w:u w:val="none"/>
      </w:rPr>
    </w:lvl>
  </w:abstractNum>
  <w:abstractNum w:abstractNumId="99">
    <w:nsid w:val="0E7F4FF1"/>
    <w:multiLevelType w:val="singleLevel"/>
    <w:tmpl w:val="9D42941E"/>
    <w:lvl w:ilvl="0">
      <w:start w:val="1"/>
      <w:numFmt w:val="bullet"/>
      <w:lvlText w:val=""/>
      <w:lvlJc w:val="left"/>
      <w:pPr>
        <w:tabs>
          <w:tab w:val="num" w:pos="1512"/>
        </w:tabs>
        <w:ind w:left="1435" w:hanging="283"/>
      </w:pPr>
      <w:rPr>
        <w:rFonts w:ascii="Symbol" w:hAnsi="Symbol" w:hint="default"/>
        <w:sz w:val="20"/>
      </w:rPr>
    </w:lvl>
  </w:abstractNum>
  <w:abstractNum w:abstractNumId="100">
    <w:nsid w:val="0EB26999"/>
    <w:multiLevelType w:val="multilevel"/>
    <w:tmpl w:val="DFB234DC"/>
    <w:lvl w:ilvl="0">
      <w:start w:val="5"/>
      <w:numFmt w:val="decimal"/>
      <w:lvlText w:val="%1."/>
      <w:lvlJc w:val="left"/>
      <w:pPr>
        <w:tabs>
          <w:tab w:val="num" w:pos="800"/>
        </w:tabs>
        <w:ind w:left="800" w:hanging="800"/>
      </w:pPr>
      <w:rPr>
        <w:rFonts w:hint="default"/>
        <w:b/>
      </w:rPr>
    </w:lvl>
    <w:lvl w:ilvl="1">
      <w:start w:val="3"/>
      <w:numFmt w:val="decimal"/>
      <w:lvlText w:val="%1.%2."/>
      <w:lvlJc w:val="left"/>
      <w:pPr>
        <w:tabs>
          <w:tab w:val="num" w:pos="800"/>
        </w:tabs>
        <w:ind w:left="800" w:hanging="800"/>
      </w:pPr>
      <w:rPr>
        <w:rFonts w:hint="default"/>
        <w:b/>
      </w:rPr>
    </w:lvl>
    <w:lvl w:ilvl="2">
      <w:start w:val="4"/>
      <w:numFmt w:val="decimal"/>
      <w:lvlText w:val="%1.%2.%3."/>
      <w:lvlJc w:val="left"/>
      <w:pPr>
        <w:tabs>
          <w:tab w:val="num" w:pos="800"/>
        </w:tabs>
        <w:ind w:left="800" w:hanging="800"/>
      </w:pPr>
      <w:rPr>
        <w:rFonts w:hint="default"/>
        <w:b/>
      </w:rPr>
    </w:lvl>
    <w:lvl w:ilvl="3">
      <w:start w:val="2"/>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01">
    <w:nsid w:val="0EB60CE1"/>
    <w:multiLevelType w:val="singleLevel"/>
    <w:tmpl w:val="02B67C94"/>
    <w:lvl w:ilvl="0">
      <w:start w:val="8"/>
      <w:numFmt w:val="decimal"/>
      <w:lvlText w:val="%1. "/>
      <w:legacy w:legacy="1" w:legacySpace="0" w:legacyIndent="283"/>
      <w:lvlJc w:val="left"/>
      <w:pPr>
        <w:ind w:left="1701" w:hanging="283"/>
      </w:pPr>
      <w:rPr>
        <w:rFonts w:ascii="Arial" w:hAnsi="Arial" w:hint="default"/>
        <w:b/>
        <w:i w:val="0"/>
        <w:sz w:val="24"/>
      </w:rPr>
    </w:lvl>
  </w:abstractNum>
  <w:abstractNum w:abstractNumId="102">
    <w:nsid w:val="0ED7078C"/>
    <w:multiLevelType w:val="singleLevel"/>
    <w:tmpl w:val="04160017"/>
    <w:lvl w:ilvl="0">
      <w:start w:val="1"/>
      <w:numFmt w:val="lowerLetter"/>
      <w:lvlText w:val="%1)"/>
      <w:lvlJc w:val="left"/>
      <w:pPr>
        <w:tabs>
          <w:tab w:val="num" w:pos="360"/>
        </w:tabs>
        <w:ind w:left="360" w:hanging="360"/>
      </w:pPr>
      <w:rPr>
        <w:rFonts w:hint="default"/>
      </w:rPr>
    </w:lvl>
  </w:abstractNum>
  <w:abstractNum w:abstractNumId="103">
    <w:nsid w:val="0F027A6B"/>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4">
    <w:nsid w:val="0F264EFF"/>
    <w:multiLevelType w:val="singleLevel"/>
    <w:tmpl w:val="04160011"/>
    <w:lvl w:ilvl="0">
      <w:start w:val="1"/>
      <w:numFmt w:val="decimal"/>
      <w:lvlText w:val="%1)"/>
      <w:legacy w:legacy="1" w:legacySpace="0" w:legacyIndent="360"/>
      <w:lvlJc w:val="left"/>
      <w:pPr>
        <w:ind w:left="360" w:hanging="360"/>
      </w:pPr>
    </w:lvl>
  </w:abstractNum>
  <w:abstractNum w:abstractNumId="105">
    <w:nsid w:val="0F445C1F"/>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06">
    <w:nsid w:val="0FA31B7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07">
    <w:nsid w:val="0FC47EE4"/>
    <w:multiLevelType w:val="singleLevel"/>
    <w:tmpl w:val="0416000F"/>
    <w:lvl w:ilvl="0">
      <w:start w:val="1"/>
      <w:numFmt w:val="decimal"/>
      <w:lvlText w:val="%1."/>
      <w:lvlJc w:val="left"/>
      <w:pPr>
        <w:tabs>
          <w:tab w:val="num" w:pos="360"/>
        </w:tabs>
        <w:ind w:left="360" w:hanging="360"/>
      </w:pPr>
    </w:lvl>
  </w:abstractNum>
  <w:abstractNum w:abstractNumId="108">
    <w:nsid w:val="0FD22772"/>
    <w:multiLevelType w:val="hybridMultilevel"/>
    <w:tmpl w:val="0F72DFFC"/>
    <w:lvl w:ilvl="0" w:tplc="9A0428D0">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
    <w:nsid w:val="0FF6750D"/>
    <w:multiLevelType w:val="singleLevel"/>
    <w:tmpl w:val="7474FDB4"/>
    <w:lvl w:ilvl="0">
      <w:start w:val="4"/>
      <w:numFmt w:val="lowerRoman"/>
      <w:lvlText w:val="%1)"/>
      <w:lvlJc w:val="left"/>
      <w:pPr>
        <w:tabs>
          <w:tab w:val="num" w:pos="2130"/>
        </w:tabs>
        <w:ind w:left="2130" w:hanging="720"/>
      </w:pPr>
      <w:rPr>
        <w:rFonts w:hint="default"/>
      </w:rPr>
    </w:lvl>
  </w:abstractNum>
  <w:abstractNum w:abstractNumId="110">
    <w:nsid w:val="10106FF8"/>
    <w:multiLevelType w:val="singleLevel"/>
    <w:tmpl w:val="04160001"/>
    <w:lvl w:ilvl="0">
      <w:start w:val="331"/>
      <w:numFmt w:val="bullet"/>
      <w:lvlText w:val=""/>
      <w:lvlJc w:val="left"/>
      <w:pPr>
        <w:tabs>
          <w:tab w:val="num" w:pos="360"/>
        </w:tabs>
        <w:ind w:left="360" w:hanging="360"/>
      </w:pPr>
      <w:rPr>
        <w:rFonts w:ascii="Symbol" w:hAnsi="Symbol" w:hint="default"/>
      </w:rPr>
    </w:lvl>
  </w:abstractNum>
  <w:abstractNum w:abstractNumId="111">
    <w:nsid w:val="10110E31"/>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12">
    <w:nsid w:val="1083307A"/>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113">
    <w:nsid w:val="10C470D3"/>
    <w:multiLevelType w:val="singleLevel"/>
    <w:tmpl w:val="118A400E"/>
    <w:lvl w:ilvl="0">
      <w:numFmt w:val="bullet"/>
      <w:lvlText w:val="-"/>
      <w:lvlJc w:val="left"/>
      <w:pPr>
        <w:tabs>
          <w:tab w:val="num" w:pos="4755"/>
        </w:tabs>
        <w:ind w:left="4755" w:hanging="360"/>
      </w:pPr>
      <w:rPr>
        <w:b/>
        <w:i w:val="0"/>
      </w:rPr>
    </w:lvl>
  </w:abstractNum>
  <w:abstractNum w:abstractNumId="114">
    <w:nsid w:val="10EF434C"/>
    <w:multiLevelType w:val="singleLevel"/>
    <w:tmpl w:val="461E46FA"/>
    <w:lvl w:ilvl="0">
      <w:start w:val="1"/>
      <w:numFmt w:val="lowerLetter"/>
      <w:lvlText w:val="%1"/>
      <w:legacy w:legacy="1" w:legacySpace="0" w:legacyIndent="1778"/>
      <w:lvlJc w:val="left"/>
      <w:pPr>
        <w:ind w:left="3196" w:hanging="1778"/>
      </w:pPr>
      <w:rPr>
        <w:b/>
      </w:rPr>
    </w:lvl>
  </w:abstractNum>
  <w:abstractNum w:abstractNumId="115">
    <w:nsid w:val="1111648B"/>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116">
    <w:nsid w:val="11826C48"/>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17">
    <w:nsid w:val="11D423A5"/>
    <w:multiLevelType w:val="multilevel"/>
    <w:tmpl w:val="43385248"/>
    <w:lvl w:ilvl="0">
      <w:start w:val="8"/>
      <w:numFmt w:val="decimal"/>
      <w:lvlText w:val="%1"/>
      <w:lvlJc w:val="left"/>
      <w:pPr>
        <w:tabs>
          <w:tab w:val="num" w:pos="465"/>
        </w:tabs>
        <w:ind w:left="465" w:hanging="465"/>
      </w:pPr>
      <w:rPr>
        <w:rFonts w:hint="default"/>
      </w:rPr>
    </w:lvl>
    <w:lvl w:ilvl="1">
      <w:start w:val="3"/>
      <w:numFmt w:val="decimal"/>
      <w:lvlText w:val="%1.%2"/>
      <w:lvlJc w:val="left"/>
      <w:pPr>
        <w:tabs>
          <w:tab w:val="num" w:pos="1914"/>
        </w:tabs>
        <w:ind w:left="1914" w:hanging="465"/>
      </w:pPr>
      <w:rPr>
        <w:rFonts w:hint="default"/>
      </w:rPr>
    </w:lvl>
    <w:lvl w:ilvl="2">
      <w:start w:val="1"/>
      <w:numFmt w:val="decimal"/>
      <w:lvlText w:val="%1.%2.%3"/>
      <w:lvlJc w:val="left"/>
      <w:pPr>
        <w:tabs>
          <w:tab w:val="num" w:pos="3618"/>
        </w:tabs>
        <w:ind w:left="3618" w:hanging="720"/>
      </w:pPr>
      <w:rPr>
        <w:rFonts w:hint="default"/>
      </w:rPr>
    </w:lvl>
    <w:lvl w:ilvl="3">
      <w:start w:val="1"/>
      <w:numFmt w:val="decimal"/>
      <w:lvlText w:val="%1.%2.%3.%4"/>
      <w:lvlJc w:val="left"/>
      <w:pPr>
        <w:tabs>
          <w:tab w:val="num" w:pos="5427"/>
        </w:tabs>
        <w:ind w:left="5427" w:hanging="1080"/>
      </w:pPr>
      <w:rPr>
        <w:rFonts w:hint="default"/>
      </w:rPr>
    </w:lvl>
    <w:lvl w:ilvl="4">
      <w:start w:val="1"/>
      <w:numFmt w:val="decimal"/>
      <w:lvlText w:val="%1.%2.%3.%4.%5"/>
      <w:lvlJc w:val="left"/>
      <w:pPr>
        <w:tabs>
          <w:tab w:val="num" w:pos="6876"/>
        </w:tabs>
        <w:ind w:left="6876" w:hanging="1080"/>
      </w:pPr>
      <w:rPr>
        <w:rFonts w:hint="default"/>
      </w:rPr>
    </w:lvl>
    <w:lvl w:ilvl="5">
      <w:start w:val="1"/>
      <w:numFmt w:val="decimal"/>
      <w:lvlText w:val="%1.%2.%3.%4.%5.%6"/>
      <w:lvlJc w:val="left"/>
      <w:pPr>
        <w:tabs>
          <w:tab w:val="num" w:pos="8685"/>
        </w:tabs>
        <w:ind w:left="8685" w:hanging="1440"/>
      </w:pPr>
      <w:rPr>
        <w:rFonts w:hint="default"/>
      </w:rPr>
    </w:lvl>
    <w:lvl w:ilvl="6">
      <w:start w:val="1"/>
      <w:numFmt w:val="decimal"/>
      <w:lvlText w:val="%1.%2.%3.%4.%5.%6.%7"/>
      <w:lvlJc w:val="left"/>
      <w:pPr>
        <w:tabs>
          <w:tab w:val="num" w:pos="10134"/>
        </w:tabs>
        <w:ind w:left="10134" w:hanging="1440"/>
      </w:pPr>
      <w:rPr>
        <w:rFonts w:hint="default"/>
      </w:rPr>
    </w:lvl>
    <w:lvl w:ilvl="7">
      <w:start w:val="1"/>
      <w:numFmt w:val="decimal"/>
      <w:lvlText w:val="%1.%2.%3.%4.%5.%6.%7.%8"/>
      <w:lvlJc w:val="left"/>
      <w:pPr>
        <w:tabs>
          <w:tab w:val="num" w:pos="11943"/>
        </w:tabs>
        <w:ind w:left="11943" w:hanging="1800"/>
      </w:pPr>
      <w:rPr>
        <w:rFonts w:hint="default"/>
      </w:rPr>
    </w:lvl>
    <w:lvl w:ilvl="8">
      <w:start w:val="1"/>
      <w:numFmt w:val="decimal"/>
      <w:lvlText w:val="%1.%2.%3.%4.%5.%6.%7.%8.%9"/>
      <w:lvlJc w:val="left"/>
      <w:pPr>
        <w:tabs>
          <w:tab w:val="num" w:pos="13392"/>
        </w:tabs>
        <w:ind w:left="13392" w:hanging="1800"/>
      </w:pPr>
      <w:rPr>
        <w:rFonts w:hint="default"/>
      </w:rPr>
    </w:lvl>
  </w:abstractNum>
  <w:abstractNum w:abstractNumId="118">
    <w:nsid w:val="121269E9"/>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19">
    <w:nsid w:val="122A0BFE"/>
    <w:multiLevelType w:val="singleLevel"/>
    <w:tmpl w:val="16BC7322"/>
    <w:lvl w:ilvl="0">
      <w:start w:val="1"/>
      <w:numFmt w:val="bullet"/>
      <w:lvlText w:val="-"/>
      <w:lvlJc w:val="left"/>
      <w:pPr>
        <w:tabs>
          <w:tab w:val="num" w:pos="360"/>
        </w:tabs>
        <w:ind w:left="360" w:hanging="360"/>
      </w:pPr>
      <w:rPr>
        <w:rFonts w:hint="default"/>
        <w:sz w:val="26"/>
      </w:rPr>
    </w:lvl>
  </w:abstractNum>
  <w:abstractNum w:abstractNumId="120">
    <w:nsid w:val="128C42B2"/>
    <w:multiLevelType w:val="singleLevel"/>
    <w:tmpl w:val="CC0437A2"/>
    <w:lvl w:ilvl="0">
      <w:start w:val="4"/>
      <w:numFmt w:val="decimal"/>
      <w:lvlText w:val="%1-"/>
      <w:lvlJc w:val="left"/>
      <w:pPr>
        <w:tabs>
          <w:tab w:val="num" w:pos="705"/>
        </w:tabs>
        <w:ind w:left="705" w:hanging="705"/>
      </w:pPr>
      <w:rPr>
        <w:rFonts w:hint="default"/>
      </w:rPr>
    </w:lvl>
  </w:abstractNum>
  <w:abstractNum w:abstractNumId="121">
    <w:nsid w:val="129B053D"/>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122">
    <w:nsid w:val="129F217F"/>
    <w:multiLevelType w:val="singleLevel"/>
    <w:tmpl w:val="FFFFFFFF"/>
    <w:lvl w:ilvl="0">
      <w:numFmt w:val="decimal"/>
      <w:lvlText w:val="%1"/>
      <w:legacy w:legacy="1" w:legacySpace="0" w:legacyIndent="0"/>
      <w:lvlJc w:val="left"/>
    </w:lvl>
  </w:abstractNum>
  <w:abstractNum w:abstractNumId="123">
    <w:nsid w:val="13153F26"/>
    <w:multiLevelType w:val="singleLevel"/>
    <w:tmpl w:val="118A400E"/>
    <w:lvl w:ilvl="0">
      <w:numFmt w:val="bullet"/>
      <w:lvlText w:val="-"/>
      <w:lvlJc w:val="left"/>
      <w:pPr>
        <w:tabs>
          <w:tab w:val="num" w:pos="4755"/>
        </w:tabs>
        <w:ind w:left="4755" w:hanging="360"/>
      </w:pPr>
      <w:rPr>
        <w:b/>
        <w:i w:val="0"/>
      </w:rPr>
    </w:lvl>
  </w:abstractNum>
  <w:abstractNum w:abstractNumId="124">
    <w:nsid w:val="131B17F6"/>
    <w:multiLevelType w:val="singleLevel"/>
    <w:tmpl w:val="C13801E4"/>
    <w:lvl w:ilvl="0">
      <w:start w:val="1"/>
      <w:numFmt w:val="lowerLetter"/>
      <w:lvlText w:val="%1)"/>
      <w:lvlJc w:val="left"/>
      <w:pPr>
        <w:tabs>
          <w:tab w:val="num" w:pos="1066"/>
        </w:tabs>
        <w:ind w:left="1066" w:hanging="360"/>
      </w:pPr>
      <w:rPr>
        <w:rFonts w:hint="default"/>
      </w:rPr>
    </w:lvl>
  </w:abstractNum>
  <w:abstractNum w:abstractNumId="125">
    <w:nsid w:val="1376479F"/>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126">
    <w:nsid w:val="1376579F"/>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27">
    <w:nsid w:val="13973EF5"/>
    <w:multiLevelType w:val="singleLevel"/>
    <w:tmpl w:val="11FEA9E2"/>
    <w:lvl w:ilvl="0">
      <w:start w:val="1"/>
      <w:numFmt w:val="bullet"/>
      <w:lvlText w:val=""/>
      <w:lvlJc w:val="left"/>
      <w:pPr>
        <w:tabs>
          <w:tab w:val="num" w:pos="1512"/>
        </w:tabs>
        <w:ind w:left="1435" w:hanging="283"/>
      </w:pPr>
      <w:rPr>
        <w:rFonts w:ascii="Symbol" w:hAnsi="Symbol" w:hint="default"/>
        <w:sz w:val="28"/>
      </w:rPr>
    </w:lvl>
  </w:abstractNum>
  <w:abstractNum w:abstractNumId="128">
    <w:nsid w:val="13F97C0A"/>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129">
    <w:nsid w:val="140374D8"/>
    <w:multiLevelType w:val="singleLevel"/>
    <w:tmpl w:val="974A6E94"/>
    <w:lvl w:ilvl="0">
      <w:start w:val="4"/>
      <w:numFmt w:val="decimal"/>
      <w:lvlText w:val="%1."/>
      <w:lvlJc w:val="left"/>
      <w:pPr>
        <w:tabs>
          <w:tab w:val="num" w:pos="705"/>
        </w:tabs>
        <w:ind w:left="705" w:hanging="705"/>
      </w:pPr>
      <w:rPr>
        <w:rFonts w:hint="default"/>
      </w:rPr>
    </w:lvl>
  </w:abstractNum>
  <w:abstractNum w:abstractNumId="130">
    <w:nsid w:val="140D6C6C"/>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31">
    <w:nsid w:val="14292C1E"/>
    <w:multiLevelType w:val="singleLevel"/>
    <w:tmpl w:val="118A400E"/>
    <w:lvl w:ilvl="0">
      <w:numFmt w:val="bullet"/>
      <w:lvlText w:val="-"/>
      <w:lvlJc w:val="left"/>
      <w:pPr>
        <w:tabs>
          <w:tab w:val="num" w:pos="4755"/>
        </w:tabs>
        <w:ind w:left="4755" w:hanging="360"/>
      </w:pPr>
      <w:rPr>
        <w:b/>
        <w:i w:val="0"/>
      </w:rPr>
    </w:lvl>
  </w:abstractNum>
  <w:abstractNum w:abstractNumId="132">
    <w:nsid w:val="14471DC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33">
    <w:nsid w:val="14633CFF"/>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34">
    <w:nsid w:val="14775834"/>
    <w:multiLevelType w:val="singleLevel"/>
    <w:tmpl w:val="0416000F"/>
    <w:lvl w:ilvl="0">
      <w:start w:val="7"/>
      <w:numFmt w:val="decimal"/>
      <w:lvlText w:val="%1."/>
      <w:lvlJc w:val="left"/>
      <w:pPr>
        <w:tabs>
          <w:tab w:val="num" w:pos="360"/>
        </w:tabs>
        <w:ind w:left="360" w:hanging="360"/>
      </w:pPr>
      <w:rPr>
        <w:rFonts w:hint="default"/>
        <w:b w:val="0"/>
      </w:rPr>
    </w:lvl>
  </w:abstractNum>
  <w:abstractNum w:abstractNumId="135">
    <w:nsid w:val="1486005E"/>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136">
    <w:nsid w:val="14E37928"/>
    <w:multiLevelType w:val="singleLevel"/>
    <w:tmpl w:val="6A5CBA14"/>
    <w:lvl w:ilvl="0">
      <w:start w:val="3"/>
      <w:numFmt w:val="decimal"/>
      <w:lvlText w:val="2.%1. "/>
      <w:legacy w:legacy="1" w:legacySpace="0" w:legacyIndent="283"/>
      <w:lvlJc w:val="left"/>
      <w:pPr>
        <w:ind w:left="283" w:hanging="283"/>
      </w:pPr>
      <w:rPr>
        <w:rFonts w:ascii="Century Gothic" w:hAnsi="Century Gothic" w:hint="default"/>
        <w:b/>
        <w:i w:val="0"/>
        <w:sz w:val="24"/>
        <w:u w:val="none"/>
      </w:rPr>
    </w:lvl>
  </w:abstractNum>
  <w:abstractNum w:abstractNumId="137">
    <w:nsid w:val="14E7234C"/>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38">
    <w:nsid w:val="15063A67"/>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39">
    <w:nsid w:val="1515755C"/>
    <w:multiLevelType w:val="singleLevel"/>
    <w:tmpl w:val="48626BCE"/>
    <w:lvl w:ilvl="0">
      <w:start w:val="7"/>
      <w:numFmt w:val="decimal"/>
      <w:lvlText w:val="%1. "/>
      <w:legacy w:legacy="1" w:legacySpace="0" w:legacyIndent="283"/>
      <w:lvlJc w:val="left"/>
      <w:pPr>
        <w:ind w:left="1701" w:hanging="283"/>
      </w:pPr>
      <w:rPr>
        <w:rFonts w:ascii="Arial" w:hAnsi="Arial" w:hint="default"/>
        <w:b/>
        <w:i w:val="0"/>
        <w:sz w:val="24"/>
      </w:rPr>
    </w:lvl>
  </w:abstractNum>
  <w:abstractNum w:abstractNumId="140">
    <w:nsid w:val="152447BA"/>
    <w:multiLevelType w:val="singleLevel"/>
    <w:tmpl w:val="E8547C0A"/>
    <w:lvl w:ilvl="0">
      <w:start w:val="1"/>
      <w:numFmt w:val="lowerLetter"/>
      <w:lvlText w:val="%1) "/>
      <w:lvlJc w:val="left"/>
      <w:pPr>
        <w:tabs>
          <w:tab w:val="num" w:pos="1069"/>
        </w:tabs>
        <w:ind w:left="992" w:hanging="283"/>
      </w:pPr>
      <w:rPr>
        <w:rFonts w:ascii="Arial" w:hAnsi="Arial" w:hint="default"/>
        <w:b/>
        <w:i w:val="0"/>
        <w:sz w:val="24"/>
        <w:u w:val="none"/>
      </w:rPr>
    </w:lvl>
  </w:abstractNum>
  <w:abstractNum w:abstractNumId="141">
    <w:nsid w:val="15923E9B"/>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42">
    <w:nsid w:val="15AA51BA"/>
    <w:multiLevelType w:val="singleLevel"/>
    <w:tmpl w:val="0416000F"/>
    <w:lvl w:ilvl="0">
      <w:start w:val="1"/>
      <w:numFmt w:val="decimal"/>
      <w:lvlText w:val="%1."/>
      <w:lvlJc w:val="left"/>
      <w:pPr>
        <w:tabs>
          <w:tab w:val="num" w:pos="360"/>
        </w:tabs>
        <w:ind w:left="360" w:hanging="360"/>
      </w:pPr>
      <w:rPr>
        <w:rFonts w:hint="default"/>
      </w:rPr>
    </w:lvl>
  </w:abstractNum>
  <w:abstractNum w:abstractNumId="143">
    <w:nsid w:val="15C5493E"/>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44">
    <w:nsid w:val="15D714D6"/>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45">
    <w:nsid w:val="15E76B28"/>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46">
    <w:nsid w:val="1647537E"/>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47">
    <w:nsid w:val="16573F4C"/>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48">
    <w:nsid w:val="168474C7"/>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49">
    <w:nsid w:val="16A9172A"/>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50">
    <w:nsid w:val="16D64C3D"/>
    <w:multiLevelType w:val="singleLevel"/>
    <w:tmpl w:val="118A400E"/>
    <w:lvl w:ilvl="0">
      <w:numFmt w:val="bullet"/>
      <w:lvlText w:val="-"/>
      <w:lvlJc w:val="left"/>
      <w:pPr>
        <w:tabs>
          <w:tab w:val="num" w:pos="4755"/>
        </w:tabs>
        <w:ind w:left="4755" w:hanging="360"/>
      </w:pPr>
      <w:rPr>
        <w:b/>
        <w:i w:val="0"/>
      </w:rPr>
    </w:lvl>
  </w:abstractNum>
  <w:abstractNum w:abstractNumId="151">
    <w:nsid w:val="16F612A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52">
    <w:nsid w:val="170C549E"/>
    <w:multiLevelType w:val="singleLevel"/>
    <w:tmpl w:val="01325DD6"/>
    <w:lvl w:ilvl="0">
      <w:start w:val="1"/>
      <w:numFmt w:val="lowerLetter"/>
      <w:lvlText w:val="(%1)"/>
      <w:lvlJc w:val="left"/>
      <w:pPr>
        <w:tabs>
          <w:tab w:val="num" w:pos="720"/>
        </w:tabs>
        <w:ind w:left="720" w:hanging="720"/>
      </w:pPr>
    </w:lvl>
  </w:abstractNum>
  <w:abstractNum w:abstractNumId="153">
    <w:nsid w:val="17250B2F"/>
    <w:multiLevelType w:val="singleLevel"/>
    <w:tmpl w:val="6C625D34"/>
    <w:lvl w:ilvl="0">
      <w:start w:val="1"/>
      <w:numFmt w:val="lowerLetter"/>
      <w:lvlText w:val="(%1)"/>
      <w:lvlJc w:val="left"/>
      <w:pPr>
        <w:tabs>
          <w:tab w:val="num" w:pos="1068"/>
        </w:tabs>
        <w:ind w:left="1068" w:hanging="360"/>
      </w:pPr>
      <w:rPr>
        <w:rFonts w:hint="default"/>
      </w:rPr>
    </w:lvl>
  </w:abstractNum>
  <w:abstractNum w:abstractNumId="154">
    <w:nsid w:val="172B7A9B"/>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55">
    <w:nsid w:val="17763461"/>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156">
    <w:nsid w:val="178035D3"/>
    <w:multiLevelType w:val="multilevel"/>
    <w:tmpl w:val="19C28936"/>
    <w:lvl w:ilvl="0">
      <w:start w:val="6"/>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7">
    <w:nsid w:val="17927247"/>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158">
    <w:nsid w:val="17A30C5A"/>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59">
    <w:nsid w:val="17DD29BE"/>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60">
    <w:nsid w:val="17E15125"/>
    <w:multiLevelType w:val="singleLevel"/>
    <w:tmpl w:val="D1EE1D0C"/>
    <w:lvl w:ilvl="0">
      <w:start w:val="3"/>
      <w:numFmt w:val="decimal"/>
      <w:lvlText w:val="%1."/>
      <w:lvlJc w:val="left"/>
      <w:pPr>
        <w:tabs>
          <w:tab w:val="num" w:pos="360"/>
        </w:tabs>
        <w:ind w:left="360" w:hanging="360"/>
      </w:pPr>
      <w:rPr>
        <w:rFonts w:hint="default"/>
        <w:b/>
      </w:rPr>
    </w:lvl>
  </w:abstractNum>
  <w:abstractNum w:abstractNumId="161">
    <w:nsid w:val="17EE3581"/>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62">
    <w:nsid w:val="188C64A8"/>
    <w:multiLevelType w:val="singleLevel"/>
    <w:tmpl w:val="9FBA0D68"/>
    <w:lvl w:ilvl="0">
      <w:start w:val="8"/>
      <w:numFmt w:val="decimal"/>
      <w:lvlText w:val="%1)"/>
      <w:lvlJc w:val="left"/>
      <w:pPr>
        <w:tabs>
          <w:tab w:val="num" w:pos="1353"/>
        </w:tabs>
        <w:ind w:left="1353" w:hanging="360"/>
      </w:pPr>
      <w:rPr>
        <w:rFonts w:hint="default"/>
      </w:rPr>
    </w:lvl>
  </w:abstractNum>
  <w:abstractNum w:abstractNumId="163">
    <w:nsid w:val="18911B6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64">
    <w:nsid w:val="189552F2"/>
    <w:multiLevelType w:val="multilevel"/>
    <w:tmpl w:val="920668FC"/>
    <w:lvl w:ilvl="0">
      <w:start w:val="3"/>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5">
    <w:nsid w:val="18A65DC7"/>
    <w:multiLevelType w:val="singleLevel"/>
    <w:tmpl w:val="5524D622"/>
    <w:lvl w:ilvl="0">
      <w:start w:val="1"/>
      <w:numFmt w:val="bullet"/>
      <w:lvlText w:val=""/>
      <w:lvlJc w:val="left"/>
      <w:pPr>
        <w:tabs>
          <w:tab w:val="num" w:pos="1512"/>
        </w:tabs>
        <w:ind w:left="1435" w:hanging="283"/>
      </w:pPr>
      <w:rPr>
        <w:rFonts w:ascii="Symbol" w:hAnsi="Symbol" w:hint="default"/>
        <w:sz w:val="28"/>
      </w:rPr>
    </w:lvl>
  </w:abstractNum>
  <w:abstractNum w:abstractNumId="166">
    <w:nsid w:val="18FC43AE"/>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167">
    <w:nsid w:val="191572B4"/>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68">
    <w:nsid w:val="19267CCC"/>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169">
    <w:nsid w:val="192C5F4B"/>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70">
    <w:nsid w:val="19A04EB5"/>
    <w:multiLevelType w:val="multilevel"/>
    <w:tmpl w:val="654687A0"/>
    <w:lvl w:ilvl="0">
      <w:start w:val="7"/>
      <w:numFmt w:val="decimal"/>
      <w:lvlText w:val="%1"/>
      <w:lvlJc w:val="left"/>
      <w:pPr>
        <w:tabs>
          <w:tab w:val="num" w:pos="465"/>
        </w:tabs>
        <w:ind w:left="465" w:hanging="465"/>
      </w:pPr>
      <w:rPr>
        <w:rFonts w:hint="default"/>
      </w:rPr>
    </w:lvl>
    <w:lvl w:ilvl="1">
      <w:start w:val="5"/>
      <w:numFmt w:val="decimal"/>
      <w:lvlText w:val="%1.%2"/>
      <w:lvlJc w:val="left"/>
      <w:pPr>
        <w:tabs>
          <w:tab w:val="num" w:pos="1659"/>
        </w:tabs>
        <w:ind w:left="1659" w:hanging="465"/>
      </w:pPr>
      <w:rPr>
        <w:rFonts w:hint="default"/>
      </w:rPr>
    </w:lvl>
    <w:lvl w:ilvl="2">
      <w:start w:val="1"/>
      <w:numFmt w:val="decimal"/>
      <w:lvlText w:val="%1.%2.%3"/>
      <w:lvlJc w:val="left"/>
      <w:pPr>
        <w:tabs>
          <w:tab w:val="num" w:pos="3108"/>
        </w:tabs>
        <w:ind w:left="3108" w:hanging="720"/>
      </w:pPr>
      <w:rPr>
        <w:rFonts w:hint="default"/>
      </w:rPr>
    </w:lvl>
    <w:lvl w:ilvl="3">
      <w:start w:val="1"/>
      <w:numFmt w:val="decimal"/>
      <w:lvlText w:val="%1.%2.%3.%4"/>
      <w:lvlJc w:val="left"/>
      <w:pPr>
        <w:tabs>
          <w:tab w:val="num" w:pos="4662"/>
        </w:tabs>
        <w:ind w:left="4662" w:hanging="1080"/>
      </w:pPr>
      <w:rPr>
        <w:rFonts w:hint="default"/>
      </w:rPr>
    </w:lvl>
    <w:lvl w:ilvl="4">
      <w:start w:val="1"/>
      <w:numFmt w:val="decimal"/>
      <w:lvlText w:val="%1.%2.%3.%4.%5"/>
      <w:lvlJc w:val="left"/>
      <w:pPr>
        <w:tabs>
          <w:tab w:val="num" w:pos="5856"/>
        </w:tabs>
        <w:ind w:left="5856" w:hanging="1080"/>
      </w:pPr>
      <w:rPr>
        <w:rFonts w:hint="default"/>
      </w:rPr>
    </w:lvl>
    <w:lvl w:ilvl="5">
      <w:start w:val="1"/>
      <w:numFmt w:val="decimal"/>
      <w:lvlText w:val="%1.%2.%3.%4.%5.%6"/>
      <w:lvlJc w:val="left"/>
      <w:pPr>
        <w:tabs>
          <w:tab w:val="num" w:pos="7410"/>
        </w:tabs>
        <w:ind w:left="7410" w:hanging="1440"/>
      </w:pPr>
      <w:rPr>
        <w:rFonts w:hint="default"/>
      </w:rPr>
    </w:lvl>
    <w:lvl w:ilvl="6">
      <w:start w:val="1"/>
      <w:numFmt w:val="decimal"/>
      <w:lvlText w:val="%1.%2.%3.%4.%5.%6.%7"/>
      <w:lvlJc w:val="left"/>
      <w:pPr>
        <w:tabs>
          <w:tab w:val="num" w:pos="8604"/>
        </w:tabs>
        <w:ind w:left="8604" w:hanging="1440"/>
      </w:pPr>
      <w:rPr>
        <w:rFonts w:hint="default"/>
      </w:rPr>
    </w:lvl>
    <w:lvl w:ilvl="7">
      <w:start w:val="1"/>
      <w:numFmt w:val="decimal"/>
      <w:lvlText w:val="%1.%2.%3.%4.%5.%6.%7.%8"/>
      <w:lvlJc w:val="left"/>
      <w:pPr>
        <w:tabs>
          <w:tab w:val="num" w:pos="10158"/>
        </w:tabs>
        <w:ind w:left="10158" w:hanging="1800"/>
      </w:pPr>
      <w:rPr>
        <w:rFonts w:hint="default"/>
      </w:rPr>
    </w:lvl>
    <w:lvl w:ilvl="8">
      <w:start w:val="1"/>
      <w:numFmt w:val="decimal"/>
      <w:lvlText w:val="%1.%2.%3.%4.%5.%6.%7.%8.%9"/>
      <w:lvlJc w:val="left"/>
      <w:pPr>
        <w:tabs>
          <w:tab w:val="num" w:pos="11352"/>
        </w:tabs>
        <w:ind w:left="11352" w:hanging="1800"/>
      </w:pPr>
      <w:rPr>
        <w:rFonts w:hint="default"/>
      </w:rPr>
    </w:lvl>
  </w:abstractNum>
  <w:abstractNum w:abstractNumId="171">
    <w:nsid w:val="19B85BFD"/>
    <w:multiLevelType w:val="singleLevel"/>
    <w:tmpl w:val="79C028B6"/>
    <w:lvl w:ilvl="0">
      <w:start w:val="64"/>
      <w:numFmt w:val="decimal"/>
      <w:lvlText w:val="%1."/>
      <w:lvlJc w:val="left"/>
      <w:pPr>
        <w:tabs>
          <w:tab w:val="num" w:pos="705"/>
        </w:tabs>
        <w:ind w:left="705" w:hanging="705"/>
      </w:pPr>
      <w:rPr>
        <w:rFonts w:hint="default"/>
      </w:rPr>
    </w:lvl>
  </w:abstractNum>
  <w:abstractNum w:abstractNumId="172">
    <w:nsid w:val="19D067DC"/>
    <w:multiLevelType w:val="singleLevel"/>
    <w:tmpl w:val="7A6ADBD8"/>
    <w:lvl w:ilvl="0">
      <w:numFmt w:val="bullet"/>
      <w:lvlText w:val=""/>
      <w:lvlJc w:val="left"/>
      <w:pPr>
        <w:tabs>
          <w:tab w:val="num" w:pos="360"/>
        </w:tabs>
        <w:ind w:left="0" w:firstLine="0"/>
      </w:pPr>
      <w:rPr>
        <w:rFonts w:ascii="Symbol" w:hAnsi="Symbol" w:hint="default"/>
      </w:rPr>
    </w:lvl>
  </w:abstractNum>
  <w:abstractNum w:abstractNumId="173">
    <w:nsid w:val="19DA7E4B"/>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74">
    <w:nsid w:val="19F74342"/>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75">
    <w:nsid w:val="19FA3C6F"/>
    <w:multiLevelType w:val="singleLevel"/>
    <w:tmpl w:val="FFFFFFFF"/>
    <w:lvl w:ilvl="0">
      <w:numFmt w:val="decimal"/>
      <w:lvlText w:val="%1"/>
      <w:legacy w:legacy="1" w:legacySpace="0" w:legacyIndent="0"/>
      <w:lvlJc w:val="left"/>
    </w:lvl>
  </w:abstractNum>
  <w:abstractNum w:abstractNumId="176">
    <w:nsid w:val="1A380AE1"/>
    <w:multiLevelType w:val="singleLevel"/>
    <w:tmpl w:val="5524D622"/>
    <w:lvl w:ilvl="0">
      <w:start w:val="1"/>
      <w:numFmt w:val="bullet"/>
      <w:lvlText w:val=""/>
      <w:lvlJc w:val="left"/>
      <w:pPr>
        <w:tabs>
          <w:tab w:val="num" w:pos="1512"/>
        </w:tabs>
        <w:ind w:left="1435" w:hanging="283"/>
      </w:pPr>
      <w:rPr>
        <w:rFonts w:ascii="Symbol" w:hAnsi="Symbol" w:hint="default"/>
        <w:sz w:val="28"/>
      </w:rPr>
    </w:lvl>
  </w:abstractNum>
  <w:abstractNum w:abstractNumId="177">
    <w:nsid w:val="1AA02EDF"/>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78">
    <w:nsid w:val="1AA14E19"/>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179">
    <w:nsid w:val="1ABD085B"/>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180">
    <w:nsid w:val="1B4716E5"/>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181">
    <w:nsid w:val="1B623EE9"/>
    <w:multiLevelType w:val="singleLevel"/>
    <w:tmpl w:val="461E46FA"/>
    <w:lvl w:ilvl="0">
      <w:start w:val="1"/>
      <w:numFmt w:val="lowerLetter"/>
      <w:lvlText w:val="%1"/>
      <w:legacy w:legacy="1" w:legacySpace="0" w:legacyIndent="1778"/>
      <w:lvlJc w:val="left"/>
      <w:pPr>
        <w:ind w:left="3196" w:hanging="1778"/>
      </w:pPr>
      <w:rPr>
        <w:b/>
      </w:rPr>
    </w:lvl>
  </w:abstractNum>
  <w:abstractNum w:abstractNumId="182">
    <w:nsid w:val="1B710249"/>
    <w:multiLevelType w:val="singleLevel"/>
    <w:tmpl w:val="EED03B2C"/>
    <w:lvl w:ilvl="0">
      <w:start w:val="1"/>
      <w:numFmt w:val="bullet"/>
      <w:lvlText w:val=""/>
      <w:lvlJc w:val="left"/>
      <w:pPr>
        <w:tabs>
          <w:tab w:val="num" w:pos="1512"/>
        </w:tabs>
        <w:ind w:left="1435" w:hanging="283"/>
      </w:pPr>
      <w:rPr>
        <w:rFonts w:ascii="Symbol" w:hAnsi="Symbol" w:hint="default"/>
        <w:sz w:val="20"/>
      </w:rPr>
    </w:lvl>
  </w:abstractNum>
  <w:abstractNum w:abstractNumId="183">
    <w:nsid w:val="1B86149B"/>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184">
    <w:nsid w:val="1BB10084"/>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185">
    <w:nsid w:val="1C1C0AC1"/>
    <w:multiLevelType w:val="singleLevel"/>
    <w:tmpl w:val="118A400E"/>
    <w:lvl w:ilvl="0">
      <w:numFmt w:val="bullet"/>
      <w:lvlText w:val="-"/>
      <w:lvlJc w:val="left"/>
      <w:pPr>
        <w:tabs>
          <w:tab w:val="num" w:pos="4755"/>
        </w:tabs>
        <w:ind w:left="4755" w:hanging="360"/>
      </w:pPr>
      <w:rPr>
        <w:b/>
        <w:i w:val="0"/>
      </w:rPr>
    </w:lvl>
  </w:abstractNum>
  <w:abstractNum w:abstractNumId="186">
    <w:nsid w:val="1C2B6364"/>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87">
    <w:nsid w:val="1C33147C"/>
    <w:multiLevelType w:val="singleLevel"/>
    <w:tmpl w:val="118A400E"/>
    <w:lvl w:ilvl="0">
      <w:numFmt w:val="bullet"/>
      <w:lvlText w:val="-"/>
      <w:lvlJc w:val="left"/>
      <w:pPr>
        <w:tabs>
          <w:tab w:val="num" w:pos="4755"/>
        </w:tabs>
        <w:ind w:left="4755" w:hanging="360"/>
      </w:pPr>
      <w:rPr>
        <w:b/>
        <w:i w:val="0"/>
      </w:rPr>
    </w:lvl>
  </w:abstractNum>
  <w:abstractNum w:abstractNumId="188">
    <w:nsid w:val="1C691B7C"/>
    <w:multiLevelType w:val="singleLevel"/>
    <w:tmpl w:val="12C6BB82"/>
    <w:lvl w:ilvl="0">
      <w:numFmt w:val="bullet"/>
      <w:lvlText w:val="-"/>
      <w:lvlJc w:val="left"/>
      <w:pPr>
        <w:tabs>
          <w:tab w:val="num" w:pos="360"/>
        </w:tabs>
        <w:ind w:left="360" w:hanging="360"/>
      </w:pPr>
      <w:rPr>
        <w:rFonts w:ascii="Times New Roman" w:hAnsi="Times New Roman" w:hint="default"/>
      </w:rPr>
    </w:lvl>
  </w:abstractNum>
  <w:abstractNum w:abstractNumId="189">
    <w:nsid w:val="1C8B250B"/>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190">
    <w:nsid w:val="1CC146C2"/>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191">
    <w:nsid w:val="1CE35D09"/>
    <w:multiLevelType w:val="singleLevel"/>
    <w:tmpl w:val="EFB45064"/>
    <w:lvl w:ilvl="0">
      <w:start w:val="1"/>
      <w:numFmt w:val="lowerLetter"/>
      <w:lvlText w:val="(%1)"/>
      <w:lvlJc w:val="left"/>
      <w:pPr>
        <w:tabs>
          <w:tab w:val="num" w:pos="1080"/>
        </w:tabs>
        <w:ind w:left="1080" w:hanging="375"/>
      </w:pPr>
      <w:rPr>
        <w:rFonts w:hint="default"/>
      </w:rPr>
    </w:lvl>
  </w:abstractNum>
  <w:abstractNum w:abstractNumId="192">
    <w:nsid w:val="1D003ED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93">
    <w:nsid w:val="1D201548"/>
    <w:multiLevelType w:val="singleLevel"/>
    <w:tmpl w:val="1CA0932C"/>
    <w:lvl w:ilvl="0">
      <w:start w:val="72"/>
      <w:numFmt w:val="decimal"/>
      <w:lvlText w:val="%1."/>
      <w:lvlJc w:val="left"/>
      <w:pPr>
        <w:tabs>
          <w:tab w:val="num" w:pos="705"/>
        </w:tabs>
        <w:ind w:left="705" w:hanging="705"/>
      </w:pPr>
      <w:rPr>
        <w:rFonts w:hint="default"/>
      </w:rPr>
    </w:lvl>
  </w:abstractNum>
  <w:abstractNum w:abstractNumId="194">
    <w:nsid w:val="1D9A55B2"/>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95">
    <w:nsid w:val="1DBB419F"/>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196">
    <w:nsid w:val="1DDF34F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97">
    <w:nsid w:val="1E764CB8"/>
    <w:multiLevelType w:val="singleLevel"/>
    <w:tmpl w:val="D64EF90C"/>
    <w:lvl w:ilvl="0">
      <w:start w:val="19"/>
      <w:numFmt w:val="decimal"/>
      <w:lvlText w:val="%1."/>
      <w:lvlJc w:val="left"/>
      <w:pPr>
        <w:tabs>
          <w:tab w:val="num" w:pos="510"/>
        </w:tabs>
        <w:ind w:left="510" w:hanging="510"/>
      </w:pPr>
      <w:rPr>
        <w:rFonts w:hint="default"/>
        <w:b/>
      </w:rPr>
    </w:lvl>
  </w:abstractNum>
  <w:abstractNum w:abstractNumId="198">
    <w:nsid w:val="1E793F96"/>
    <w:multiLevelType w:val="singleLevel"/>
    <w:tmpl w:val="2DA8085A"/>
    <w:lvl w:ilvl="0">
      <w:start w:val="1"/>
      <w:numFmt w:val="lowerLetter"/>
      <w:lvlText w:val="%1) "/>
      <w:legacy w:legacy="1" w:legacySpace="0" w:legacyIndent="283"/>
      <w:lvlJc w:val="left"/>
      <w:pPr>
        <w:ind w:left="283" w:hanging="283"/>
      </w:pPr>
      <w:rPr>
        <w:rFonts w:ascii="Bookman Old Style" w:hAnsi="Bookman Old Style" w:hint="default"/>
        <w:b w:val="0"/>
        <w:i w:val="0"/>
        <w:sz w:val="24"/>
        <w:u w:val="none"/>
      </w:rPr>
    </w:lvl>
  </w:abstractNum>
  <w:abstractNum w:abstractNumId="199">
    <w:nsid w:val="1E99072D"/>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200">
    <w:nsid w:val="1EF14CC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201">
    <w:nsid w:val="1EFA0B20"/>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202">
    <w:nsid w:val="1F106282"/>
    <w:multiLevelType w:val="singleLevel"/>
    <w:tmpl w:val="C06A271A"/>
    <w:lvl w:ilvl="0">
      <w:start w:val="1"/>
      <w:numFmt w:val="lowerRoman"/>
      <w:lvlText w:val="%1)"/>
      <w:lvlJc w:val="left"/>
      <w:pPr>
        <w:tabs>
          <w:tab w:val="num" w:pos="720"/>
        </w:tabs>
        <w:ind w:left="720" w:hanging="720"/>
      </w:pPr>
      <w:rPr>
        <w:rFonts w:hint="default"/>
        <w:b/>
        <w:i/>
      </w:rPr>
    </w:lvl>
  </w:abstractNum>
  <w:abstractNum w:abstractNumId="203">
    <w:nsid w:val="1F232C5F"/>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204">
    <w:nsid w:val="1F966762"/>
    <w:multiLevelType w:val="singleLevel"/>
    <w:tmpl w:val="04160017"/>
    <w:lvl w:ilvl="0">
      <w:start w:val="1"/>
      <w:numFmt w:val="lowerLetter"/>
      <w:lvlText w:val="%1)"/>
      <w:lvlJc w:val="left"/>
      <w:pPr>
        <w:tabs>
          <w:tab w:val="num" w:pos="360"/>
        </w:tabs>
        <w:ind w:left="360" w:hanging="360"/>
      </w:pPr>
    </w:lvl>
  </w:abstractNum>
  <w:abstractNum w:abstractNumId="205">
    <w:nsid w:val="1F9B39B7"/>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206">
    <w:nsid w:val="1FA06D2C"/>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207">
    <w:nsid w:val="1FD13D8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08">
    <w:nsid w:val="1FE848A1"/>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209">
    <w:nsid w:val="1FFA756C"/>
    <w:multiLevelType w:val="singleLevel"/>
    <w:tmpl w:val="1B722FFA"/>
    <w:lvl w:ilvl="0">
      <w:start w:val="2"/>
      <w:numFmt w:val="lowerLetter"/>
      <w:lvlText w:val="%1."/>
      <w:lvlJc w:val="left"/>
      <w:pPr>
        <w:tabs>
          <w:tab w:val="num" w:pos="-15"/>
        </w:tabs>
        <w:ind w:left="-15" w:hanging="360"/>
      </w:pPr>
      <w:rPr>
        <w:rFonts w:hint="default"/>
      </w:rPr>
    </w:lvl>
  </w:abstractNum>
  <w:abstractNum w:abstractNumId="210">
    <w:nsid w:val="1FFC42F4"/>
    <w:multiLevelType w:val="singleLevel"/>
    <w:tmpl w:val="04160017"/>
    <w:lvl w:ilvl="0">
      <w:start w:val="1"/>
      <w:numFmt w:val="lowerLetter"/>
      <w:lvlText w:val="%1)"/>
      <w:lvlJc w:val="left"/>
      <w:pPr>
        <w:tabs>
          <w:tab w:val="num" w:pos="360"/>
        </w:tabs>
        <w:ind w:left="360" w:hanging="360"/>
      </w:pPr>
    </w:lvl>
  </w:abstractNum>
  <w:abstractNum w:abstractNumId="211">
    <w:nsid w:val="200B6C83"/>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212">
    <w:nsid w:val="201D2DF7"/>
    <w:multiLevelType w:val="singleLevel"/>
    <w:tmpl w:val="118A400E"/>
    <w:lvl w:ilvl="0">
      <w:numFmt w:val="bullet"/>
      <w:lvlText w:val="-"/>
      <w:lvlJc w:val="left"/>
      <w:pPr>
        <w:tabs>
          <w:tab w:val="num" w:pos="4755"/>
        </w:tabs>
        <w:ind w:left="4755" w:hanging="360"/>
      </w:pPr>
      <w:rPr>
        <w:b/>
        <w:i w:val="0"/>
      </w:rPr>
    </w:lvl>
  </w:abstractNum>
  <w:abstractNum w:abstractNumId="213">
    <w:nsid w:val="21267910"/>
    <w:multiLevelType w:val="singleLevel"/>
    <w:tmpl w:val="3B98B7F8"/>
    <w:lvl w:ilvl="0">
      <w:start w:val="1"/>
      <w:numFmt w:val="bullet"/>
      <w:lvlText w:val=""/>
      <w:lvlJc w:val="left"/>
      <w:pPr>
        <w:tabs>
          <w:tab w:val="num" w:pos="1512"/>
        </w:tabs>
        <w:ind w:left="1435" w:hanging="283"/>
      </w:pPr>
      <w:rPr>
        <w:rFonts w:ascii="Symbol" w:hAnsi="Symbol" w:hint="default"/>
        <w:sz w:val="20"/>
      </w:rPr>
    </w:lvl>
  </w:abstractNum>
  <w:abstractNum w:abstractNumId="214">
    <w:nsid w:val="21352434"/>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215">
    <w:nsid w:val="21463226"/>
    <w:multiLevelType w:val="hybridMultilevel"/>
    <w:tmpl w:val="130C0B78"/>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6">
    <w:nsid w:val="21A6148E"/>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217">
    <w:nsid w:val="21EE5367"/>
    <w:multiLevelType w:val="singleLevel"/>
    <w:tmpl w:val="04160017"/>
    <w:lvl w:ilvl="0">
      <w:start w:val="1"/>
      <w:numFmt w:val="lowerLetter"/>
      <w:lvlText w:val="%1)"/>
      <w:lvlJc w:val="left"/>
      <w:pPr>
        <w:tabs>
          <w:tab w:val="num" w:pos="360"/>
        </w:tabs>
        <w:ind w:left="360" w:hanging="360"/>
      </w:pPr>
    </w:lvl>
  </w:abstractNum>
  <w:abstractNum w:abstractNumId="218">
    <w:nsid w:val="221D6FAE"/>
    <w:multiLevelType w:val="hybridMultilevel"/>
    <w:tmpl w:val="8BD039D4"/>
    <w:lvl w:ilvl="0" w:tplc="3E3AB39A">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9">
    <w:nsid w:val="222B7E10"/>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220">
    <w:nsid w:val="22B11A90"/>
    <w:multiLevelType w:val="singleLevel"/>
    <w:tmpl w:val="04160017"/>
    <w:lvl w:ilvl="0">
      <w:start w:val="1"/>
      <w:numFmt w:val="lowerLetter"/>
      <w:lvlText w:val="%1)"/>
      <w:lvlJc w:val="left"/>
      <w:pPr>
        <w:tabs>
          <w:tab w:val="num" w:pos="360"/>
        </w:tabs>
        <w:ind w:left="360" w:hanging="360"/>
      </w:pPr>
      <w:rPr>
        <w:rFonts w:hint="default"/>
      </w:rPr>
    </w:lvl>
  </w:abstractNum>
  <w:abstractNum w:abstractNumId="221">
    <w:nsid w:val="22CE01A1"/>
    <w:multiLevelType w:val="multilevel"/>
    <w:tmpl w:val="3FDE842C"/>
    <w:lvl w:ilvl="0">
      <w:start w:val="1"/>
      <w:numFmt w:val="decimal"/>
      <w:lvlText w:val="%1"/>
      <w:lvlJc w:val="left"/>
      <w:pPr>
        <w:tabs>
          <w:tab w:val="num" w:pos="1211"/>
        </w:tabs>
        <w:ind w:left="1211" w:hanging="360"/>
      </w:pPr>
      <w:rPr>
        <w:rFonts w:hint="default"/>
      </w:rPr>
    </w:lvl>
    <w:lvl w:ilvl="1">
      <w:start w:val="1"/>
      <w:numFmt w:val="decimal"/>
      <w:lvlText w:val="%1.%2"/>
      <w:lvlJc w:val="left"/>
      <w:pPr>
        <w:tabs>
          <w:tab w:val="num" w:pos="1854"/>
        </w:tabs>
        <w:ind w:left="1854" w:hanging="600"/>
      </w:pPr>
      <w:rPr>
        <w:rFonts w:hint="default"/>
      </w:rPr>
    </w:lvl>
    <w:lvl w:ilvl="2">
      <w:start w:val="1"/>
      <w:numFmt w:val="decimal"/>
      <w:lvlText w:val="%1.%2.%3"/>
      <w:lvlJc w:val="left"/>
      <w:pPr>
        <w:tabs>
          <w:tab w:val="num" w:pos="3228"/>
        </w:tabs>
        <w:ind w:left="3228" w:hanging="720"/>
      </w:pPr>
      <w:rPr>
        <w:rFonts w:hint="default"/>
      </w:rPr>
    </w:lvl>
    <w:lvl w:ilvl="3">
      <w:start w:val="1"/>
      <w:numFmt w:val="decimal"/>
      <w:lvlText w:val="%1.%2.%3.%4"/>
      <w:lvlJc w:val="left"/>
      <w:pPr>
        <w:tabs>
          <w:tab w:val="num" w:pos="4842"/>
        </w:tabs>
        <w:ind w:left="4842" w:hanging="1080"/>
      </w:pPr>
      <w:rPr>
        <w:rFonts w:hint="default"/>
      </w:rPr>
    </w:lvl>
    <w:lvl w:ilvl="4">
      <w:start w:val="1"/>
      <w:numFmt w:val="decimal"/>
      <w:lvlText w:val="%1.%2.%3.%4.%5"/>
      <w:lvlJc w:val="left"/>
      <w:pPr>
        <w:tabs>
          <w:tab w:val="num" w:pos="6096"/>
        </w:tabs>
        <w:ind w:left="6096" w:hanging="1080"/>
      </w:pPr>
      <w:rPr>
        <w:rFonts w:hint="default"/>
      </w:rPr>
    </w:lvl>
    <w:lvl w:ilvl="5">
      <w:start w:val="1"/>
      <w:numFmt w:val="decimal"/>
      <w:lvlText w:val="%1.%2.%3.%4.%5.%6"/>
      <w:lvlJc w:val="left"/>
      <w:pPr>
        <w:tabs>
          <w:tab w:val="num" w:pos="7710"/>
        </w:tabs>
        <w:ind w:left="7710" w:hanging="1440"/>
      </w:pPr>
      <w:rPr>
        <w:rFonts w:hint="default"/>
      </w:rPr>
    </w:lvl>
    <w:lvl w:ilvl="6">
      <w:start w:val="1"/>
      <w:numFmt w:val="decimal"/>
      <w:lvlText w:val="%1.%2.%3.%4.%5.%6.%7"/>
      <w:lvlJc w:val="left"/>
      <w:pPr>
        <w:tabs>
          <w:tab w:val="num" w:pos="8964"/>
        </w:tabs>
        <w:ind w:left="8964" w:hanging="1440"/>
      </w:pPr>
      <w:rPr>
        <w:rFonts w:hint="default"/>
      </w:rPr>
    </w:lvl>
    <w:lvl w:ilvl="7">
      <w:start w:val="1"/>
      <w:numFmt w:val="decimal"/>
      <w:lvlText w:val="%1.%2.%3.%4.%5.%6.%7.%8"/>
      <w:lvlJc w:val="left"/>
      <w:pPr>
        <w:tabs>
          <w:tab w:val="num" w:pos="10578"/>
        </w:tabs>
        <w:ind w:left="10578" w:hanging="1800"/>
      </w:pPr>
      <w:rPr>
        <w:rFonts w:hint="default"/>
      </w:rPr>
    </w:lvl>
    <w:lvl w:ilvl="8">
      <w:start w:val="1"/>
      <w:numFmt w:val="decimal"/>
      <w:lvlText w:val="%1.%2.%3.%4.%5.%6.%7.%8.%9"/>
      <w:lvlJc w:val="left"/>
      <w:pPr>
        <w:tabs>
          <w:tab w:val="num" w:pos="11832"/>
        </w:tabs>
        <w:ind w:left="11832" w:hanging="1800"/>
      </w:pPr>
      <w:rPr>
        <w:rFonts w:hint="default"/>
      </w:rPr>
    </w:lvl>
  </w:abstractNum>
  <w:abstractNum w:abstractNumId="222">
    <w:nsid w:val="23285C18"/>
    <w:multiLevelType w:val="singleLevel"/>
    <w:tmpl w:val="118A400E"/>
    <w:lvl w:ilvl="0">
      <w:numFmt w:val="bullet"/>
      <w:lvlText w:val="-"/>
      <w:lvlJc w:val="left"/>
      <w:pPr>
        <w:tabs>
          <w:tab w:val="num" w:pos="4755"/>
        </w:tabs>
        <w:ind w:left="4755" w:hanging="360"/>
      </w:pPr>
      <w:rPr>
        <w:b/>
        <w:i w:val="0"/>
      </w:rPr>
    </w:lvl>
  </w:abstractNum>
  <w:abstractNum w:abstractNumId="223">
    <w:nsid w:val="233D0C19"/>
    <w:multiLevelType w:val="singleLevel"/>
    <w:tmpl w:val="007CD24A"/>
    <w:lvl w:ilvl="0">
      <w:start w:val="1"/>
      <w:numFmt w:val="bullet"/>
      <w:lvlText w:val=""/>
      <w:lvlJc w:val="left"/>
      <w:pPr>
        <w:tabs>
          <w:tab w:val="num" w:pos="360"/>
        </w:tabs>
        <w:ind w:left="283" w:hanging="283"/>
      </w:pPr>
      <w:rPr>
        <w:rFonts w:ascii="Symbol" w:hAnsi="Symbol" w:hint="default"/>
        <w:sz w:val="24"/>
      </w:rPr>
    </w:lvl>
  </w:abstractNum>
  <w:abstractNum w:abstractNumId="224">
    <w:nsid w:val="23425A93"/>
    <w:multiLevelType w:val="singleLevel"/>
    <w:tmpl w:val="FC74932E"/>
    <w:lvl w:ilvl="0">
      <w:start w:val="291"/>
      <w:numFmt w:val="bullet"/>
      <w:lvlText w:val="-"/>
      <w:lvlJc w:val="left"/>
      <w:pPr>
        <w:tabs>
          <w:tab w:val="num" w:pos="1066"/>
        </w:tabs>
        <w:ind w:left="1066" w:hanging="360"/>
      </w:pPr>
      <w:rPr>
        <w:rFonts w:ascii="Times New Roman" w:hAnsi="Times New Roman" w:hint="default"/>
      </w:rPr>
    </w:lvl>
  </w:abstractNum>
  <w:abstractNum w:abstractNumId="225">
    <w:nsid w:val="23674D7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26">
    <w:nsid w:val="23E24E27"/>
    <w:multiLevelType w:val="singleLevel"/>
    <w:tmpl w:val="118A400E"/>
    <w:lvl w:ilvl="0">
      <w:numFmt w:val="bullet"/>
      <w:lvlText w:val="-"/>
      <w:lvlJc w:val="left"/>
      <w:pPr>
        <w:tabs>
          <w:tab w:val="num" w:pos="4755"/>
        </w:tabs>
        <w:ind w:left="4755" w:hanging="360"/>
      </w:pPr>
      <w:rPr>
        <w:b/>
        <w:i w:val="0"/>
      </w:rPr>
    </w:lvl>
  </w:abstractNum>
  <w:abstractNum w:abstractNumId="227">
    <w:nsid w:val="23EA7824"/>
    <w:multiLevelType w:val="singleLevel"/>
    <w:tmpl w:val="FFFFFFFF"/>
    <w:lvl w:ilvl="0">
      <w:numFmt w:val="decimal"/>
      <w:lvlText w:val="%1"/>
      <w:legacy w:legacy="1" w:legacySpace="0" w:legacyIndent="0"/>
      <w:lvlJc w:val="left"/>
    </w:lvl>
  </w:abstractNum>
  <w:abstractNum w:abstractNumId="228">
    <w:nsid w:val="24133225"/>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229">
    <w:nsid w:val="244A6B70"/>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230">
    <w:nsid w:val="24673AB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31">
    <w:nsid w:val="24674503"/>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232">
    <w:nsid w:val="24A514D4"/>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233">
    <w:nsid w:val="24E227FF"/>
    <w:multiLevelType w:val="singleLevel"/>
    <w:tmpl w:val="4574F4EC"/>
    <w:lvl w:ilvl="0">
      <w:start w:val="1"/>
      <w:numFmt w:val="decimal"/>
      <w:lvlText w:val="%1."/>
      <w:lvlJc w:val="left"/>
      <w:pPr>
        <w:tabs>
          <w:tab w:val="num" w:pos="1065"/>
        </w:tabs>
        <w:ind w:left="1065" w:hanging="360"/>
      </w:pPr>
      <w:rPr>
        <w:rFonts w:hint="default"/>
      </w:rPr>
    </w:lvl>
  </w:abstractNum>
  <w:abstractNum w:abstractNumId="234">
    <w:nsid w:val="24FC08AA"/>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235">
    <w:nsid w:val="253520A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236">
    <w:nsid w:val="253B0FC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37">
    <w:nsid w:val="253D60E6"/>
    <w:multiLevelType w:val="singleLevel"/>
    <w:tmpl w:val="2E3C1CE0"/>
    <w:lvl w:ilvl="0">
      <w:start w:val="3"/>
      <w:numFmt w:val="decimal"/>
      <w:lvlText w:val="%1. "/>
      <w:legacy w:legacy="1" w:legacySpace="0" w:legacyIndent="283"/>
      <w:lvlJc w:val="left"/>
      <w:pPr>
        <w:ind w:left="1701" w:hanging="283"/>
      </w:pPr>
      <w:rPr>
        <w:rFonts w:ascii="Arial" w:hAnsi="Arial" w:hint="default"/>
        <w:b/>
        <w:i w:val="0"/>
        <w:sz w:val="24"/>
      </w:rPr>
    </w:lvl>
  </w:abstractNum>
  <w:abstractNum w:abstractNumId="238">
    <w:nsid w:val="25CD6B54"/>
    <w:multiLevelType w:val="singleLevel"/>
    <w:tmpl w:val="D50A67CA"/>
    <w:lvl w:ilvl="0">
      <w:start w:val="4"/>
      <w:numFmt w:val="bullet"/>
      <w:lvlText w:val="-"/>
      <w:lvlJc w:val="left"/>
      <w:pPr>
        <w:tabs>
          <w:tab w:val="num" w:pos="2484"/>
        </w:tabs>
        <w:ind w:left="2484" w:hanging="360"/>
      </w:pPr>
      <w:rPr>
        <w:rFonts w:ascii="Times New Roman" w:hAnsi="Times New Roman" w:hint="default"/>
      </w:rPr>
    </w:lvl>
  </w:abstractNum>
  <w:abstractNum w:abstractNumId="239">
    <w:nsid w:val="25D63109"/>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240">
    <w:nsid w:val="262058A4"/>
    <w:multiLevelType w:val="singleLevel"/>
    <w:tmpl w:val="118A400E"/>
    <w:lvl w:ilvl="0">
      <w:numFmt w:val="bullet"/>
      <w:lvlText w:val="-"/>
      <w:lvlJc w:val="left"/>
      <w:pPr>
        <w:tabs>
          <w:tab w:val="num" w:pos="4755"/>
        </w:tabs>
        <w:ind w:left="4755" w:hanging="360"/>
      </w:pPr>
      <w:rPr>
        <w:b/>
        <w:i w:val="0"/>
      </w:rPr>
    </w:lvl>
  </w:abstractNum>
  <w:abstractNum w:abstractNumId="241">
    <w:nsid w:val="26541FDA"/>
    <w:multiLevelType w:val="singleLevel"/>
    <w:tmpl w:val="16BC7322"/>
    <w:lvl w:ilvl="0">
      <w:start w:val="1"/>
      <w:numFmt w:val="bullet"/>
      <w:lvlText w:val="-"/>
      <w:lvlJc w:val="left"/>
      <w:pPr>
        <w:tabs>
          <w:tab w:val="num" w:pos="360"/>
        </w:tabs>
        <w:ind w:left="360" w:hanging="360"/>
      </w:pPr>
      <w:rPr>
        <w:rFonts w:hint="default"/>
        <w:sz w:val="26"/>
      </w:rPr>
    </w:lvl>
  </w:abstractNum>
  <w:abstractNum w:abstractNumId="242">
    <w:nsid w:val="268320FD"/>
    <w:multiLevelType w:val="multilevel"/>
    <w:tmpl w:val="6F88351E"/>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3">
    <w:nsid w:val="269021B5"/>
    <w:multiLevelType w:val="singleLevel"/>
    <w:tmpl w:val="CEA4E7C2"/>
    <w:lvl w:ilvl="0">
      <w:start w:val="1"/>
      <w:numFmt w:val="upperLetter"/>
      <w:lvlText w:val="%1)"/>
      <w:lvlJc w:val="left"/>
      <w:pPr>
        <w:tabs>
          <w:tab w:val="num" w:pos="1776"/>
        </w:tabs>
        <w:ind w:left="1776" w:hanging="360"/>
      </w:pPr>
      <w:rPr>
        <w:rFonts w:hint="default"/>
      </w:rPr>
    </w:lvl>
  </w:abstractNum>
  <w:abstractNum w:abstractNumId="244">
    <w:nsid w:val="26C76878"/>
    <w:multiLevelType w:val="singleLevel"/>
    <w:tmpl w:val="27B81BE4"/>
    <w:lvl w:ilvl="0">
      <w:start w:val="1"/>
      <w:numFmt w:val="lowerLetter"/>
      <w:lvlText w:val="%1)"/>
      <w:lvlJc w:val="left"/>
      <w:pPr>
        <w:tabs>
          <w:tab w:val="num" w:pos="1770"/>
        </w:tabs>
        <w:ind w:left="1770" w:hanging="360"/>
      </w:pPr>
      <w:rPr>
        <w:rFonts w:hint="default"/>
      </w:rPr>
    </w:lvl>
  </w:abstractNum>
  <w:abstractNum w:abstractNumId="245">
    <w:nsid w:val="27034627"/>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246">
    <w:nsid w:val="27A22BA9"/>
    <w:multiLevelType w:val="singleLevel"/>
    <w:tmpl w:val="4ABA51C8"/>
    <w:lvl w:ilvl="0">
      <w:start w:val="1"/>
      <w:numFmt w:val="decimal"/>
      <w:lvlText w:val="%1. "/>
      <w:legacy w:legacy="1" w:legacySpace="0" w:legacyIndent="283"/>
      <w:lvlJc w:val="left"/>
      <w:pPr>
        <w:ind w:left="1701" w:hanging="283"/>
      </w:pPr>
      <w:rPr>
        <w:rFonts w:ascii="Arial" w:hAnsi="Arial" w:hint="default"/>
        <w:b/>
        <w:i w:val="0"/>
        <w:sz w:val="24"/>
        <w:u w:val="none"/>
      </w:rPr>
    </w:lvl>
  </w:abstractNum>
  <w:abstractNum w:abstractNumId="247">
    <w:nsid w:val="280174CC"/>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248">
    <w:nsid w:val="28632656"/>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249">
    <w:nsid w:val="287E33C4"/>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250">
    <w:nsid w:val="28BB428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51">
    <w:nsid w:val="28D35D8D"/>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252">
    <w:nsid w:val="28EB0308"/>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253">
    <w:nsid w:val="28F3353C"/>
    <w:multiLevelType w:val="singleLevel"/>
    <w:tmpl w:val="07189338"/>
    <w:lvl w:ilvl="0">
      <w:start w:val="1"/>
      <w:numFmt w:val="bullet"/>
      <w:lvlText w:val=""/>
      <w:lvlJc w:val="left"/>
      <w:pPr>
        <w:tabs>
          <w:tab w:val="num" w:pos="1778"/>
        </w:tabs>
        <w:ind w:left="1701" w:hanging="283"/>
      </w:pPr>
      <w:rPr>
        <w:rFonts w:ascii="Symbol" w:hAnsi="Symbol" w:hint="default"/>
        <w:sz w:val="16"/>
      </w:rPr>
    </w:lvl>
  </w:abstractNum>
  <w:abstractNum w:abstractNumId="254">
    <w:nsid w:val="29072299"/>
    <w:multiLevelType w:val="singleLevel"/>
    <w:tmpl w:val="118A400E"/>
    <w:lvl w:ilvl="0">
      <w:numFmt w:val="bullet"/>
      <w:lvlText w:val="-"/>
      <w:lvlJc w:val="left"/>
      <w:pPr>
        <w:tabs>
          <w:tab w:val="num" w:pos="4755"/>
        </w:tabs>
        <w:ind w:left="4755" w:hanging="360"/>
      </w:pPr>
      <w:rPr>
        <w:b/>
        <w:i w:val="0"/>
      </w:rPr>
    </w:lvl>
  </w:abstractNum>
  <w:abstractNum w:abstractNumId="255">
    <w:nsid w:val="29124069"/>
    <w:multiLevelType w:val="multilevel"/>
    <w:tmpl w:val="B78E621C"/>
    <w:lvl w:ilvl="0">
      <w:start w:val="7"/>
      <w:numFmt w:val="decimal"/>
      <w:lvlText w:val="%1"/>
      <w:lvlJc w:val="left"/>
      <w:pPr>
        <w:tabs>
          <w:tab w:val="num" w:pos="465"/>
        </w:tabs>
        <w:ind w:left="465" w:hanging="465"/>
      </w:pPr>
      <w:rPr>
        <w:rFonts w:hint="default"/>
      </w:rPr>
    </w:lvl>
    <w:lvl w:ilvl="1">
      <w:start w:val="3"/>
      <w:numFmt w:val="decimal"/>
      <w:lvlText w:val="%1.%2"/>
      <w:lvlJc w:val="left"/>
      <w:pPr>
        <w:tabs>
          <w:tab w:val="num" w:pos="1599"/>
        </w:tabs>
        <w:ind w:left="1599" w:hanging="465"/>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482"/>
        </w:tabs>
        <w:ind w:left="4482" w:hanging="1080"/>
      </w:pPr>
      <w:rPr>
        <w:rFonts w:hint="default"/>
      </w:rPr>
    </w:lvl>
    <w:lvl w:ilvl="4">
      <w:start w:val="1"/>
      <w:numFmt w:val="decimal"/>
      <w:lvlText w:val="%1.%2.%3.%4.%5"/>
      <w:lvlJc w:val="left"/>
      <w:pPr>
        <w:tabs>
          <w:tab w:val="num" w:pos="5616"/>
        </w:tabs>
        <w:ind w:left="5616" w:hanging="1080"/>
      </w:pPr>
      <w:rPr>
        <w:rFonts w:hint="default"/>
      </w:rPr>
    </w:lvl>
    <w:lvl w:ilvl="5">
      <w:start w:val="1"/>
      <w:numFmt w:val="decimal"/>
      <w:lvlText w:val="%1.%2.%3.%4.%5.%6"/>
      <w:lvlJc w:val="left"/>
      <w:pPr>
        <w:tabs>
          <w:tab w:val="num" w:pos="7110"/>
        </w:tabs>
        <w:ind w:left="7110" w:hanging="1440"/>
      </w:pPr>
      <w:rPr>
        <w:rFonts w:hint="default"/>
      </w:rPr>
    </w:lvl>
    <w:lvl w:ilvl="6">
      <w:start w:val="1"/>
      <w:numFmt w:val="decimal"/>
      <w:lvlText w:val="%1.%2.%3.%4.%5.%6.%7"/>
      <w:lvlJc w:val="left"/>
      <w:pPr>
        <w:tabs>
          <w:tab w:val="num" w:pos="8244"/>
        </w:tabs>
        <w:ind w:left="8244" w:hanging="1440"/>
      </w:pPr>
      <w:rPr>
        <w:rFonts w:hint="default"/>
      </w:rPr>
    </w:lvl>
    <w:lvl w:ilvl="7">
      <w:start w:val="1"/>
      <w:numFmt w:val="decimal"/>
      <w:lvlText w:val="%1.%2.%3.%4.%5.%6.%7.%8"/>
      <w:lvlJc w:val="left"/>
      <w:pPr>
        <w:tabs>
          <w:tab w:val="num" w:pos="9738"/>
        </w:tabs>
        <w:ind w:left="9738" w:hanging="1800"/>
      </w:pPr>
      <w:rPr>
        <w:rFonts w:hint="default"/>
      </w:rPr>
    </w:lvl>
    <w:lvl w:ilvl="8">
      <w:start w:val="1"/>
      <w:numFmt w:val="decimal"/>
      <w:lvlText w:val="%1.%2.%3.%4.%5.%6.%7.%8.%9"/>
      <w:lvlJc w:val="left"/>
      <w:pPr>
        <w:tabs>
          <w:tab w:val="num" w:pos="10872"/>
        </w:tabs>
        <w:ind w:left="10872" w:hanging="1800"/>
      </w:pPr>
      <w:rPr>
        <w:rFonts w:hint="default"/>
      </w:rPr>
    </w:lvl>
  </w:abstractNum>
  <w:abstractNum w:abstractNumId="256">
    <w:nsid w:val="295C66A4"/>
    <w:multiLevelType w:val="singleLevel"/>
    <w:tmpl w:val="118A400E"/>
    <w:lvl w:ilvl="0">
      <w:numFmt w:val="bullet"/>
      <w:lvlText w:val="-"/>
      <w:lvlJc w:val="left"/>
      <w:pPr>
        <w:tabs>
          <w:tab w:val="num" w:pos="4755"/>
        </w:tabs>
        <w:ind w:left="4755" w:hanging="360"/>
      </w:pPr>
      <w:rPr>
        <w:b/>
        <w:i w:val="0"/>
      </w:rPr>
    </w:lvl>
  </w:abstractNum>
  <w:abstractNum w:abstractNumId="257">
    <w:nsid w:val="29851ADE"/>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58">
    <w:nsid w:val="2A041C57"/>
    <w:multiLevelType w:val="singleLevel"/>
    <w:tmpl w:val="04160017"/>
    <w:lvl w:ilvl="0">
      <w:start w:val="1"/>
      <w:numFmt w:val="lowerLetter"/>
      <w:lvlText w:val="%1)"/>
      <w:lvlJc w:val="left"/>
      <w:pPr>
        <w:tabs>
          <w:tab w:val="num" w:pos="360"/>
        </w:tabs>
        <w:ind w:left="360" w:hanging="360"/>
      </w:pPr>
    </w:lvl>
  </w:abstractNum>
  <w:abstractNum w:abstractNumId="259">
    <w:nsid w:val="2A5710C4"/>
    <w:multiLevelType w:val="singleLevel"/>
    <w:tmpl w:val="D50A67CA"/>
    <w:lvl w:ilvl="0">
      <w:start w:val="4"/>
      <w:numFmt w:val="bullet"/>
      <w:lvlText w:val="-"/>
      <w:lvlJc w:val="left"/>
      <w:pPr>
        <w:tabs>
          <w:tab w:val="num" w:pos="2484"/>
        </w:tabs>
        <w:ind w:left="2484" w:hanging="360"/>
      </w:pPr>
      <w:rPr>
        <w:rFonts w:ascii="Times New Roman" w:hAnsi="Times New Roman" w:hint="default"/>
      </w:rPr>
    </w:lvl>
  </w:abstractNum>
  <w:abstractNum w:abstractNumId="260">
    <w:nsid w:val="2A5F427A"/>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61">
    <w:nsid w:val="2AA64CCD"/>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262">
    <w:nsid w:val="2ABD474B"/>
    <w:multiLevelType w:val="singleLevel"/>
    <w:tmpl w:val="FFFFFFFF"/>
    <w:lvl w:ilvl="0">
      <w:numFmt w:val="decimal"/>
      <w:lvlText w:val="%1"/>
      <w:legacy w:legacy="1" w:legacySpace="0" w:legacyIndent="0"/>
      <w:lvlJc w:val="left"/>
    </w:lvl>
  </w:abstractNum>
  <w:abstractNum w:abstractNumId="263">
    <w:nsid w:val="2ADF7460"/>
    <w:multiLevelType w:val="multilevel"/>
    <w:tmpl w:val="97309C78"/>
    <w:lvl w:ilvl="0">
      <w:start w:val="4"/>
      <w:numFmt w:val="decimal"/>
      <w:lvlText w:val="%1."/>
      <w:lvlJc w:val="left"/>
      <w:pPr>
        <w:tabs>
          <w:tab w:val="num" w:pos="480"/>
        </w:tabs>
        <w:ind w:left="480" w:hanging="48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64">
    <w:nsid w:val="2B06367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65">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266">
    <w:nsid w:val="2B424CC8"/>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267">
    <w:nsid w:val="2B5177BC"/>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268">
    <w:nsid w:val="2B587EB9"/>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269">
    <w:nsid w:val="2BC44224"/>
    <w:multiLevelType w:val="singleLevel"/>
    <w:tmpl w:val="7A6ADBD8"/>
    <w:lvl w:ilvl="0">
      <w:numFmt w:val="bullet"/>
      <w:lvlText w:val=""/>
      <w:lvlJc w:val="left"/>
      <w:pPr>
        <w:tabs>
          <w:tab w:val="num" w:pos="360"/>
        </w:tabs>
        <w:ind w:left="0" w:firstLine="0"/>
      </w:pPr>
      <w:rPr>
        <w:rFonts w:ascii="Symbol" w:hAnsi="Symbol" w:hint="default"/>
      </w:rPr>
    </w:lvl>
  </w:abstractNum>
  <w:abstractNum w:abstractNumId="270">
    <w:nsid w:val="2C66024D"/>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71">
    <w:nsid w:val="2CBD117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72">
    <w:nsid w:val="2CEB6CAB"/>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273">
    <w:nsid w:val="2CF01E61"/>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74">
    <w:nsid w:val="2D4273CA"/>
    <w:multiLevelType w:val="singleLevel"/>
    <w:tmpl w:val="461E46FA"/>
    <w:lvl w:ilvl="0">
      <w:start w:val="1"/>
      <w:numFmt w:val="lowerLetter"/>
      <w:lvlText w:val="%1"/>
      <w:legacy w:legacy="1" w:legacySpace="0" w:legacyIndent="1778"/>
      <w:lvlJc w:val="left"/>
      <w:pPr>
        <w:ind w:left="3196" w:hanging="1778"/>
      </w:pPr>
      <w:rPr>
        <w:b/>
      </w:rPr>
    </w:lvl>
  </w:abstractNum>
  <w:abstractNum w:abstractNumId="275">
    <w:nsid w:val="2D4A3A65"/>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276">
    <w:nsid w:val="2DB5381A"/>
    <w:multiLevelType w:val="singleLevel"/>
    <w:tmpl w:val="67A0EEAA"/>
    <w:lvl w:ilvl="0">
      <w:start w:val="1"/>
      <w:numFmt w:val="lowerLetter"/>
      <w:lvlText w:val="%1) "/>
      <w:lvlJc w:val="left"/>
      <w:pPr>
        <w:tabs>
          <w:tab w:val="num" w:pos="1069"/>
        </w:tabs>
        <w:ind w:left="992" w:hanging="283"/>
      </w:pPr>
      <w:rPr>
        <w:rFonts w:ascii="Arial" w:hAnsi="Arial" w:hint="default"/>
        <w:b/>
        <w:i w:val="0"/>
        <w:sz w:val="24"/>
        <w:u w:val="none"/>
      </w:rPr>
    </w:lvl>
  </w:abstractNum>
  <w:abstractNum w:abstractNumId="277">
    <w:nsid w:val="2DE61010"/>
    <w:multiLevelType w:val="singleLevel"/>
    <w:tmpl w:val="118A400E"/>
    <w:lvl w:ilvl="0">
      <w:numFmt w:val="bullet"/>
      <w:lvlText w:val="-"/>
      <w:lvlJc w:val="left"/>
      <w:pPr>
        <w:tabs>
          <w:tab w:val="num" w:pos="4755"/>
        </w:tabs>
        <w:ind w:left="4755" w:hanging="360"/>
      </w:pPr>
      <w:rPr>
        <w:b/>
        <w:i w:val="0"/>
      </w:rPr>
    </w:lvl>
  </w:abstractNum>
  <w:abstractNum w:abstractNumId="278">
    <w:nsid w:val="2DF42CCD"/>
    <w:multiLevelType w:val="singleLevel"/>
    <w:tmpl w:val="118A400E"/>
    <w:lvl w:ilvl="0">
      <w:numFmt w:val="bullet"/>
      <w:lvlText w:val="-"/>
      <w:lvlJc w:val="left"/>
      <w:pPr>
        <w:tabs>
          <w:tab w:val="num" w:pos="4755"/>
        </w:tabs>
        <w:ind w:left="4755" w:hanging="360"/>
      </w:pPr>
      <w:rPr>
        <w:b/>
        <w:i w:val="0"/>
      </w:rPr>
    </w:lvl>
  </w:abstractNum>
  <w:abstractNum w:abstractNumId="279">
    <w:nsid w:val="2E151ADD"/>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280">
    <w:nsid w:val="2E2B72CE"/>
    <w:multiLevelType w:val="singleLevel"/>
    <w:tmpl w:val="230A90D2"/>
    <w:lvl w:ilvl="0">
      <w:start w:val="1"/>
      <w:numFmt w:val="lowerLetter"/>
      <w:lvlText w:val="%1)"/>
      <w:legacy w:legacy="1" w:legacySpace="0" w:legacyIndent="283"/>
      <w:lvlJc w:val="left"/>
      <w:pPr>
        <w:ind w:left="2266" w:hanging="283"/>
      </w:pPr>
    </w:lvl>
  </w:abstractNum>
  <w:abstractNum w:abstractNumId="281">
    <w:nsid w:val="2E4714F2"/>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282">
    <w:nsid w:val="2EA472A1"/>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283">
    <w:nsid w:val="2EB221ED"/>
    <w:multiLevelType w:val="singleLevel"/>
    <w:tmpl w:val="118A400E"/>
    <w:lvl w:ilvl="0">
      <w:numFmt w:val="bullet"/>
      <w:lvlText w:val="-"/>
      <w:lvlJc w:val="left"/>
      <w:pPr>
        <w:tabs>
          <w:tab w:val="num" w:pos="4755"/>
        </w:tabs>
        <w:ind w:left="4755" w:hanging="360"/>
      </w:pPr>
      <w:rPr>
        <w:b/>
        <w:i w:val="0"/>
      </w:rPr>
    </w:lvl>
  </w:abstractNum>
  <w:abstractNum w:abstractNumId="284">
    <w:nsid w:val="2EB46866"/>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285">
    <w:nsid w:val="2ECA3670"/>
    <w:multiLevelType w:val="singleLevel"/>
    <w:tmpl w:val="3BEEAB94"/>
    <w:lvl w:ilvl="0">
      <w:start w:val="3"/>
      <w:numFmt w:val="decimal"/>
      <w:lvlText w:val="%1"/>
      <w:lvlJc w:val="left"/>
      <w:pPr>
        <w:tabs>
          <w:tab w:val="num" w:pos="1211"/>
        </w:tabs>
        <w:ind w:left="1211" w:hanging="360"/>
      </w:pPr>
      <w:rPr>
        <w:rFonts w:hint="default"/>
      </w:rPr>
    </w:lvl>
  </w:abstractNum>
  <w:abstractNum w:abstractNumId="286">
    <w:nsid w:val="2ECA4861"/>
    <w:multiLevelType w:val="singleLevel"/>
    <w:tmpl w:val="118A400E"/>
    <w:lvl w:ilvl="0">
      <w:numFmt w:val="bullet"/>
      <w:lvlText w:val="-"/>
      <w:lvlJc w:val="left"/>
      <w:pPr>
        <w:tabs>
          <w:tab w:val="num" w:pos="4755"/>
        </w:tabs>
        <w:ind w:left="4755" w:hanging="360"/>
      </w:pPr>
      <w:rPr>
        <w:b/>
        <w:i w:val="0"/>
      </w:rPr>
    </w:lvl>
  </w:abstractNum>
  <w:abstractNum w:abstractNumId="287">
    <w:nsid w:val="2EFA75BF"/>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288">
    <w:nsid w:val="2F1B6021"/>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289">
    <w:nsid w:val="2F1E5ECC"/>
    <w:multiLevelType w:val="singleLevel"/>
    <w:tmpl w:val="0416000F"/>
    <w:lvl w:ilvl="0">
      <w:start w:val="1"/>
      <w:numFmt w:val="decimal"/>
      <w:lvlText w:val="%1."/>
      <w:lvlJc w:val="left"/>
      <w:pPr>
        <w:tabs>
          <w:tab w:val="num" w:pos="360"/>
        </w:tabs>
        <w:ind w:left="360" w:hanging="360"/>
      </w:pPr>
    </w:lvl>
  </w:abstractNum>
  <w:abstractNum w:abstractNumId="290">
    <w:nsid w:val="2F2011D6"/>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91">
    <w:nsid w:val="2F254DFE"/>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292">
    <w:nsid w:val="2F4D62C9"/>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293">
    <w:nsid w:val="2F75463A"/>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94">
    <w:nsid w:val="2F953395"/>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295">
    <w:nsid w:val="2FCD02D0"/>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96">
    <w:nsid w:val="302A75A7"/>
    <w:multiLevelType w:val="singleLevel"/>
    <w:tmpl w:val="3496DD40"/>
    <w:lvl w:ilvl="0">
      <w:start w:val="1"/>
      <w:numFmt w:val="decimal"/>
      <w:lvlText w:val="(%1)"/>
      <w:lvlJc w:val="left"/>
      <w:pPr>
        <w:tabs>
          <w:tab w:val="num" w:pos="1440"/>
        </w:tabs>
        <w:ind w:left="1440" w:hanging="720"/>
      </w:pPr>
    </w:lvl>
  </w:abstractNum>
  <w:abstractNum w:abstractNumId="297">
    <w:nsid w:val="30667B8F"/>
    <w:multiLevelType w:val="singleLevel"/>
    <w:tmpl w:val="F5E84BC4"/>
    <w:lvl w:ilvl="0">
      <w:start w:val="1"/>
      <w:numFmt w:val="upperRoman"/>
      <w:lvlText w:val="%1."/>
      <w:lvlJc w:val="left"/>
      <w:pPr>
        <w:tabs>
          <w:tab w:val="num" w:pos="2138"/>
        </w:tabs>
        <w:ind w:left="2138" w:hanging="720"/>
      </w:pPr>
      <w:rPr>
        <w:rFonts w:hint="default"/>
      </w:rPr>
    </w:lvl>
  </w:abstractNum>
  <w:abstractNum w:abstractNumId="298">
    <w:nsid w:val="307073B6"/>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299">
    <w:nsid w:val="30711055"/>
    <w:multiLevelType w:val="singleLevel"/>
    <w:tmpl w:val="651AF290"/>
    <w:lvl w:ilvl="0">
      <w:start w:val="4"/>
      <w:numFmt w:val="lowerRoman"/>
      <w:lvlText w:val="%1)"/>
      <w:lvlJc w:val="left"/>
      <w:pPr>
        <w:tabs>
          <w:tab w:val="num" w:pos="2130"/>
        </w:tabs>
        <w:ind w:left="2130" w:hanging="720"/>
      </w:pPr>
      <w:rPr>
        <w:rFonts w:hint="default"/>
      </w:rPr>
    </w:lvl>
  </w:abstractNum>
  <w:abstractNum w:abstractNumId="300">
    <w:nsid w:val="308929DF"/>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301">
    <w:nsid w:val="30BA137A"/>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302">
    <w:nsid w:val="30D17B48"/>
    <w:multiLevelType w:val="singleLevel"/>
    <w:tmpl w:val="3BEEAB94"/>
    <w:lvl w:ilvl="0">
      <w:start w:val="2"/>
      <w:numFmt w:val="decimal"/>
      <w:lvlText w:val="%1"/>
      <w:lvlJc w:val="left"/>
      <w:pPr>
        <w:tabs>
          <w:tab w:val="num" w:pos="1211"/>
        </w:tabs>
        <w:ind w:left="1211" w:hanging="360"/>
      </w:pPr>
      <w:rPr>
        <w:rFonts w:hint="default"/>
      </w:rPr>
    </w:lvl>
  </w:abstractNum>
  <w:abstractNum w:abstractNumId="303">
    <w:nsid w:val="30FE3444"/>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304">
    <w:nsid w:val="310D0BE6"/>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305">
    <w:nsid w:val="318906EC"/>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06">
    <w:nsid w:val="319E2D00"/>
    <w:multiLevelType w:val="singleLevel"/>
    <w:tmpl w:val="118A400E"/>
    <w:lvl w:ilvl="0">
      <w:numFmt w:val="bullet"/>
      <w:lvlText w:val="-"/>
      <w:lvlJc w:val="left"/>
      <w:pPr>
        <w:tabs>
          <w:tab w:val="num" w:pos="4755"/>
        </w:tabs>
        <w:ind w:left="4755" w:hanging="360"/>
      </w:pPr>
      <w:rPr>
        <w:b/>
        <w:i w:val="0"/>
      </w:rPr>
    </w:lvl>
  </w:abstractNum>
  <w:abstractNum w:abstractNumId="307">
    <w:nsid w:val="31B53551"/>
    <w:multiLevelType w:val="singleLevel"/>
    <w:tmpl w:val="5C5E005C"/>
    <w:lvl w:ilvl="0">
      <w:start w:val="1"/>
      <w:numFmt w:val="upperLetter"/>
      <w:lvlText w:val="%1)"/>
      <w:lvlJc w:val="left"/>
      <w:pPr>
        <w:tabs>
          <w:tab w:val="num" w:pos="360"/>
        </w:tabs>
        <w:ind w:left="360" w:hanging="360"/>
      </w:pPr>
      <w:rPr>
        <w:rFonts w:hint="default"/>
      </w:rPr>
    </w:lvl>
  </w:abstractNum>
  <w:abstractNum w:abstractNumId="308">
    <w:nsid w:val="31C80FBB"/>
    <w:multiLevelType w:val="multilevel"/>
    <w:tmpl w:val="9D9A8D40"/>
    <w:lvl w:ilvl="0">
      <w:start w:val="7"/>
      <w:numFmt w:val="decimal"/>
      <w:lvlText w:val="%1"/>
      <w:lvlJc w:val="left"/>
      <w:pPr>
        <w:tabs>
          <w:tab w:val="num" w:pos="465"/>
        </w:tabs>
        <w:ind w:left="465" w:hanging="465"/>
      </w:pPr>
      <w:rPr>
        <w:rFonts w:hint="default"/>
      </w:rPr>
    </w:lvl>
    <w:lvl w:ilvl="1">
      <w:start w:val="4"/>
      <w:numFmt w:val="decimal"/>
      <w:lvlText w:val="%1.%2"/>
      <w:lvlJc w:val="left"/>
      <w:pPr>
        <w:tabs>
          <w:tab w:val="num" w:pos="1719"/>
        </w:tabs>
        <w:ind w:left="1719" w:hanging="465"/>
      </w:pPr>
      <w:rPr>
        <w:rFonts w:hint="default"/>
      </w:rPr>
    </w:lvl>
    <w:lvl w:ilvl="2">
      <w:start w:val="1"/>
      <w:numFmt w:val="decimal"/>
      <w:lvlText w:val="%1.%2.%3"/>
      <w:lvlJc w:val="left"/>
      <w:pPr>
        <w:tabs>
          <w:tab w:val="num" w:pos="3228"/>
        </w:tabs>
        <w:ind w:left="3228" w:hanging="720"/>
      </w:pPr>
      <w:rPr>
        <w:rFonts w:hint="default"/>
      </w:rPr>
    </w:lvl>
    <w:lvl w:ilvl="3">
      <w:start w:val="1"/>
      <w:numFmt w:val="decimal"/>
      <w:lvlText w:val="%1.%2.%3.%4"/>
      <w:lvlJc w:val="left"/>
      <w:pPr>
        <w:tabs>
          <w:tab w:val="num" w:pos="4842"/>
        </w:tabs>
        <w:ind w:left="4842" w:hanging="1080"/>
      </w:pPr>
      <w:rPr>
        <w:rFonts w:hint="default"/>
      </w:rPr>
    </w:lvl>
    <w:lvl w:ilvl="4">
      <w:start w:val="1"/>
      <w:numFmt w:val="decimal"/>
      <w:lvlText w:val="%1.%2.%3.%4.%5"/>
      <w:lvlJc w:val="left"/>
      <w:pPr>
        <w:tabs>
          <w:tab w:val="num" w:pos="6096"/>
        </w:tabs>
        <w:ind w:left="6096" w:hanging="1080"/>
      </w:pPr>
      <w:rPr>
        <w:rFonts w:hint="default"/>
      </w:rPr>
    </w:lvl>
    <w:lvl w:ilvl="5">
      <w:start w:val="1"/>
      <w:numFmt w:val="decimal"/>
      <w:lvlText w:val="%1.%2.%3.%4.%5.%6"/>
      <w:lvlJc w:val="left"/>
      <w:pPr>
        <w:tabs>
          <w:tab w:val="num" w:pos="7710"/>
        </w:tabs>
        <w:ind w:left="7710" w:hanging="1440"/>
      </w:pPr>
      <w:rPr>
        <w:rFonts w:hint="default"/>
      </w:rPr>
    </w:lvl>
    <w:lvl w:ilvl="6">
      <w:start w:val="1"/>
      <w:numFmt w:val="decimal"/>
      <w:lvlText w:val="%1.%2.%3.%4.%5.%6.%7"/>
      <w:lvlJc w:val="left"/>
      <w:pPr>
        <w:tabs>
          <w:tab w:val="num" w:pos="8964"/>
        </w:tabs>
        <w:ind w:left="8964" w:hanging="1440"/>
      </w:pPr>
      <w:rPr>
        <w:rFonts w:hint="default"/>
      </w:rPr>
    </w:lvl>
    <w:lvl w:ilvl="7">
      <w:start w:val="1"/>
      <w:numFmt w:val="decimal"/>
      <w:lvlText w:val="%1.%2.%3.%4.%5.%6.%7.%8"/>
      <w:lvlJc w:val="left"/>
      <w:pPr>
        <w:tabs>
          <w:tab w:val="num" w:pos="10578"/>
        </w:tabs>
        <w:ind w:left="10578" w:hanging="1800"/>
      </w:pPr>
      <w:rPr>
        <w:rFonts w:hint="default"/>
      </w:rPr>
    </w:lvl>
    <w:lvl w:ilvl="8">
      <w:start w:val="1"/>
      <w:numFmt w:val="decimal"/>
      <w:lvlText w:val="%1.%2.%3.%4.%5.%6.%7.%8.%9"/>
      <w:lvlJc w:val="left"/>
      <w:pPr>
        <w:tabs>
          <w:tab w:val="num" w:pos="11832"/>
        </w:tabs>
        <w:ind w:left="11832" w:hanging="1800"/>
      </w:pPr>
      <w:rPr>
        <w:rFonts w:hint="default"/>
      </w:rPr>
    </w:lvl>
  </w:abstractNum>
  <w:abstractNum w:abstractNumId="309">
    <w:nsid w:val="32534DEB"/>
    <w:multiLevelType w:val="singleLevel"/>
    <w:tmpl w:val="11705A68"/>
    <w:lvl w:ilvl="0">
      <w:start w:val="10"/>
      <w:numFmt w:val="upperRoman"/>
      <w:lvlText w:val="%1."/>
      <w:lvlJc w:val="left"/>
      <w:pPr>
        <w:tabs>
          <w:tab w:val="num" w:pos="2138"/>
        </w:tabs>
        <w:ind w:left="2138" w:hanging="720"/>
      </w:pPr>
      <w:rPr>
        <w:rFonts w:hint="default"/>
      </w:rPr>
    </w:lvl>
  </w:abstractNum>
  <w:abstractNum w:abstractNumId="310">
    <w:nsid w:val="329D5CE3"/>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311">
    <w:nsid w:val="32A351E4"/>
    <w:multiLevelType w:val="singleLevel"/>
    <w:tmpl w:val="0416000F"/>
    <w:lvl w:ilvl="0">
      <w:start w:val="1"/>
      <w:numFmt w:val="decimal"/>
      <w:lvlText w:val="%1."/>
      <w:lvlJc w:val="left"/>
      <w:pPr>
        <w:tabs>
          <w:tab w:val="num" w:pos="360"/>
        </w:tabs>
        <w:ind w:left="360" w:hanging="360"/>
      </w:pPr>
    </w:lvl>
  </w:abstractNum>
  <w:abstractNum w:abstractNumId="312">
    <w:nsid w:val="32AA590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13">
    <w:nsid w:val="32DC5661"/>
    <w:multiLevelType w:val="hybridMultilevel"/>
    <w:tmpl w:val="25965F8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4">
    <w:nsid w:val="33005698"/>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15">
    <w:nsid w:val="33230EF1"/>
    <w:multiLevelType w:val="singleLevel"/>
    <w:tmpl w:val="04160011"/>
    <w:lvl w:ilvl="0">
      <w:start w:val="7"/>
      <w:numFmt w:val="decimal"/>
      <w:lvlText w:val="%1)"/>
      <w:lvlJc w:val="left"/>
      <w:pPr>
        <w:tabs>
          <w:tab w:val="num" w:pos="360"/>
        </w:tabs>
        <w:ind w:left="360" w:hanging="360"/>
      </w:pPr>
      <w:rPr>
        <w:rFonts w:hint="default"/>
        <w:b w:val="0"/>
      </w:rPr>
    </w:lvl>
  </w:abstractNum>
  <w:abstractNum w:abstractNumId="316">
    <w:nsid w:val="336325D3"/>
    <w:multiLevelType w:val="multilevel"/>
    <w:tmpl w:val="7604F13A"/>
    <w:lvl w:ilvl="0">
      <w:start w:val="4"/>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17">
    <w:nsid w:val="33FC029D"/>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318">
    <w:nsid w:val="343B73C1"/>
    <w:multiLevelType w:val="singleLevel"/>
    <w:tmpl w:val="11FEA9E2"/>
    <w:lvl w:ilvl="0">
      <w:start w:val="1"/>
      <w:numFmt w:val="bullet"/>
      <w:lvlText w:val=""/>
      <w:lvlJc w:val="left"/>
      <w:pPr>
        <w:tabs>
          <w:tab w:val="num" w:pos="1512"/>
        </w:tabs>
        <w:ind w:left="1435" w:hanging="283"/>
      </w:pPr>
      <w:rPr>
        <w:rFonts w:ascii="Symbol" w:hAnsi="Symbol" w:hint="default"/>
        <w:sz w:val="28"/>
      </w:rPr>
    </w:lvl>
  </w:abstractNum>
  <w:abstractNum w:abstractNumId="319">
    <w:nsid w:val="343D5888"/>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320">
    <w:nsid w:val="34461A56"/>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321">
    <w:nsid w:val="346660AC"/>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22">
    <w:nsid w:val="348502CE"/>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323">
    <w:nsid w:val="348C0F0B"/>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324">
    <w:nsid w:val="35594C2F"/>
    <w:multiLevelType w:val="singleLevel"/>
    <w:tmpl w:val="118A400E"/>
    <w:lvl w:ilvl="0">
      <w:numFmt w:val="bullet"/>
      <w:lvlText w:val="-"/>
      <w:lvlJc w:val="left"/>
      <w:pPr>
        <w:tabs>
          <w:tab w:val="num" w:pos="4755"/>
        </w:tabs>
        <w:ind w:left="4755" w:hanging="360"/>
      </w:pPr>
      <w:rPr>
        <w:b/>
        <w:i w:val="0"/>
      </w:rPr>
    </w:lvl>
  </w:abstractNum>
  <w:abstractNum w:abstractNumId="325">
    <w:nsid w:val="35D56528"/>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326">
    <w:nsid w:val="35E72B1D"/>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327">
    <w:nsid w:val="361F036E"/>
    <w:multiLevelType w:val="singleLevel"/>
    <w:tmpl w:val="118A400E"/>
    <w:lvl w:ilvl="0">
      <w:numFmt w:val="bullet"/>
      <w:lvlText w:val="-"/>
      <w:lvlJc w:val="left"/>
      <w:pPr>
        <w:tabs>
          <w:tab w:val="num" w:pos="4755"/>
        </w:tabs>
        <w:ind w:left="4755" w:hanging="360"/>
      </w:pPr>
      <w:rPr>
        <w:b/>
        <w:i w:val="0"/>
      </w:rPr>
    </w:lvl>
  </w:abstractNum>
  <w:abstractNum w:abstractNumId="328">
    <w:nsid w:val="36255761"/>
    <w:multiLevelType w:val="singleLevel"/>
    <w:tmpl w:val="0409000F"/>
    <w:lvl w:ilvl="0">
      <w:start w:val="1"/>
      <w:numFmt w:val="decimal"/>
      <w:lvlText w:val="%1."/>
      <w:lvlJc w:val="left"/>
      <w:pPr>
        <w:tabs>
          <w:tab w:val="num" w:pos="360"/>
        </w:tabs>
        <w:ind w:left="360" w:hanging="360"/>
      </w:pPr>
    </w:lvl>
  </w:abstractNum>
  <w:abstractNum w:abstractNumId="329">
    <w:nsid w:val="37445C19"/>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330">
    <w:nsid w:val="375A34FE"/>
    <w:multiLevelType w:val="singleLevel"/>
    <w:tmpl w:val="0416000F"/>
    <w:lvl w:ilvl="0">
      <w:start w:val="1"/>
      <w:numFmt w:val="decimal"/>
      <w:lvlText w:val="%1."/>
      <w:lvlJc w:val="left"/>
      <w:pPr>
        <w:tabs>
          <w:tab w:val="num" w:pos="360"/>
        </w:tabs>
        <w:ind w:left="360" w:hanging="360"/>
      </w:pPr>
    </w:lvl>
  </w:abstractNum>
  <w:abstractNum w:abstractNumId="331">
    <w:nsid w:val="37B96807"/>
    <w:multiLevelType w:val="singleLevel"/>
    <w:tmpl w:val="EED03B2C"/>
    <w:lvl w:ilvl="0">
      <w:start w:val="1"/>
      <w:numFmt w:val="bullet"/>
      <w:lvlText w:val=""/>
      <w:lvlJc w:val="left"/>
      <w:pPr>
        <w:tabs>
          <w:tab w:val="num" w:pos="1512"/>
        </w:tabs>
        <w:ind w:left="1435" w:hanging="283"/>
      </w:pPr>
      <w:rPr>
        <w:rFonts w:ascii="Symbol" w:hAnsi="Symbol" w:hint="default"/>
        <w:sz w:val="20"/>
      </w:rPr>
    </w:lvl>
  </w:abstractNum>
  <w:abstractNum w:abstractNumId="332">
    <w:nsid w:val="37BC66A8"/>
    <w:multiLevelType w:val="singleLevel"/>
    <w:tmpl w:val="230A90D2"/>
    <w:lvl w:ilvl="0">
      <w:start w:val="1"/>
      <w:numFmt w:val="lowerLetter"/>
      <w:lvlText w:val="%1)"/>
      <w:legacy w:legacy="1" w:legacySpace="0" w:legacyIndent="283"/>
      <w:lvlJc w:val="left"/>
    </w:lvl>
  </w:abstractNum>
  <w:abstractNum w:abstractNumId="333">
    <w:nsid w:val="384D3116"/>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334">
    <w:nsid w:val="38640200"/>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335">
    <w:nsid w:val="3895797A"/>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36">
    <w:nsid w:val="39595106"/>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37">
    <w:nsid w:val="39BF0756"/>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338">
    <w:nsid w:val="39BF16E1"/>
    <w:multiLevelType w:val="singleLevel"/>
    <w:tmpl w:val="0416000F"/>
    <w:lvl w:ilvl="0">
      <w:start w:val="1"/>
      <w:numFmt w:val="decimal"/>
      <w:lvlText w:val="%1."/>
      <w:lvlJc w:val="left"/>
      <w:pPr>
        <w:tabs>
          <w:tab w:val="num" w:pos="360"/>
        </w:tabs>
        <w:ind w:left="360" w:hanging="360"/>
      </w:pPr>
    </w:lvl>
  </w:abstractNum>
  <w:abstractNum w:abstractNumId="339">
    <w:nsid w:val="39ED75B8"/>
    <w:multiLevelType w:val="singleLevel"/>
    <w:tmpl w:val="BAF01A7A"/>
    <w:lvl w:ilvl="0">
      <w:start w:val="1"/>
      <w:numFmt w:val="lowerLetter"/>
      <w:lvlText w:val="%1)"/>
      <w:lvlJc w:val="left"/>
      <w:pPr>
        <w:tabs>
          <w:tab w:val="num" w:pos="927"/>
        </w:tabs>
        <w:ind w:left="927" w:hanging="360"/>
      </w:pPr>
      <w:rPr>
        <w:rFonts w:hint="default"/>
      </w:rPr>
    </w:lvl>
  </w:abstractNum>
  <w:abstractNum w:abstractNumId="340">
    <w:nsid w:val="3A157293"/>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341">
    <w:nsid w:val="3A4A756C"/>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342">
    <w:nsid w:val="3AA21DD9"/>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343">
    <w:nsid w:val="3AB5016F"/>
    <w:multiLevelType w:val="singleLevel"/>
    <w:tmpl w:val="7F04353E"/>
    <w:lvl w:ilvl="0">
      <w:start w:val="1"/>
      <w:numFmt w:val="bullet"/>
      <w:lvlText w:val=""/>
      <w:lvlJc w:val="left"/>
      <w:pPr>
        <w:tabs>
          <w:tab w:val="num" w:pos="0"/>
        </w:tabs>
        <w:ind w:left="1701" w:hanging="283"/>
      </w:pPr>
      <w:rPr>
        <w:rFonts w:ascii="Wingdings" w:hAnsi="Wingdings" w:hint="default"/>
      </w:rPr>
    </w:lvl>
  </w:abstractNum>
  <w:abstractNum w:abstractNumId="344">
    <w:nsid w:val="3ACE34E2"/>
    <w:multiLevelType w:val="singleLevel"/>
    <w:tmpl w:val="118A400E"/>
    <w:lvl w:ilvl="0">
      <w:numFmt w:val="bullet"/>
      <w:lvlText w:val="-"/>
      <w:lvlJc w:val="left"/>
      <w:pPr>
        <w:tabs>
          <w:tab w:val="num" w:pos="4755"/>
        </w:tabs>
        <w:ind w:left="4755" w:hanging="360"/>
      </w:pPr>
      <w:rPr>
        <w:b/>
        <w:i w:val="0"/>
      </w:rPr>
    </w:lvl>
  </w:abstractNum>
  <w:abstractNum w:abstractNumId="345">
    <w:nsid w:val="3AE81951"/>
    <w:multiLevelType w:val="singleLevel"/>
    <w:tmpl w:val="E4F62ECE"/>
    <w:lvl w:ilvl="0">
      <w:start w:val="2"/>
      <w:numFmt w:val="decimal"/>
      <w:lvlText w:val="%1. "/>
      <w:legacy w:legacy="1" w:legacySpace="0" w:legacyIndent="283"/>
      <w:lvlJc w:val="left"/>
      <w:pPr>
        <w:ind w:left="1701" w:hanging="283"/>
      </w:pPr>
      <w:rPr>
        <w:rFonts w:ascii="Arial" w:hAnsi="Arial" w:hint="default"/>
        <w:b/>
        <w:i w:val="0"/>
        <w:sz w:val="24"/>
        <w:u w:val="none"/>
      </w:rPr>
    </w:lvl>
  </w:abstractNum>
  <w:abstractNum w:abstractNumId="346">
    <w:nsid w:val="3B5D2D59"/>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347">
    <w:nsid w:val="3B70758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48">
    <w:nsid w:val="3B7948EA"/>
    <w:multiLevelType w:val="singleLevel"/>
    <w:tmpl w:val="118A400E"/>
    <w:lvl w:ilvl="0">
      <w:numFmt w:val="bullet"/>
      <w:lvlText w:val="-"/>
      <w:lvlJc w:val="left"/>
      <w:pPr>
        <w:tabs>
          <w:tab w:val="num" w:pos="4755"/>
        </w:tabs>
        <w:ind w:left="4755" w:hanging="360"/>
      </w:pPr>
      <w:rPr>
        <w:b/>
        <w:i w:val="0"/>
      </w:rPr>
    </w:lvl>
  </w:abstractNum>
  <w:abstractNum w:abstractNumId="349">
    <w:nsid w:val="3B7B2755"/>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350">
    <w:nsid w:val="3C0B4090"/>
    <w:multiLevelType w:val="multilevel"/>
    <w:tmpl w:val="259AF210"/>
    <w:lvl w:ilvl="0">
      <w:start w:val="3"/>
      <w:numFmt w:val="decimal"/>
      <w:lvlText w:val="%1."/>
      <w:lvlJc w:val="left"/>
      <w:pPr>
        <w:tabs>
          <w:tab w:val="num" w:pos="400"/>
        </w:tabs>
        <w:ind w:left="400" w:hanging="40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1">
    <w:nsid w:val="3C553747"/>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352">
    <w:nsid w:val="3C6F306C"/>
    <w:multiLevelType w:val="multilevel"/>
    <w:tmpl w:val="97621958"/>
    <w:lvl w:ilvl="0">
      <w:start w:val="5"/>
      <w:numFmt w:val="decimal"/>
      <w:lvlText w:val="%1."/>
      <w:lvlJc w:val="left"/>
      <w:pPr>
        <w:tabs>
          <w:tab w:val="num" w:pos="400"/>
        </w:tabs>
        <w:ind w:left="400" w:hanging="400"/>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353">
    <w:nsid w:val="3C7940CD"/>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354">
    <w:nsid w:val="3CA12060"/>
    <w:multiLevelType w:val="multilevel"/>
    <w:tmpl w:val="93C6BC9E"/>
    <w:lvl w:ilvl="0">
      <w:start w:val="3"/>
      <w:numFmt w:val="decimal"/>
      <w:lvlText w:val="%1"/>
      <w:lvlJc w:val="left"/>
      <w:pPr>
        <w:tabs>
          <w:tab w:val="num" w:pos="465"/>
        </w:tabs>
        <w:ind w:left="465" w:hanging="465"/>
      </w:pPr>
      <w:rPr>
        <w:rFonts w:hint="default"/>
      </w:rPr>
    </w:lvl>
    <w:lvl w:ilvl="1">
      <w:start w:val="1"/>
      <w:numFmt w:val="decimal"/>
      <w:lvlText w:val="%1.%2"/>
      <w:lvlJc w:val="left"/>
      <w:pPr>
        <w:tabs>
          <w:tab w:val="num" w:pos="1659"/>
        </w:tabs>
        <w:ind w:left="1659" w:hanging="465"/>
      </w:pPr>
      <w:rPr>
        <w:rFonts w:hint="default"/>
      </w:rPr>
    </w:lvl>
    <w:lvl w:ilvl="2">
      <w:start w:val="1"/>
      <w:numFmt w:val="decimal"/>
      <w:lvlText w:val="%1.%2.%3"/>
      <w:lvlJc w:val="left"/>
      <w:pPr>
        <w:tabs>
          <w:tab w:val="num" w:pos="3108"/>
        </w:tabs>
        <w:ind w:left="3108" w:hanging="720"/>
      </w:pPr>
      <w:rPr>
        <w:rFonts w:hint="default"/>
      </w:rPr>
    </w:lvl>
    <w:lvl w:ilvl="3">
      <w:start w:val="1"/>
      <w:numFmt w:val="decimal"/>
      <w:lvlText w:val="%1.%2.%3.%4"/>
      <w:lvlJc w:val="left"/>
      <w:pPr>
        <w:tabs>
          <w:tab w:val="num" w:pos="4662"/>
        </w:tabs>
        <w:ind w:left="4662" w:hanging="1080"/>
      </w:pPr>
      <w:rPr>
        <w:rFonts w:hint="default"/>
      </w:rPr>
    </w:lvl>
    <w:lvl w:ilvl="4">
      <w:start w:val="1"/>
      <w:numFmt w:val="decimal"/>
      <w:lvlText w:val="%1.%2.%3.%4.%5"/>
      <w:lvlJc w:val="left"/>
      <w:pPr>
        <w:tabs>
          <w:tab w:val="num" w:pos="5856"/>
        </w:tabs>
        <w:ind w:left="5856" w:hanging="1080"/>
      </w:pPr>
      <w:rPr>
        <w:rFonts w:hint="default"/>
      </w:rPr>
    </w:lvl>
    <w:lvl w:ilvl="5">
      <w:start w:val="1"/>
      <w:numFmt w:val="decimal"/>
      <w:lvlText w:val="%1.%2.%3.%4.%5.%6"/>
      <w:lvlJc w:val="left"/>
      <w:pPr>
        <w:tabs>
          <w:tab w:val="num" w:pos="7410"/>
        </w:tabs>
        <w:ind w:left="7410" w:hanging="1440"/>
      </w:pPr>
      <w:rPr>
        <w:rFonts w:hint="default"/>
      </w:rPr>
    </w:lvl>
    <w:lvl w:ilvl="6">
      <w:start w:val="1"/>
      <w:numFmt w:val="decimal"/>
      <w:lvlText w:val="%1.%2.%3.%4.%5.%6.%7"/>
      <w:lvlJc w:val="left"/>
      <w:pPr>
        <w:tabs>
          <w:tab w:val="num" w:pos="8604"/>
        </w:tabs>
        <w:ind w:left="8604" w:hanging="1440"/>
      </w:pPr>
      <w:rPr>
        <w:rFonts w:hint="default"/>
      </w:rPr>
    </w:lvl>
    <w:lvl w:ilvl="7">
      <w:start w:val="1"/>
      <w:numFmt w:val="decimal"/>
      <w:lvlText w:val="%1.%2.%3.%4.%5.%6.%7.%8"/>
      <w:lvlJc w:val="left"/>
      <w:pPr>
        <w:tabs>
          <w:tab w:val="num" w:pos="10158"/>
        </w:tabs>
        <w:ind w:left="10158" w:hanging="1800"/>
      </w:pPr>
      <w:rPr>
        <w:rFonts w:hint="default"/>
      </w:rPr>
    </w:lvl>
    <w:lvl w:ilvl="8">
      <w:start w:val="1"/>
      <w:numFmt w:val="decimal"/>
      <w:lvlText w:val="%1.%2.%3.%4.%5.%6.%7.%8.%9"/>
      <w:lvlJc w:val="left"/>
      <w:pPr>
        <w:tabs>
          <w:tab w:val="num" w:pos="11352"/>
        </w:tabs>
        <w:ind w:left="11352" w:hanging="1800"/>
      </w:pPr>
      <w:rPr>
        <w:rFonts w:hint="default"/>
      </w:rPr>
    </w:lvl>
  </w:abstractNum>
  <w:abstractNum w:abstractNumId="35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56">
    <w:nsid w:val="3CB64AA2"/>
    <w:multiLevelType w:val="singleLevel"/>
    <w:tmpl w:val="04160017"/>
    <w:lvl w:ilvl="0">
      <w:start w:val="1"/>
      <w:numFmt w:val="lowerLetter"/>
      <w:lvlText w:val="%1)"/>
      <w:lvlJc w:val="left"/>
      <w:pPr>
        <w:tabs>
          <w:tab w:val="num" w:pos="360"/>
        </w:tabs>
        <w:ind w:left="360" w:hanging="360"/>
      </w:pPr>
    </w:lvl>
  </w:abstractNum>
  <w:abstractNum w:abstractNumId="357">
    <w:nsid w:val="3CF848B0"/>
    <w:multiLevelType w:val="singleLevel"/>
    <w:tmpl w:val="871E2624"/>
    <w:lvl w:ilvl="0">
      <w:start w:val="1"/>
      <w:numFmt w:val="bullet"/>
      <w:lvlText w:val=""/>
      <w:lvlJc w:val="left"/>
      <w:pPr>
        <w:tabs>
          <w:tab w:val="num" w:pos="1512"/>
        </w:tabs>
        <w:ind w:left="1435" w:hanging="283"/>
      </w:pPr>
      <w:rPr>
        <w:rFonts w:ascii="Symbol" w:hAnsi="Symbol" w:hint="default"/>
        <w:sz w:val="28"/>
      </w:rPr>
    </w:lvl>
  </w:abstractNum>
  <w:abstractNum w:abstractNumId="358">
    <w:nsid w:val="3D33115E"/>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359">
    <w:nsid w:val="3D5234F6"/>
    <w:multiLevelType w:val="singleLevel"/>
    <w:tmpl w:val="04160017"/>
    <w:lvl w:ilvl="0">
      <w:start w:val="1"/>
      <w:numFmt w:val="lowerLetter"/>
      <w:lvlText w:val="%1)"/>
      <w:lvlJc w:val="left"/>
      <w:pPr>
        <w:tabs>
          <w:tab w:val="num" w:pos="360"/>
        </w:tabs>
        <w:ind w:left="360" w:hanging="360"/>
      </w:pPr>
    </w:lvl>
  </w:abstractNum>
  <w:abstractNum w:abstractNumId="360">
    <w:nsid w:val="3D59464B"/>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361">
    <w:nsid w:val="3DCD2838"/>
    <w:multiLevelType w:val="singleLevel"/>
    <w:tmpl w:val="2C623534"/>
    <w:lvl w:ilvl="0">
      <w:start w:val="1"/>
      <w:numFmt w:val="lowerRoman"/>
      <w:lvlText w:val="%1)"/>
      <w:lvlJc w:val="left"/>
      <w:pPr>
        <w:tabs>
          <w:tab w:val="num" w:pos="720"/>
        </w:tabs>
        <w:ind w:left="720" w:hanging="720"/>
      </w:pPr>
      <w:rPr>
        <w:rFonts w:hint="default"/>
      </w:rPr>
    </w:lvl>
  </w:abstractNum>
  <w:abstractNum w:abstractNumId="362">
    <w:nsid w:val="3DE005F5"/>
    <w:multiLevelType w:val="singleLevel"/>
    <w:tmpl w:val="5BEE313E"/>
    <w:lvl w:ilvl="0">
      <w:start w:val="9"/>
      <w:numFmt w:val="lowerLetter"/>
      <w:lvlText w:val="%1)"/>
      <w:lvlJc w:val="left"/>
      <w:pPr>
        <w:tabs>
          <w:tab w:val="num" w:pos="1776"/>
        </w:tabs>
        <w:ind w:left="1776" w:hanging="360"/>
      </w:pPr>
      <w:rPr>
        <w:rFonts w:hint="default"/>
      </w:rPr>
    </w:lvl>
  </w:abstractNum>
  <w:abstractNum w:abstractNumId="363">
    <w:nsid w:val="3DF109BF"/>
    <w:multiLevelType w:val="singleLevel"/>
    <w:tmpl w:val="04160001"/>
    <w:lvl w:ilvl="0">
      <w:start w:val="331"/>
      <w:numFmt w:val="bullet"/>
      <w:lvlText w:val=""/>
      <w:lvlJc w:val="left"/>
      <w:pPr>
        <w:tabs>
          <w:tab w:val="num" w:pos="360"/>
        </w:tabs>
        <w:ind w:left="360" w:hanging="360"/>
      </w:pPr>
      <w:rPr>
        <w:rFonts w:ascii="Symbol" w:hAnsi="Symbol" w:hint="default"/>
      </w:rPr>
    </w:lvl>
  </w:abstractNum>
  <w:abstractNum w:abstractNumId="364">
    <w:nsid w:val="3E2B2FC0"/>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365">
    <w:nsid w:val="3E4A653A"/>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66">
    <w:nsid w:val="3E544C4D"/>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67">
    <w:nsid w:val="3E910474"/>
    <w:multiLevelType w:val="singleLevel"/>
    <w:tmpl w:val="FFFFFFFF"/>
    <w:lvl w:ilvl="0">
      <w:numFmt w:val="decimal"/>
      <w:lvlText w:val="%1"/>
      <w:legacy w:legacy="1" w:legacySpace="0" w:legacyIndent="0"/>
      <w:lvlJc w:val="left"/>
    </w:lvl>
  </w:abstractNum>
  <w:abstractNum w:abstractNumId="368">
    <w:nsid w:val="3E94697C"/>
    <w:multiLevelType w:val="singleLevel"/>
    <w:tmpl w:val="04160013"/>
    <w:lvl w:ilvl="0">
      <w:start w:val="1"/>
      <w:numFmt w:val="upperRoman"/>
      <w:lvlText w:val="%1."/>
      <w:lvlJc w:val="left"/>
      <w:pPr>
        <w:tabs>
          <w:tab w:val="num" w:pos="720"/>
        </w:tabs>
        <w:ind w:left="720" w:hanging="720"/>
      </w:pPr>
      <w:rPr>
        <w:rFonts w:hint="default"/>
      </w:rPr>
    </w:lvl>
  </w:abstractNum>
  <w:abstractNum w:abstractNumId="369">
    <w:nsid w:val="3EC01BB0"/>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370">
    <w:nsid w:val="3EDA74EB"/>
    <w:multiLevelType w:val="singleLevel"/>
    <w:tmpl w:val="49A6C61A"/>
    <w:lvl w:ilvl="0">
      <w:start w:val="1"/>
      <w:numFmt w:val="bullet"/>
      <w:lvlText w:val=""/>
      <w:lvlJc w:val="left"/>
      <w:pPr>
        <w:tabs>
          <w:tab w:val="num" w:pos="1512"/>
        </w:tabs>
        <w:ind w:left="1435" w:hanging="283"/>
      </w:pPr>
      <w:rPr>
        <w:rFonts w:ascii="Symbol" w:hAnsi="Symbol" w:hint="default"/>
        <w:sz w:val="24"/>
      </w:rPr>
    </w:lvl>
  </w:abstractNum>
  <w:abstractNum w:abstractNumId="371">
    <w:nsid w:val="3EE048A3"/>
    <w:multiLevelType w:val="singleLevel"/>
    <w:tmpl w:val="5524D622"/>
    <w:lvl w:ilvl="0">
      <w:start w:val="1"/>
      <w:numFmt w:val="bullet"/>
      <w:lvlText w:val=""/>
      <w:lvlJc w:val="left"/>
      <w:pPr>
        <w:tabs>
          <w:tab w:val="num" w:pos="1512"/>
        </w:tabs>
        <w:ind w:left="1435" w:hanging="283"/>
      </w:pPr>
      <w:rPr>
        <w:rFonts w:ascii="Symbol" w:hAnsi="Symbol" w:hint="default"/>
        <w:sz w:val="28"/>
      </w:rPr>
    </w:lvl>
  </w:abstractNum>
  <w:abstractNum w:abstractNumId="372">
    <w:nsid w:val="3EE22C31"/>
    <w:multiLevelType w:val="singleLevel"/>
    <w:tmpl w:val="3B98B7F8"/>
    <w:lvl w:ilvl="0">
      <w:start w:val="1"/>
      <w:numFmt w:val="bullet"/>
      <w:lvlText w:val=""/>
      <w:lvlJc w:val="left"/>
      <w:pPr>
        <w:tabs>
          <w:tab w:val="num" w:pos="1512"/>
        </w:tabs>
        <w:ind w:left="1435" w:hanging="283"/>
      </w:pPr>
      <w:rPr>
        <w:rFonts w:ascii="Symbol" w:hAnsi="Symbol" w:hint="default"/>
        <w:sz w:val="20"/>
      </w:rPr>
    </w:lvl>
  </w:abstractNum>
  <w:abstractNum w:abstractNumId="373">
    <w:nsid w:val="3F030D23"/>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74">
    <w:nsid w:val="3F431BD1"/>
    <w:multiLevelType w:val="singleLevel"/>
    <w:tmpl w:val="FFFFFFFF"/>
    <w:lvl w:ilvl="0">
      <w:numFmt w:val="decimal"/>
      <w:lvlText w:val="%1"/>
      <w:legacy w:legacy="1" w:legacySpace="0" w:legacyIndent="0"/>
      <w:lvlJc w:val="left"/>
    </w:lvl>
  </w:abstractNum>
  <w:abstractNum w:abstractNumId="375">
    <w:nsid w:val="3F4903F5"/>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376">
    <w:nsid w:val="3F637E62"/>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377">
    <w:nsid w:val="3F67095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78">
    <w:nsid w:val="3F7D6B61"/>
    <w:multiLevelType w:val="singleLevel"/>
    <w:tmpl w:val="5074D4E0"/>
    <w:lvl w:ilvl="0">
      <w:start w:val="1"/>
      <w:numFmt w:val="decimal"/>
      <w:lvlText w:val="%1-"/>
      <w:lvlJc w:val="left"/>
      <w:pPr>
        <w:tabs>
          <w:tab w:val="num" w:pos="705"/>
        </w:tabs>
        <w:ind w:left="705" w:hanging="705"/>
      </w:pPr>
      <w:rPr>
        <w:rFonts w:hint="default"/>
      </w:rPr>
    </w:lvl>
  </w:abstractNum>
  <w:abstractNum w:abstractNumId="379">
    <w:nsid w:val="3FA1568D"/>
    <w:multiLevelType w:val="singleLevel"/>
    <w:tmpl w:val="EED03B2C"/>
    <w:lvl w:ilvl="0">
      <w:start w:val="1"/>
      <w:numFmt w:val="bullet"/>
      <w:lvlText w:val=""/>
      <w:lvlJc w:val="left"/>
      <w:pPr>
        <w:tabs>
          <w:tab w:val="num" w:pos="1512"/>
        </w:tabs>
        <w:ind w:left="1435" w:hanging="283"/>
      </w:pPr>
      <w:rPr>
        <w:rFonts w:ascii="Symbol" w:hAnsi="Symbol" w:hint="default"/>
        <w:sz w:val="20"/>
      </w:rPr>
    </w:lvl>
  </w:abstractNum>
  <w:abstractNum w:abstractNumId="380">
    <w:nsid w:val="3FD75E9E"/>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381">
    <w:nsid w:val="40221049"/>
    <w:multiLevelType w:val="singleLevel"/>
    <w:tmpl w:val="04D4B0C4"/>
    <w:lvl w:ilvl="0">
      <w:start w:val="1"/>
      <w:numFmt w:val="decimal"/>
      <w:lvlText w:val="%1."/>
      <w:lvlJc w:val="left"/>
      <w:pPr>
        <w:tabs>
          <w:tab w:val="num" w:pos="360"/>
        </w:tabs>
        <w:ind w:left="360" w:hanging="360"/>
      </w:pPr>
    </w:lvl>
  </w:abstractNum>
  <w:abstractNum w:abstractNumId="382">
    <w:nsid w:val="40314BA6"/>
    <w:multiLevelType w:val="singleLevel"/>
    <w:tmpl w:val="04160017"/>
    <w:lvl w:ilvl="0">
      <w:start w:val="1"/>
      <w:numFmt w:val="lowerLetter"/>
      <w:lvlText w:val="%1)"/>
      <w:lvlJc w:val="left"/>
      <w:pPr>
        <w:tabs>
          <w:tab w:val="num" w:pos="360"/>
        </w:tabs>
        <w:ind w:left="360" w:hanging="360"/>
      </w:pPr>
    </w:lvl>
  </w:abstractNum>
  <w:abstractNum w:abstractNumId="383">
    <w:nsid w:val="403A363D"/>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384">
    <w:nsid w:val="41092972"/>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385">
    <w:nsid w:val="41214923"/>
    <w:multiLevelType w:val="singleLevel"/>
    <w:tmpl w:val="351841A6"/>
    <w:lvl w:ilvl="0">
      <w:start w:val="500"/>
      <w:numFmt w:val="decimal"/>
      <w:lvlText w:val="%1"/>
      <w:lvlJc w:val="left"/>
      <w:pPr>
        <w:tabs>
          <w:tab w:val="num" w:pos="4373"/>
        </w:tabs>
        <w:ind w:left="4373" w:hanging="420"/>
      </w:pPr>
      <w:rPr>
        <w:rFonts w:hint="default"/>
        <w:b w:val="0"/>
      </w:rPr>
    </w:lvl>
  </w:abstractNum>
  <w:abstractNum w:abstractNumId="386">
    <w:nsid w:val="41550ABC"/>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387">
    <w:nsid w:val="41A069BE"/>
    <w:multiLevelType w:val="singleLevel"/>
    <w:tmpl w:val="7A6ADBD8"/>
    <w:lvl w:ilvl="0">
      <w:numFmt w:val="bullet"/>
      <w:lvlText w:val=""/>
      <w:lvlJc w:val="left"/>
      <w:pPr>
        <w:tabs>
          <w:tab w:val="num" w:pos="360"/>
        </w:tabs>
        <w:ind w:left="0" w:firstLine="0"/>
      </w:pPr>
      <w:rPr>
        <w:rFonts w:ascii="Symbol" w:hAnsi="Symbol" w:hint="default"/>
      </w:rPr>
    </w:lvl>
  </w:abstractNum>
  <w:abstractNum w:abstractNumId="388">
    <w:nsid w:val="41DB321E"/>
    <w:multiLevelType w:val="singleLevel"/>
    <w:tmpl w:val="E2428B0C"/>
    <w:lvl w:ilvl="0">
      <w:start w:val="10"/>
      <w:numFmt w:val="decimal"/>
      <w:lvlText w:val="%1"/>
      <w:lvlJc w:val="left"/>
      <w:pPr>
        <w:tabs>
          <w:tab w:val="num" w:pos="360"/>
        </w:tabs>
        <w:ind w:left="360" w:hanging="360"/>
      </w:pPr>
      <w:rPr>
        <w:rFonts w:hint="default"/>
      </w:rPr>
    </w:lvl>
  </w:abstractNum>
  <w:abstractNum w:abstractNumId="389">
    <w:nsid w:val="423E7C49"/>
    <w:multiLevelType w:val="singleLevel"/>
    <w:tmpl w:val="04160001"/>
    <w:lvl w:ilvl="0">
      <w:start w:val="556"/>
      <w:numFmt w:val="bullet"/>
      <w:lvlText w:val=""/>
      <w:lvlJc w:val="left"/>
      <w:pPr>
        <w:tabs>
          <w:tab w:val="num" w:pos="360"/>
        </w:tabs>
        <w:ind w:left="360" w:hanging="360"/>
      </w:pPr>
      <w:rPr>
        <w:rFonts w:ascii="Symbol" w:hAnsi="Symbol" w:hint="default"/>
      </w:rPr>
    </w:lvl>
  </w:abstractNum>
  <w:abstractNum w:abstractNumId="390">
    <w:nsid w:val="428A708D"/>
    <w:multiLevelType w:val="singleLevel"/>
    <w:tmpl w:val="0416000F"/>
    <w:lvl w:ilvl="0">
      <w:start w:val="1"/>
      <w:numFmt w:val="decimal"/>
      <w:lvlText w:val="%1."/>
      <w:lvlJc w:val="left"/>
      <w:pPr>
        <w:tabs>
          <w:tab w:val="num" w:pos="360"/>
        </w:tabs>
        <w:ind w:left="360" w:hanging="360"/>
      </w:pPr>
    </w:lvl>
  </w:abstractNum>
  <w:abstractNum w:abstractNumId="391">
    <w:nsid w:val="42947811"/>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392">
    <w:nsid w:val="42CC4B3B"/>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393">
    <w:nsid w:val="42D530BD"/>
    <w:multiLevelType w:val="multilevel"/>
    <w:tmpl w:val="61B2888E"/>
    <w:lvl w:ilvl="0">
      <w:start w:val="8"/>
      <w:numFmt w:val="decimal"/>
      <w:lvlText w:val="%1"/>
      <w:lvlJc w:val="left"/>
      <w:pPr>
        <w:tabs>
          <w:tab w:val="num" w:pos="660"/>
        </w:tabs>
        <w:ind w:left="660" w:hanging="660"/>
      </w:pPr>
      <w:rPr>
        <w:rFonts w:hint="default"/>
      </w:rPr>
    </w:lvl>
    <w:lvl w:ilvl="1">
      <w:start w:val="3"/>
      <w:numFmt w:val="decimal"/>
      <w:lvlText w:val="%1.%2"/>
      <w:lvlJc w:val="left"/>
      <w:pPr>
        <w:tabs>
          <w:tab w:val="num" w:pos="1387"/>
        </w:tabs>
        <w:ind w:left="1387" w:hanging="660"/>
      </w:pPr>
      <w:rPr>
        <w:rFonts w:hint="default"/>
      </w:rPr>
    </w:lvl>
    <w:lvl w:ilvl="2">
      <w:start w:val="2"/>
      <w:numFmt w:val="decimal"/>
      <w:lvlText w:val="%1.%2.%3"/>
      <w:lvlJc w:val="left"/>
      <w:pPr>
        <w:tabs>
          <w:tab w:val="num" w:pos="2174"/>
        </w:tabs>
        <w:ind w:left="2174" w:hanging="720"/>
      </w:pPr>
      <w:rPr>
        <w:rFonts w:hint="default"/>
      </w:rPr>
    </w:lvl>
    <w:lvl w:ilvl="3">
      <w:start w:val="1"/>
      <w:numFmt w:val="decimal"/>
      <w:lvlText w:val="%1.%2.%3.%4"/>
      <w:lvlJc w:val="left"/>
      <w:pPr>
        <w:tabs>
          <w:tab w:val="num" w:pos="3261"/>
        </w:tabs>
        <w:ind w:left="3261" w:hanging="1080"/>
      </w:pPr>
      <w:rPr>
        <w:rFonts w:hint="default"/>
      </w:rPr>
    </w:lvl>
    <w:lvl w:ilvl="4">
      <w:start w:val="1"/>
      <w:numFmt w:val="decimal"/>
      <w:lvlText w:val="%1.%2.%3.%4.%5"/>
      <w:lvlJc w:val="left"/>
      <w:pPr>
        <w:tabs>
          <w:tab w:val="num" w:pos="3988"/>
        </w:tabs>
        <w:ind w:left="3988" w:hanging="1080"/>
      </w:pPr>
      <w:rPr>
        <w:rFonts w:hint="default"/>
      </w:rPr>
    </w:lvl>
    <w:lvl w:ilvl="5">
      <w:start w:val="1"/>
      <w:numFmt w:val="decimal"/>
      <w:lvlText w:val="%1.%2.%3.%4.%5.%6"/>
      <w:lvlJc w:val="left"/>
      <w:pPr>
        <w:tabs>
          <w:tab w:val="num" w:pos="5075"/>
        </w:tabs>
        <w:ind w:left="5075" w:hanging="1440"/>
      </w:pPr>
      <w:rPr>
        <w:rFonts w:hint="default"/>
      </w:rPr>
    </w:lvl>
    <w:lvl w:ilvl="6">
      <w:start w:val="1"/>
      <w:numFmt w:val="decimal"/>
      <w:lvlText w:val="%1.%2.%3.%4.%5.%6.%7"/>
      <w:lvlJc w:val="left"/>
      <w:pPr>
        <w:tabs>
          <w:tab w:val="num" w:pos="5802"/>
        </w:tabs>
        <w:ind w:left="5802" w:hanging="1440"/>
      </w:pPr>
      <w:rPr>
        <w:rFonts w:hint="default"/>
      </w:rPr>
    </w:lvl>
    <w:lvl w:ilvl="7">
      <w:start w:val="1"/>
      <w:numFmt w:val="decimal"/>
      <w:lvlText w:val="%1.%2.%3.%4.%5.%6.%7.%8"/>
      <w:lvlJc w:val="left"/>
      <w:pPr>
        <w:tabs>
          <w:tab w:val="num" w:pos="6889"/>
        </w:tabs>
        <w:ind w:left="6889" w:hanging="1800"/>
      </w:pPr>
      <w:rPr>
        <w:rFonts w:hint="default"/>
      </w:rPr>
    </w:lvl>
    <w:lvl w:ilvl="8">
      <w:start w:val="1"/>
      <w:numFmt w:val="decimal"/>
      <w:lvlText w:val="%1.%2.%3.%4.%5.%6.%7.%8.%9"/>
      <w:lvlJc w:val="left"/>
      <w:pPr>
        <w:tabs>
          <w:tab w:val="num" w:pos="7616"/>
        </w:tabs>
        <w:ind w:left="7616" w:hanging="1800"/>
      </w:pPr>
      <w:rPr>
        <w:rFonts w:hint="default"/>
      </w:rPr>
    </w:lvl>
  </w:abstractNum>
  <w:abstractNum w:abstractNumId="394">
    <w:nsid w:val="42EC23F3"/>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395">
    <w:nsid w:val="42EC2538"/>
    <w:multiLevelType w:val="singleLevel"/>
    <w:tmpl w:val="118A400E"/>
    <w:lvl w:ilvl="0">
      <w:numFmt w:val="bullet"/>
      <w:lvlText w:val="-"/>
      <w:lvlJc w:val="left"/>
      <w:pPr>
        <w:tabs>
          <w:tab w:val="num" w:pos="4755"/>
        </w:tabs>
        <w:ind w:left="4755" w:hanging="360"/>
      </w:pPr>
      <w:rPr>
        <w:b/>
        <w:i w:val="0"/>
      </w:rPr>
    </w:lvl>
  </w:abstractNum>
  <w:abstractNum w:abstractNumId="396">
    <w:nsid w:val="43294325"/>
    <w:multiLevelType w:val="singleLevel"/>
    <w:tmpl w:val="16BC7322"/>
    <w:lvl w:ilvl="0">
      <w:start w:val="1"/>
      <w:numFmt w:val="bullet"/>
      <w:lvlText w:val="-"/>
      <w:lvlJc w:val="left"/>
      <w:pPr>
        <w:tabs>
          <w:tab w:val="num" w:pos="360"/>
        </w:tabs>
        <w:ind w:left="360" w:hanging="360"/>
      </w:pPr>
      <w:rPr>
        <w:rFonts w:hint="default"/>
        <w:sz w:val="26"/>
      </w:rPr>
    </w:lvl>
  </w:abstractNum>
  <w:abstractNum w:abstractNumId="397">
    <w:nsid w:val="4347473B"/>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98">
    <w:nsid w:val="436C460F"/>
    <w:multiLevelType w:val="singleLevel"/>
    <w:tmpl w:val="FFFFFFFF"/>
    <w:lvl w:ilvl="0">
      <w:numFmt w:val="decimal"/>
      <w:lvlText w:val="%1"/>
      <w:legacy w:legacy="1" w:legacySpace="0" w:legacyIndent="0"/>
      <w:lvlJc w:val="left"/>
    </w:lvl>
  </w:abstractNum>
  <w:abstractNum w:abstractNumId="399">
    <w:nsid w:val="43B837C8"/>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00">
    <w:nsid w:val="43BE0B2C"/>
    <w:multiLevelType w:val="singleLevel"/>
    <w:tmpl w:val="871E2624"/>
    <w:lvl w:ilvl="0">
      <w:start w:val="1"/>
      <w:numFmt w:val="bullet"/>
      <w:lvlText w:val=""/>
      <w:lvlJc w:val="left"/>
      <w:pPr>
        <w:tabs>
          <w:tab w:val="num" w:pos="1512"/>
        </w:tabs>
        <w:ind w:left="1435" w:hanging="283"/>
      </w:pPr>
      <w:rPr>
        <w:rFonts w:ascii="Symbol" w:hAnsi="Symbol" w:hint="default"/>
        <w:sz w:val="28"/>
      </w:rPr>
    </w:lvl>
  </w:abstractNum>
  <w:abstractNum w:abstractNumId="401">
    <w:nsid w:val="4406685D"/>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402">
    <w:nsid w:val="440B259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03">
    <w:nsid w:val="4446037A"/>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404">
    <w:nsid w:val="445C3791"/>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405">
    <w:nsid w:val="44704780"/>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406">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407">
    <w:nsid w:val="452F6EA3"/>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408">
    <w:nsid w:val="459A64D9"/>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409">
    <w:nsid w:val="45AB7B70"/>
    <w:multiLevelType w:val="singleLevel"/>
    <w:tmpl w:val="9D5A251E"/>
    <w:lvl w:ilvl="0">
      <w:start w:val="1"/>
      <w:numFmt w:val="upperLetter"/>
      <w:lvlText w:val="%1)"/>
      <w:lvlJc w:val="left"/>
      <w:pPr>
        <w:tabs>
          <w:tab w:val="num" w:pos="1068"/>
        </w:tabs>
        <w:ind w:left="1068" w:hanging="360"/>
      </w:pPr>
      <w:rPr>
        <w:rFonts w:hint="default"/>
      </w:rPr>
    </w:lvl>
  </w:abstractNum>
  <w:abstractNum w:abstractNumId="410">
    <w:nsid w:val="45E102B0"/>
    <w:multiLevelType w:val="singleLevel"/>
    <w:tmpl w:val="79427096"/>
    <w:lvl w:ilvl="0">
      <w:start w:val="1"/>
      <w:numFmt w:val="decimal"/>
      <w:lvlText w:val="%1."/>
      <w:lvlJc w:val="left"/>
      <w:pPr>
        <w:tabs>
          <w:tab w:val="num" w:pos="360"/>
        </w:tabs>
        <w:ind w:left="360" w:hanging="360"/>
      </w:pPr>
      <w:rPr>
        <w:b/>
        <w:i w:val="0"/>
      </w:rPr>
    </w:lvl>
  </w:abstractNum>
  <w:abstractNum w:abstractNumId="411">
    <w:nsid w:val="46270854"/>
    <w:multiLevelType w:val="singleLevel"/>
    <w:tmpl w:val="67A0EEAA"/>
    <w:lvl w:ilvl="0">
      <w:start w:val="1"/>
      <w:numFmt w:val="lowerLetter"/>
      <w:lvlText w:val="%1) "/>
      <w:lvlJc w:val="left"/>
      <w:pPr>
        <w:tabs>
          <w:tab w:val="num" w:pos="1069"/>
        </w:tabs>
        <w:ind w:left="992" w:hanging="283"/>
      </w:pPr>
      <w:rPr>
        <w:rFonts w:ascii="Arial" w:hAnsi="Arial" w:hint="default"/>
        <w:b/>
        <w:i w:val="0"/>
        <w:sz w:val="24"/>
        <w:u w:val="none"/>
      </w:rPr>
    </w:lvl>
  </w:abstractNum>
  <w:abstractNum w:abstractNumId="412">
    <w:nsid w:val="46C539C0"/>
    <w:multiLevelType w:val="singleLevel"/>
    <w:tmpl w:val="0416000F"/>
    <w:lvl w:ilvl="0">
      <w:start w:val="1"/>
      <w:numFmt w:val="decimal"/>
      <w:lvlText w:val="%1."/>
      <w:lvlJc w:val="left"/>
      <w:pPr>
        <w:tabs>
          <w:tab w:val="num" w:pos="360"/>
        </w:tabs>
        <w:ind w:left="360" w:hanging="360"/>
      </w:pPr>
    </w:lvl>
  </w:abstractNum>
  <w:abstractNum w:abstractNumId="413">
    <w:nsid w:val="46D17C5F"/>
    <w:multiLevelType w:val="singleLevel"/>
    <w:tmpl w:val="44A49ADA"/>
    <w:lvl w:ilvl="0">
      <w:start w:val="1"/>
      <w:numFmt w:val="lowerLetter"/>
      <w:lvlText w:val="(%1)"/>
      <w:lvlJc w:val="left"/>
      <w:pPr>
        <w:tabs>
          <w:tab w:val="num" w:pos="1114"/>
        </w:tabs>
        <w:ind w:left="1114" w:hanging="405"/>
      </w:pPr>
      <w:rPr>
        <w:rFonts w:hint="default"/>
      </w:rPr>
    </w:lvl>
  </w:abstractNum>
  <w:abstractNum w:abstractNumId="414">
    <w:nsid w:val="46EE50F6"/>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15">
    <w:nsid w:val="46F61B8E"/>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416">
    <w:nsid w:val="46F858D6"/>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417">
    <w:nsid w:val="47067C35"/>
    <w:multiLevelType w:val="singleLevel"/>
    <w:tmpl w:val="877891CC"/>
    <w:lvl w:ilvl="0">
      <w:start w:val="1"/>
      <w:numFmt w:val="lowerRoman"/>
      <w:lvlText w:val="(%1)"/>
      <w:lvlJc w:val="left"/>
      <w:pPr>
        <w:tabs>
          <w:tab w:val="num" w:pos="1788"/>
        </w:tabs>
        <w:ind w:left="1788" w:hanging="1080"/>
      </w:pPr>
      <w:rPr>
        <w:rFonts w:hint="default"/>
      </w:rPr>
    </w:lvl>
  </w:abstractNum>
  <w:abstractNum w:abstractNumId="418">
    <w:nsid w:val="470A0D19"/>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419">
    <w:nsid w:val="473D2D3B"/>
    <w:multiLevelType w:val="singleLevel"/>
    <w:tmpl w:val="CFA6D2B4"/>
    <w:lvl w:ilvl="0">
      <w:start w:val="1"/>
      <w:numFmt w:val="decimal"/>
      <w:lvlText w:val="(%1)"/>
      <w:lvlJc w:val="left"/>
      <w:pPr>
        <w:tabs>
          <w:tab w:val="num" w:pos="360"/>
        </w:tabs>
        <w:ind w:left="360" w:hanging="360"/>
      </w:pPr>
      <w:rPr>
        <w:rFonts w:hint="default"/>
      </w:rPr>
    </w:lvl>
  </w:abstractNum>
  <w:abstractNum w:abstractNumId="420">
    <w:nsid w:val="47B5370C"/>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21">
    <w:nsid w:val="47FD06E5"/>
    <w:multiLevelType w:val="singleLevel"/>
    <w:tmpl w:val="04160017"/>
    <w:lvl w:ilvl="0">
      <w:start w:val="1"/>
      <w:numFmt w:val="lowerLetter"/>
      <w:lvlText w:val="%1)"/>
      <w:lvlJc w:val="left"/>
      <w:pPr>
        <w:tabs>
          <w:tab w:val="num" w:pos="360"/>
        </w:tabs>
        <w:ind w:left="360" w:hanging="360"/>
      </w:pPr>
      <w:rPr>
        <w:rFonts w:hint="default"/>
      </w:rPr>
    </w:lvl>
  </w:abstractNum>
  <w:abstractNum w:abstractNumId="422">
    <w:nsid w:val="480240D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23">
    <w:nsid w:val="485F1820"/>
    <w:multiLevelType w:val="multilevel"/>
    <w:tmpl w:val="5DA84EDA"/>
    <w:lvl w:ilvl="0">
      <w:start w:val="3"/>
      <w:numFmt w:val="decimal"/>
      <w:lvlText w:val="%1."/>
      <w:lvlJc w:val="left"/>
      <w:pPr>
        <w:tabs>
          <w:tab w:val="num" w:pos="400"/>
        </w:tabs>
        <w:ind w:left="400" w:hanging="400"/>
      </w:pPr>
      <w:rPr>
        <w:rFonts w:hint="default"/>
      </w:rPr>
    </w:lvl>
    <w:lvl w:ilvl="1">
      <w:start w:val="1"/>
      <w:numFmt w:val="decimal"/>
      <w:lvlText w:val="%1.%2."/>
      <w:lvlJc w:val="left"/>
      <w:pPr>
        <w:tabs>
          <w:tab w:val="num" w:pos="2138"/>
        </w:tabs>
        <w:ind w:left="2138" w:hanging="720"/>
      </w:pPr>
      <w:rPr>
        <w:rFonts w:hint="default"/>
      </w:rPr>
    </w:lvl>
    <w:lvl w:ilvl="2">
      <w:start w:val="1"/>
      <w:numFmt w:val="decimal"/>
      <w:lvlText w:val="%1.%2.%3."/>
      <w:lvlJc w:val="left"/>
      <w:pPr>
        <w:tabs>
          <w:tab w:val="num" w:pos="3556"/>
        </w:tabs>
        <w:ind w:left="3556" w:hanging="720"/>
      </w:pPr>
      <w:rPr>
        <w:rFonts w:hint="default"/>
      </w:rPr>
    </w:lvl>
    <w:lvl w:ilvl="3">
      <w:start w:val="1"/>
      <w:numFmt w:val="decimal"/>
      <w:lvlText w:val="%1.%2.%3.%4."/>
      <w:lvlJc w:val="left"/>
      <w:pPr>
        <w:tabs>
          <w:tab w:val="num" w:pos="5334"/>
        </w:tabs>
        <w:ind w:left="5334" w:hanging="1080"/>
      </w:pPr>
      <w:rPr>
        <w:rFonts w:hint="default"/>
      </w:rPr>
    </w:lvl>
    <w:lvl w:ilvl="4">
      <w:start w:val="1"/>
      <w:numFmt w:val="decimal"/>
      <w:lvlText w:val="%1.%2.%3.%4.%5."/>
      <w:lvlJc w:val="left"/>
      <w:pPr>
        <w:tabs>
          <w:tab w:val="num" w:pos="6752"/>
        </w:tabs>
        <w:ind w:left="6752" w:hanging="1080"/>
      </w:pPr>
      <w:rPr>
        <w:rFonts w:hint="default"/>
      </w:rPr>
    </w:lvl>
    <w:lvl w:ilvl="5">
      <w:start w:val="1"/>
      <w:numFmt w:val="decimal"/>
      <w:lvlText w:val="%1.%2.%3.%4.%5.%6."/>
      <w:lvlJc w:val="left"/>
      <w:pPr>
        <w:tabs>
          <w:tab w:val="num" w:pos="8530"/>
        </w:tabs>
        <w:ind w:left="8530" w:hanging="1440"/>
      </w:pPr>
      <w:rPr>
        <w:rFonts w:hint="default"/>
      </w:rPr>
    </w:lvl>
    <w:lvl w:ilvl="6">
      <w:start w:val="1"/>
      <w:numFmt w:val="decimal"/>
      <w:lvlText w:val="%1.%2.%3.%4.%5.%6.%7."/>
      <w:lvlJc w:val="left"/>
      <w:pPr>
        <w:tabs>
          <w:tab w:val="num" w:pos="9948"/>
        </w:tabs>
        <w:ind w:left="9948" w:hanging="1440"/>
      </w:pPr>
      <w:rPr>
        <w:rFonts w:hint="default"/>
      </w:rPr>
    </w:lvl>
    <w:lvl w:ilvl="7">
      <w:start w:val="1"/>
      <w:numFmt w:val="decimal"/>
      <w:lvlText w:val="%1.%2.%3.%4.%5.%6.%7.%8."/>
      <w:lvlJc w:val="left"/>
      <w:pPr>
        <w:tabs>
          <w:tab w:val="num" w:pos="11726"/>
        </w:tabs>
        <w:ind w:left="11726" w:hanging="1800"/>
      </w:pPr>
      <w:rPr>
        <w:rFonts w:hint="default"/>
      </w:rPr>
    </w:lvl>
    <w:lvl w:ilvl="8">
      <w:start w:val="1"/>
      <w:numFmt w:val="decimal"/>
      <w:lvlText w:val="%1.%2.%3.%4.%5.%6.%7.%8.%9."/>
      <w:lvlJc w:val="left"/>
      <w:pPr>
        <w:tabs>
          <w:tab w:val="num" w:pos="13504"/>
        </w:tabs>
        <w:ind w:left="13504" w:hanging="2160"/>
      </w:pPr>
      <w:rPr>
        <w:rFonts w:hint="default"/>
      </w:rPr>
    </w:lvl>
  </w:abstractNum>
  <w:abstractNum w:abstractNumId="4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25">
    <w:nsid w:val="48A22DF7"/>
    <w:multiLevelType w:val="multilevel"/>
    <w:tmpl w:val="52FE3A92"/>
    <w:lvl w:ilvl="0">
      <w:start w:val="3"/>
      <w:numFmt w:val="decimal"/>
      <w:lvlText w:val="%1"/>
      <w:lvlJc w:val="left"/>
      <w:pPr>
        <w:tabs>
          <w:tab w:val="num" w:pos="600"/>
        </w:tabs>
        <w:ind w:left="600" w:hanging="600"/>
      </w:pPr>
      <w:rPr>
        <w:rFonts w:hint="default"/>
      </w:rPr>
    </w:lvl>
    <w:lvl w:ilvl="1">
      <w:start w:val="1"/>
      <w:numFmt w:val="decimal"/>
      <w:lvlText w:val="%1.%2"/>
      <w:lvlJc w:val="left"/>
      <w:pPr>
        <w:tabs>
          <w:tab w:val="num" w:pos="1854"/>
        </w:tabs>
        <w:ind w:left="1854" w:hanging="600"/>
      </w:pPr>
      <w:rPr>
        <w:rFonts w:hint="default"/>
      </w:rPr>
    </w:lvl>
    <w:lvl w:ilvl="2">
      <w:start w:val="1"/>
      <w:numFmt w:val="decimal"/>
      <w:lvlText w:val="%1.%2.%3"/>
      <w:lvlJc w:val="left"/>
      <w:pPr>
        <w:tabs>
          <w:tab w:val="num" w:pos="3228"/>
        </w:tabs>
        <w:ind w:left="3228" w:hanging="720"/>
      </w:pPr>
      <w:rPr>
        <w:rFonts w:hint="default"/>
      </w:rPr>
    </w:lvl>
    <w:lvl w:ilvl="3">
      <w:start w:val="1"/>
      <w:numFmt w:val="decimal"/>
      <w:lvlText w:val="%1.%2.%3.%4"/>
      <w:lvlJc w:val="left"/>
      <w:pPr>
        <w:tabs>
          <w:tab w:val="num" w:pos="4842"/>
        </w:tabs>
        <w:ind w:left="4842" w:hanging="1080"/>
      </w:pPr>
      <w:rPr>
        <w:rFonts w:hint="default"/>
      </w:rPr>
    </w:lvl>
    <w:lvl w:ilvl="4">
      <w:start w:val="1"/>
      <w:numFmt w:val="decimal"/>
      <w:lvlText w:val="%1.%2.%3.%4.%5"/>
      <w:lvlJc w:val="left"/>
      <w:pPr>
        <w:tabs>
          <w:tab w:val="num" w:pos="6096"/>
        </w:tabs>
        <w:ind w:left="6096" w:hanging="1080"/>
      </w:pPr>
      <w:rPr>
        <w:rFonts w:hint="default"/>
      </w:rPr>
    </w:lvl>
    <w:lvl w:ilvl="5">
      <w:start w:val="1"/>
      <w:numFmt w:val="decimal"/>
      <w:lvlText w:val="%1.%2.%3.%4.%5.%6"/>
      <w:lvlJc w:val="left"/>
      <w:pPr>
        <w:tabs>
          <w:tab w:val="num" w:pos="7710"/>
        </w:tabs>
        <w:ind w:left="7710" w:hanging="1440"/>
      </w:pPr>
      <w:rPr>
        <w:rFonts w:hint="default"/>
      </w:rPr>
    </w:lvl>
    <w:lvl w:ilvl="6">
      <w:start w:val="1"/>
      <w:numFmt w:val="decimal"/>
      <w:lvlText w:val="%1.%2.%3.%4.%5.%6.%7"/>
      <w:lvlJc w:val="left"/>
      <w:pPr>
        <w:tabs>
          <w:tab w:val="num" w:pos="8964"/>
        </w:tabs>
        <w:ind w:left="8964" w:hanging="1440"/>
      </w:pPr>
      <w:rPr>
        <w:rFonts w:hint="default"/>
      </w:rPr>
    </w:lvl>
    <w:lvl w:ilvl="7">
      <w:start w:val="1"/>
      <w:numFmt w:val="decimal"/>
      <w:lvlText w:val="%1.%2.%3.%4.%5.%6.%7.%8"/>
      <w:lvlJc w:val="left"/>
      <w:pPr>
        <w:tabs>
          <w:tab w:val="num" w:pos="10578"/>
        </w:tabs>
        <w:ind w:left="10578" w:hanging="1800"/>
      </w:pPr>
      <w:rPr>
        <w:rFonts w:hint="default"/>
      </w:rPr>
    </w:lvl>
    <w:lvl w:ilvl="8">
      <w:start w:val="1"/>
      <w:numFmt w:val="decimal"/>
      <w:lvlText w:val="%1.%2.%3.%4.%5.%6.%7.%8.%9"/>
      <w:lvlJc w:val="left"/>
      <w:pPr>
        <w:tabs>
          <w:tab w:val="num" w:pos="11832"/>
        </w:tabs>
        <w:ind w:left="11832" w:hanging="1800"/>
      </w:pPr>
      <w:rPr>
        <w:rFonts w:hint="default"/>
      </w:rPr>
    </w:lvl>
  </w:abstractNum>
  <w:abstractNum w:abstractNumId="426">
    <w:nsid w:val="48A80759"/>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427">
    <w:nsid w:val="492F4B2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28">
    <w:nsid w:val="49395ADE"/>
    <w:multiLevelType w:val="singleLevel"/>
    <w:tmpl w:val="67A0EEAA"/>
    <w:lvl w:ilvl="0">
      <w:start w:val="1"/>
      <w:numFmt w:val="lowerLetter"/>
      <w:lvlText w:val="%1) "/>
      <w:lvlJc w:val="left"/>
      <w:pPr>
        <w:tabs>
          <w:tab w:val="num" w:pos="1069"/>
        </w:tabs>
        <w:ind w:left="992" w:hanging="283"/>
      </w:pPr>
      <w:rPr>
        <w:rFonts w:ascii="Arial" w:hAnsi="Arial" w:hint="default"/>
        <w:b/>
        <w:i w:val="0"/>
        <w:sz w:val="24"/>
        <w:u w:val="none"/>
      </w:rPr>
    </w:lvl>
  </w:abstractNum>
  <w:abstractNum w:abstractNumId="429">
    <w:nsid w:val="49563B89"/>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30">
    <w:nsid w:val="495D3DE0"/>
    <w:multiLevelType w:val="singleLevel"/>
    <w:tmpl w:val="785613DA"/>
    <w:lvl w:ilvl="0">
      <w:start w:val="3"/>
      <w:numFmt w:val="lowerLetter"/>
      <w:lvlText w:val="%1)"/>
      <w:lvlJc w:val="left"/>
      <w:pPr>
        <w:tabs>
          <w:tab w:val="num" w:pos="2061"/>
        </w:tabs>
        <w:ind w:left="2061" w:hanging="360"/>
      </w:pPr>
      <w:rPr>
        <w:rFonts w:hint="default"/>
      </w:rPr>
    </w:lvl>
  </w:abstractNum>
  <w:abstractNum w:abstractNumId="431">
    <w:nsid w:val="49767B1F"/>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32">
    <w:nsid w:val="49C710B4"/>
    <w:multiLevelType w:val="singleLevel"/>
    <w:tmpl w:val="118A400E"/>
    <w:lvl w:ilvl="0">
      <w:numFmt w:val="bullet"/>
      <w:lvlText w:val="-"/>
      <w:lvlJc w:val="left"/>
      <w:pPr>
        <w:tabs>
          <w:tab w:val="num" w:pos="4755"/>
        </w:tabs>
        <w:ind w:left="4755" w:hanging="360"/>
      </w:pPr>
      <w:rPr>
        <w:b/>
        <w:i w:val="0"/>
      </w:rPr>
    </w:lvl>
  </w:abstractNum>
  <w:abstractNum w:abstractNumId="433">
    <w:nsid w:val="4A2537C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34">
    <w:nsid w:val="4A607E20"/>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435">
    <w:nsid w:val="4A6C4D11"/>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36">
    <w:nsid w:val="4A817CFD"/>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437">
    <w:nsid w:val="4AE0460A"/>
    <w:multiLevelType w:val="singleLevel"/>
    <w:tmpl w:val="0416000F"/>
    <w:lvl w:ilvl="0">
      <w:start w:val="1"/>
      <w:numFmt w:val="decimal"/>
      <w:lvlText w:val="%1."/>
      <w:lvlJc w:val="left"/>
      <w:pPr>
        <w:tabs>
          <w:tab w:val="num" w:pos="360"/>
        </w:tabs>
        <w:ind w:left="360" w:hanging="360"/>
      </w:pPr>
    </w:lvl>
  </w:abstractNum>
  <w:abstractNum w:abstractNumId="438">
    <w:nsid w:val="4B1E7866"/>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439">
    <w:nsid w:val="4B8C02D3"/>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440">
    <w:nsid w:val="4BC17A4E"/>
    <w:multiLevelType w:val="singleLevel"/>
    <w:tmpl w:val="118A400E"/>
    <w:lvl w:ilvl="0">
      <w:numFmt w:val="bullet"/>
      <w:lvlText w:val="-"/>
      <w:lvlJc w:val="left"/>
      <w:pPr>
        <w:tabs>
          <w:tab w:val="num" w:pos="4755"/>
        </w:tabs>
        <w:ind w:left="4755" w:hanging="360"/>
      </w:pPr>
      <w:rPr>
        <w:b/>
        <w:i w:val="0"/>
      </w:rPr>
    </w:lvl>
  </w:abstractNum>
  <w:abstractNum w:abstractNumId="441">
    <w:nsid w:val="4BD72A49"/>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442">
    <w:nsid w:val="4BE12B99"/>
    <w:multiLevelType w:val="singleLevel"/>
    <w:tmpl w:val="118A400E"/>
    <w:lvl w:ilvl="0">
      <w:numFmt w:val="bullet"/>
      <w:lvlText w:val="-"/>
      <w:lvlJc w:val="left"/>
      <w:pPr>
        <w:tabs>
          <w:tab w:val="num" w:pos="4755"/>
        </w:tabs>
        <w:ind w:left="4755" w:hanging="360"/>
      </w:pPr>
      <w:rPr>
        <w:b/>
        <w:i w:val="0"/>
      </w:rPr>
    </w:lvl>
  </w:abstractNum>
  <w:abstractNum w:abstractNumId="443">
    <w:nsid w:val="4BF6560E"/>
    <w:multiLevelType w:val="singleLevel"/>
    <w:tmpl w:val="31363978"/>
    <w:lvl w:ilvl="0">
      <w:start w:val="68"/>
      <w:numFmt w:val="decimal"/>
      <w:lvlText w:val="%1."/>
      <w:lvlJc w:val="left"/>
      <w:pPr>
        <w:tabs>
          <w:tab w:val="num" w:pos="705"/>
        </w:tabs>
        <w:ind w:left="705" w:hanging="705"/>
      </w:pPr>
      <w:rPr>
        <w:rFonts w:hint="default"/>
      </w:rPr>
    </w:lvl>
  </w:abstractNum>
  <w:abstractNum w:abstractNumId="444">
    <w:nsid w:val="4C046FC2"/>
    <w:multiLevelType w:val="singleLevel"/>
    <w:tmpl w:val="EED03B2C"/>
    <w:lvl w:ilvl="0">
      <w:start w:val="1"/>
      <w:numFmt w:val="bullet"/>
      <w:lvlText w:val=""/>
      <w:lvlJc w:val="left"/>
      <w:pPr>
        <w:tabs>
          <w:tab w:val="num" w:pos="1512"/>
        </w:tabs>
        <w:ind w:left="1435" w:hanging="283"/>
      </w:pPr>
      <w:rPr>
        <w:rFonts w:ascii="Symbol" w:hAnsi="Symbol" w:hint="default"/>
        <w:sz w:val="20"/>
      </w:rPr>
    </w:lvl>
  </w:abstractNum>
  <w:abstractNum w:abstractNumId="445">
    <w:nsid w:val="4C0931E8"/>
    <w:multiLevelType w:val="singleLevel"/>
    <w:tmpl w:val="007CD24A"/>
    <w:lvl w:ilvl="0">
      <w:start w:val="1"/>
      <w:numFmt w:val="bullet"/>
      <w:lvlText w:val=""/>
      <w:lvlJc w:val="left"/>
      <w:pPr>
        <w:tabs>
          <w:tab w:val="num" w:pos="360"/>
        </w:tabs>
        <w:ind w:left="283" w:hanging="283"/>
      </w:pPr>
      <w:rPr>
        <w:rFonts w:ascii="Symbol" w:hAnsi="Symbol" w:hint="default"/>
        <w:sz w:val="24"/>
      </w:rPr>
    </w:lvl>
  </w:abstractNum>
  <w:abstractNum w:abstractNumId="446">
    <w:nsid w:val="4C29188F"/>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447">
    <w:nsid w:val="4C8136CF"/>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48">
    <w:nsid w:val="4C8B45B4"/>
    <w:multiLevelType w:val="multilevel"/>
    <w:tmpl w:val="9D9A8D40"/>
    <w:lvl w:ilvl="0">
      <w:start w:val="7"/>
      <w:numFmt w:val="decimal"/>
      <w:lvlText w:val="%1"/>
      <w:lvlJc w:val="left"/>
      <w:pPr>
        <w:tabs>
          <w:tab w:val="num" w:pos="465"/>
        </w:tabs>
        <w:ind w:left="465" w:hanging="465"/>
      </w:pPr>
      <w:rPr>
        <w:rFonts w:hint="default"/>
      </w:rPr>
    </w:lvl>
    <w:lvl w:ilvl="1">
      <w:start w:val="4"/>
      <w:numFmt w:val="decimal"/>
      <w:lvlText w:val="%1.%2"/>
      <w:lvlJc w:val="left"/>
      <w:pPr>
        <w:tabs>
          <w:tab w:val="num" w:pos="1719"/>
        </w:tabs>
        <w:ind w:left="1719" w:hanging="465"/>
      </w:pPr>
      <w:rPr>
        <w:rFonts w:hint="default"/>
      </w:rPr>
    </w:lvl>
    <w:lvl w:ilvl="2">
      <w:start w:val="1"/>
      <w:numFmt w:val="decimal"/>
      <w:lvlText w:val="%1.%2.%3"/>
      <w:lvlJc w:val="left"/>
      <w:pPr>
        <w:tabs>
          <w:tab w:val="num" w:pos="3228"/>
        </w:tabs>
        <w:ind w:left="3228" w:hanging="720"/>
      </w:pPr>
      <w:rPr>
        <w:rFonts w:hint="default"/>
      </w:rPr>
    </w:lvl>
    <w:lvl w:ilvl="3">
      <w:start w:val="1"/>
      <w:numFmt w:val="decimal"/>
      <w:lvlText w:val="%1.%2.%3.%4"/>
      <w:lvlJc w:val="left"/>
      <w:pPr>
        <w:tabs>
          <w:tab w:val="num" w:pos="4842"/>
        </w:tabs>
        <w:ind w:left="4842" w:hanging="1080"/>
      </w:pPr>
      <w:rPr>
        <w:rFonts w:hint="default"/>
      </w:rPr>
    </w:lvl>
    <w:lvl w:ilvl="4">
      <w:start w:val="1"/>
      <w:numFmt w:val="decimal"/>
      <w:lvlText w:val="%1.%2.%3.%4.%5"/>
      <w:lvlJc w:val="left"/>
      <w:pPr>
        <w:tabs>
          <w:tab w:val="num" w:pos="6096"/>
        </w:tabs>
        <w:ind w:left="6096" w:hanging="1080"/>
      </w:pPr>
      <w:rPr>
        <w:rFonts w:hint="default"/>
      </w:rPr>
    </w:lvl>
    <w:lvl w:ilvl="5">
      <w:start w:val="1"/>
      <w:numFmt w:val="decimal"/>
      <w:lvlText w:val="%1.%2.%3.%4.%5.%6"/>
      <w:lvlJc w:val="left"/>
      <w:pPr>
        <w:tabs>
          <w:tab w:val="num" w:pos="7710"/>
        </w:tabs>
        <w:ind w:left="7710" w:hanging="1440"/>
      </w:pPr>
      <w:rPr>
        <w:rFonts w:hint="default"/>
      </w:rPr>
    </w:lvl>
    <w:lvl w:ilvl="6">
      <w:start w:val="1"/>
      <w:numFmt w:val="decimal"/>
      <w:lvlText w:val="%1.%2.%3.%4.%5.%6.%7"/>
      <w:lvlJc w:val="left"/>
      <w:pPr>
        <w:tabs>
          <w:tab w:val="num" w:pos="8964"/>
        </w:tabs>
        <w:ind w:left="8964" w:hanging="1440"/>
      </w:pPr>
      <w:rPr>
        <w:rFonts w:hint="default"/>
      </w:rPr>
    </w:lvl>
    <w:lvl w:ilvl="7">
      <w:start w:val="1"/>
      <w:numFmt w:val="decimal"/>
      <w:lvlText w:val="%1.%2.%3.%4.%5.%6.%7.%8"/>
      <w:lvlJc w:val="left"/>
      <w:pPr>
        <w:tabs>
          <w:tab w:val="num" w:pos="10578"/>
        </w:tabs>
        <w:ind w:left="10578" w:hanging="1800"/>
      </w:pPr>
      <w:rPr>
        <w:rFonts w:hint="default"/>
      </w:rPr>
    </w:lvl>
    <w:lvl w:ilvl="8">
      <w:start w:val="1"/>
      <w:numFmt w:val="decimal"/>
      <w:lvlText w:val="%1.%2.%3.%4.%5.%6.%7.%8.%9"/>
      <w:lvlJc w:val="left"/>
      <w:pPr>
        <w:tabs>
          <w:tab w:val="num" w:pos="11832"/>
        </w:tabs>
        <w:ind w:left="11832" w:hanging="1800"/>
      </w:pPr>
      <w:rPr>
        <w:rFonts w:hint="default"/>
      </w:rPr>
    </w:lvl>
  </w:abstractNum>
  <w:abstractNum w:abstractNumId="449">
    <w:nsid w:val="4CDD6DFD"/>
    <w:multiLevelType w:val="singleLevel"/>
    <w:tmpl w:val="B1185318"/>
    <w:lvl w:ilvl="0">
      <w:numFmt w:val="bullet"/>
      <w:lvlText w:val=""/>
      <w:lvlJc w:val="left"/>
      <w:pPr>
        <w:tabs>
          <w:tab w:val="num" w:pos="2544"/>
        </w:tabs>
        <w:ind w:left="2544" w:hanging="360"/>
      </w:pPr>
      <w:rPr>
        <w:rFonts w:ascii="Wingdings" w:hAnsi="Wingdings" w:hint="default"/>
      </w:rPr>
    </w:lvl>
  </w:abstractNum>
  <w:abstractNum w:abstractNumId="450">
    <w:nsid w:val="4D2601A2"/>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51">
    <w:nsid w:val="4D3D5866"/>
    <w:multiLevelType w:val="multilevel"/>
    <w:tmpl w:val="F5D2FE0E"/>
    <w:lvl w:ilvl="0">
      <w:start w:val="10"/>
      <w:numFmt w:val="decimal"/>
      <w:lvlText w:val="%1."/>
      <w:lvlJc w:val="left"/>
      <w:pPr>
        <w:tabs>
          <w:tab w:val="num" w:pos="540"/>
        </w:tabs>
        <w:ind w:left="540" w:hanging="540"/>
      </w:pPr>
      <w:rPr>
        <w:rFonts w:hint="default"/>
      </w:rPr>
    </w:lvl>
    <w:lvl w:ilvl="1">
      <w:start w:val="5"/>
      <w:numFmt w:val="decimal"/>
      <w:lvlText w:val="%1.%2."/>
      <w:lvlJc w:val="left"/>
      <w:pPr>
        <w:tabs>
          <w:tab w:val="num" w:pos="1074"/>
        </w:tabs>
        <w:ind w:left="1074" w:hanging="720"/>
      </w:pPr>
      <w:rPr>
        <w:rFonts w:hint="default"/>
      </w:rPr>
    </w:lvl>
    <w:lvl w:ilvl="2">
      <w:start w:val="1"/>
      <w:numFmt w:val="decimal"/>
      <w:lvlText w:val="%1.%2.%3."/>
      <w:lvlJc w:val="left"/>
      <w:pPr>
        <w:tabs>
          <w:tab w:val="num" w:pos="1428"/>
        </w:tabs>
        <w:ind w:left="1428" w:hanging="72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452">
    <w:nsid w:val="4D8D4D6E"/>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53">
    <w:nsid w:val="4DA2085A"/>
    <w:multiLevelType w:val="singleLevel"/>
    <w:tmpl w:val="1BB65688"/>
    <w:lvl w:ilvl="0">
      <w:start w:val="1"/>
      <w:numFmt w:val="lowerLetter"/>
      <w:lvlText w:val="%1)"/>
      <w:lvlJc w:val="left"/>
      <w:pPr>
        <w:tabs>
          <w:tab w:val="num" w:pos="1137"/>
        </w:tabs>
        <w:ind w:left="1137" w:hanging="570"/>
      </w:pPr>
      <w:rPr>
        <w:rFonts w:hint="default"/>
      </w:rPr>
    </w:lvl>
  </w:abstractNum>
  <w:abstractNum w:abstractNumId="454">
    <w:nsid w:val="4E055BE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55">
    <w:nsid w:val="4E3210E1"/>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456">
    <w:nsid w:val="4E5D1270"/>
    <w:multiLevelType w:val="singleLevel"/>
    <w:tmpl w:val="14AEA4E0"/>
    <w:lvl w:ilvl="0">
      <w:start w:val="1"/>
      <w:numFmt w:val="bullet"/>
      <w:lvlText w:val=""/>
      <w:lvlJc w:val="left"/>
      <w:pPr>
        <w:tabs>
          <w:tab w:val="num" w:pos="1512"/>
        </w:tabs>
        <w:ind w:left="1435" w:hanging="283"/>
      </w:pPr>
      <w:rPr>
        <w:rFonts w:ascii="Symbol" w:hAnsi="Symbol" w:hint="default"/>
        <w:sz w:val="28"/>
      </w:rPr>
    </w:lvl>
  </w:abstractNum>
  <w:abstractNum w:abstractNumId="457">
    <w:nsid w:val="4E887C59"/>
    <w:multiLevelType w:val="singleLevel"/>
    <w:tmpl w:val="461E46FA"/>
    <w:lvl w:ilvl="0">
      <w:start w:val="1"/>
      <w:numFmt w:val="lowerLetter"/>
      <w:lvlText w:val="%1"/>
      <w:legacy w:legacy="1" w:legacySpace="0" w:legacyIndent="1778"/>
      <w:lvlJc w:val="left"/>
      <w:pPr>
        <w:ind w:left="3196" w:hanging="1778"/>
      </w:pPr>
      <w:rPr>
        <w:b/>
      </w:rPr>
    </w:lvl>
  </w:abstractNum>
  <w:abstractNum w:abstractNumId="458">
    <w:nsid w:val="4EC23801"/>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59">
    <w:nsid w:val="4EC52026"/>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460">
    <w:nsid w:val="4EFA2598"/>
    <w:multiLevelType w:val="singleLevel"/>
    <w:tmpl w:val="0409000F"/>
    <w:lvl w:ilvl="0">
      <w:start w:val="1"/>
      <w:numFmt w:val="decimal"/>
      <w:lvlText w:val="%1."/>
      <w:lvlJc w:val="left"/>
      <w:pPr>
        <w:tabs>
          <w:tab w:val="num" w:pos="360"/>
        </w:tabs>
        <w:ind w:left="360" w:hanging="360"/>
      </w:pPr>
    </w:lvl>
  </w:abstractNum>
  <w:abstractNum w:abstractNumId="461">
    <w:nsid w:val="4F0B2146"/>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62">
    <w:nsid w:val="4F1E676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63">
    <w:nsid w:val="4F23388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64">
    <w:nsid w:val="4F5F3C71"/>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65">
    <w:nsid w:val="4F693EF9"/>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66">
    <w:nsid w:val="4F6E7AE3"/>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467">
    <w:nsid w:val="4F763572"/>
    <w:multiLevelType w:val="singleLevel"/>
    <w:tmpl w:val="0416000F"/>
    <w:lvl w:ilvl="0">
      <w:start w:val="1"/>
      <w:numFmt w:val="decimal"/>
      <w:lvlText w:val="%1."/>
      <w:lvlJc w:val="left"/>
      <w:pPr>
        <w:tabs>
          <w:tab w:val="num" w:pos="360"/>
        </w:tabs>
        <w:ind w:left="360" w:hanging="360"/>
      </w:pPr>
      <w:rPr>
        <w:rFonts w:hint="default"/>
        <w:u w:val="none"/>
      </w:rPr>
    </w:lvl>
  </w:abstractNum>
  <w:abstractNum w:abstractNumId="468">
    <w:nsid w:val="4F8E46D5"/>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469">
    <w:nsid w:val="4FA5372D"/>
    <w:multiLevelType w:val="singleLevel"/>
    <w:tmpl w:val="13D8C12C"/>
    <w:lvl w:ilvl="0">
      <w:start w:val="1"/>
      <w:numFmt w:val="decimal"/>
      <w:lvlText w:val="%1)"/>
      <w:lvlJc w:val="left"/>
      <w:pPr>
        <w:tabs>
          <w:tab w:val="num" w:pos="1770"/>
        </w:tabs>
        <w:ind w:left="1770" w:hanging="360"/>
      </w:pPr>
      <w:rPr>
        <w:rFonts w:hint="default"/>
      </w:rPr>
    </w:lvl>
  </w:abstractNum>
  <w:abstractNum w:abstractNumId="470">
    <w:nsid w:val="4FB51E01"/>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471">
    <w:nsid w:val="4FC85EBE"/>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72">
    <w:nsid w:val="4FDF619B"/>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473">
    <w:nsid w:val="4FE01312"/>
    <w:multiLevelType w:val="singleLevel"/>
    <w:tmpl w:val="04160017"/>
    <w:lvl w:ilvl="0">
      <w:start w:val="1"/>
      <w:numFmt w:val="lowerLetter"/>
      <w:lvlText w:val="%1)"/>
      <w:lvlJc w:val="left"/>
      <w:pPr>
        <w:tabs>
          <w:tab w:val="num" w:pos="360"/>
        </w:tabs>
        <w:ind w:left="360" w:hanging="360"/>
      </w:pPr>
    </w:lvl>
  </w:abstractNum>
  <w:abstractNum w:abstractNumId="474">
    <w:nsid w:val="501330D8"/>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475">
    <w:nsid w:val="5028440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76">
    <w:nsid w:val="503963D9"/>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77">
    <w:nsid w:val="509E0F73"/>
    <w:multiLevelType w:val="multilevel"/>
    <w:tmpl w:val="D26ACF28"/>
    <w:lvl w:ilvl="0">
      <w:start w:val="1"/>
      <w:numFmt w:val="decimal"/>
      <w:lvlText w:val="%1."/>
      <w:lvlJc w:val="left"/>
      <w:pPr>
        <w:tabs>
          <w:tab w:val="num" w:pos="360"/>
        </w:tabs>
        <w:ind w:left="360" w:hanging="360"/>
      </w:pPr>
      <w:rPr>
        <w:rFonts w:ascii="Times New Roman" w:hAnsi="Times New Roman" w:hint="default"/>
        <w:b w:val="0"/>
        <w:i w:val="0"/>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478">
    <w:nsid w:val="50A91DD1"/>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479">
    <w:nsid w:val="511F4784"/>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480">
    <w:nsid w:val="51305E96"/>
    <w:multiLevelType w:val="singleLevel"/>
    <w:tmpl w:val="118A400E"/>
    <w:lvl w:ilvl="0">
      <w:numFmt w:val="bullet"/>
      <w:lvlText w:val="-"/>
      <w:lvlJc w:val="left"/>
      <w:pPr>
        <w:tabs>
          <w:tab w:val="num" w:pos="4755"/>
        </w:tabs>
        <w:ind w:left="4755" w:hanging="360"/>
      </w:pPr>
      <w:rPr>
        <w:b/>
        <w:i w:val="0"/>
      </w:rPr>
    </w:lvl>
  </w:abstractNum>
  <w:abstractNum w:abstractNumId="481">
    <w:nsid w:val="5130749C"/>
    <w:multiLevelType w:val="singleLevel"/>
    <w:tmpl w:val="04160017"/>
    <w:lvl w:ilvl="0">
      <w:start w:val="1"/>
      <w:numFmt w:val="lowerLetter"/>
      <w:lvlText w:val="%1)"/>
      <w:lvlJc w:val="left"/>
      <w:pPr>
        <w:tabs>
          <w:tab w:val="num" w:pos="360"/>
        </w:tabs>
        <w:ind w:left="360" w:hanging="360"/>
      </w:pPr>
    </w:lvl>
  </w:abstractNum>
  <w:abstractNum w:abstractNumId="482">
    <w:nsid w:val="51434140"/>
    <w:multiLevelType w:val="singleLevel"/>
    <w:tmpl w:val="118A400E"/>
    <w:lvl w:ilvl="0">
      <w:numFmt w:val="bullet"/>
      <w:lvlText w:val="-"/>
      <w:lvlJc w:val="left"/>
      <w:pPr>
        <w:tabs>
          <w:tab w:val="num" w:pos="4755"/>
        </w:tabs>
        <w:ind w:left="4755" w:hanging="360"/>
      </w:pPr>
      <w:rPr>
        <w:b/>
        <w:i w:val="0"/>
      </w:rPr>
    </w:lvl>
  </w:abstractNum>
  <w:abstractNum w:abstractNumId="483">
    <w:nsid w:val="5146236D"/>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484">
    <w:nsid w:val="517E0AC6"/>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485">
    <w:nsid w:val="51F33069"/>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486">
    <w:nsid w:val="5218346A"/>
    <w:multiLevelType w:val="singleLevel"/>
    <w:tmpl w:val="0D46A5C4"/>
    <w:lvl w:ilvl="0">
      <w:start w:val="9"/>
      <w:numFmt w:val="decimal"/>
      <w:lvlText w:val="%1. "/>
      <w:legacy w:legacy="1" w:legacySpace="0" w:legacyIndent="283"/>
      <w:lvlJc w:val="left"/>
      <w:pPr>
        <w:ind w:left="1701" w:hanging="283"/>
      </w:pPr>
      <w:rPr>
        <w:rFonts w:ascii="Arial" w:hAnsi="Arial" w:hint="default"/>
        <w:b/>
        <w:i w:val="0"/>
        <w:sz w:val="24"/>
      </w:rPr>
    </w:lvl>
  </w:abstractNum>
  <w:abstractNum w:abstractNumId="487">
    <w:nsid w:val="522B7B48"/>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88">
    <w:nsid w:val="52512D05"/>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489">
    <w:nsid w:val="52C80C7C"/>
    <w:multiLevelType w:val="singleLevel"/>
    <w:tmpl w:val="118A400E"/>
    <w:lvl w:ilvl="0">
      <w:numFmt w:val="bullet"/>
      <w:lvlText w:val="-"/>
      <w:lvlJc w:val="left"/>
      <w:pPr>
        <w:tabs>
          <w:tab w:val="num" w:pos="4755"/>
        </w:tabs>
        <w:ind w:left="4755" w:hanging="360"/>
      </w:pPr>
      <w:rPr>
        <w:b/>
        <w:i w:val="0"/>
      </w:rPr>
    </w:lvl>
  </w:abstractNum>
  <w:abstractNum w:abstractNumId="490">
    <w:nsid w:val="5319403D"/>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91">
    <w:nsid w:val="53330B06"/>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92">
    <w:nsid w:val="536E7D1E"/>
    <w:multiLevelType w:val="singleLevel"/>
    <w:tmpl w:val="20DABA8E"/>
    <w:lvl w:ilvl="0">
      <w:start w:val="1"/>
      <w:numFmt w:val="bullet"/>
      <w:lvlText w:val=""/>
      <w:lvlJc w:val="left"/>
      <w:pPr>
        <w:tabs>
          <w:tab w:val="num" w:pos="360"/>
        </w:tabs>
        <w:ind w:left="360" w:hanging="360"/>
      </w:pPr>
      <w:rPr>
        <w:rFonts w:ascii="Symbol" w:hAnsi="Symbol" w:hint="default"/>
        <w:sz w:val="24"/>
      </w:rPr>
    </w:lvl>
  </w:abstractNum>
  <w:abstractNum w:abstractNumId="493">
    <w:nsid w:val="53762032"/>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494">
    <w:nsid w:val="53C867A5"/>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495">
    <w:nsid w:val="53CB6776"/>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496">
    <w:nsid w:val="53DB383E"/>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97">
    <w:nsid w:val="540E5599"/>
    <w:multiLevelType w:val="singleLevel"/>
    <w:tmpl w:val="118A400E"/>
    <w:lvl w:ilvl="0">
      <w:numFmt w:val="bullet"/>
      <w:lvlText w:val="-"/>
      <w:lvlJc w:val="left"/>
      <w:pPr>
        <w:tabs>
          <w:tab w:val="num" w:pos="4755"/>
        </w:tabs>
        <w:ind w:left="4755" w:hanging="360"/>
      </w:pPr>
      <w:rPr>
        <w:b/>
        <w:i w:val="0"/>
      </w:rPr>
    </w:lvl>
  </w:abstractNum>
  <w:abstractNum w:abstractNumId="498">
    <w:nsid w:val="543C4648"/>
    <w:multiLevelType w:val="singleLevel"/>
    <w:tmpl w:val="04160011"/>
    <w:lvl w:ilvl="0">
      <w:start w:val="1"/>
      <w:numFmt w:val="decimal"/>
      <w:lvlText w:val="%1)"/>
      <w:lvlJc w:val="left"/>
      <w:pPr>
        <w:tabs>
          <w:tab w:val="num" w:pos="360"/>
        </w:tabs>
        <w:ind w:left="360" w:hanging="360"/>
      </w:pPr>
      <w:rPr>
        <w:rFonts w:hint="default"/>
      </w:rPr>
    </w:lvl>
  </w:abstractNum>
  <w:abstractNum w:abstractNumId="499">
    <w:nsid w:val="549B7706"/>
    <w:multiLevelType w:val="singleLevel"/>
    <w:tmpl w:val="CDDE6586"/>
    <w:lvl w:ilvl="0">
      <w:start w:val="1"/>
      <w:numFmt w:val="lowerLetter"/>
      <w:lvlText w:val="%1)"/>
      <w:lvlJc w:val="left"/>
      <w:pPr>
        <w:tabs>
          <w:tab w:val="num" w:pos="1778"/>
        </w:tabs>
        <w:ind w:left="1778" w:hanging="360"/>
      </w:pPr>
      <w:rPr>
        <w:rFonts w:hint="default"/>
      </w:rPr>
    </w:lvl>
  </w:abstractNum>
  <w:abstractNum w:abstractNumId="500">
    <w:nsid w:val="549E0371"/>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01">
    <w:nsid w:val="54AE5053"/>
    <w:multiLevelType w:val="singleLevel"/>
    <w:tmpl w:val="899CB0A0"/>
    <w:lvl w:ilvl="0">
      <w:start w:val="1"/>
      <w:numFmt w:val="lowerLetter"/>
      <w:lvlText w:val="%1)"/>
      <w:lvlJc w:val="left"/>
      <w:pPr>
        <w:tabs>
          <w:tab w:val="num" w:pos="1137"/>
        </w:tabs>
        <w:ind w:left="1137" w:hanging="570"/>
      </w:pPr>
      <w:rPr>
        <w:rFonts w:hint="default"/>
      </w:rPr>
    </w:lvl>
  </w:abstractNum>
  <w:abstractNum w:abstractNumId="502">
    <w:nsid w:val="54EF2BDD"/>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503">
    <w:nsid w:val="54FA478A"/>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504">
    <w:nsid w:val="54FC189A"/>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505">
    <w:nsid w:val="553D5507"/>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06">
    <w:nsid w:val="55696E29"/>
    <w:multiLevelType w:val="singleLevel"/>
    <w:tmpl w:val="007CD24A"/>
    <w:lvl w:ilvl="0">
      <w:start w:val="1"/>
      <w:numFmt w:val="bullet"/>
      <w:lvlText w:val=""/>
      <w:lvlJc w:val="left"/>
      <w:pPr>
        <w:tabs>
          <w:tab w:val="num" w:pos="360"/>
        </w:tabs>
        <w:ind w:left="283" w:hanging="283"/>
      </w:pPr>
      <w:rPr>
        <w:rFonts w:ascii="Symbol" w:hAnsi="Symbol" w:hint="default"/>
        <w:sz w:val="24"/>
      </w:rPr>
    </w:lvl>
  </w:abstractNum>
  <w:abstractNum w:abstractNumId="507">
    <w:nsid w:val="556A1AE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08">
    <w:nsid w:val="556A784A"/>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509">
    <w:nsid w:val="55990891"/>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10">
    <w:nsid w:val="55A60671"/>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511">
    <w:nsid w:val="55D8071F"/>
    <w:multiLevelType w:val="singleLevel"/>
    <w:tmpl w:val="5524D622"/>
    <w:lvl w:ilvl="0">
      <w:start w:val="1"/>
      <w:numFmt w:val="bullet"/>
      <w:lvlText w:val=""/>
      <w:lvlJc w:val="left"/>
      <w:pPr>
        <w:tabs>
          <w:tab w:val="num" w:pos="1512"/>
        </w:tabs>
        <w:ind w:left="1435" w:hanging="283"/>
      </w:pPr>
      <w:rPr>
        <w:rFonts w:ascii="Symbol" w:hAnsi="Symbol" w:hint="default"/>
        <w:sz w:val="28"/>
      </w:rPr>
    </w:lvl>
  </w:abstractNum>
  <w:abstractNum w:abstractNumId="512">
    <w:nsid w:val="55E45BAB"/>
    <w:multiLevelType w:val="singleLevel"/>
    <w:tmpl w:val="04160001"/>
    <w:lvl w:ilvl="0">
      <w:start w:val="5"/>
      <w:numFmt w:val="bullet"/>
      <w:lvlText w:val=""/>
      <w:lvlJc w:val="left"/>
      <w:pPr>
        <w:tabs>
          <w:tab w:val="num" w:pos="360"/>
        </w:tabs>
        <w:ind w:left="360" w:hanging="360"/>
      </w:pPr>
      <w:rPr>
        <w:rFonts w:ascii="Symbol" w:hAnsi="Symbol" w:hint="default"/>
      </w:rPr>
    </w:lvl>
  </w:abstractNum>
  <w:abstractNum w:abstractNumId="513">
    <w:nsid w:val="55FB5892"/>
    <w:multiLevelType w:val="singleLevel"/>
    <w:tmpl w:val="16BC7322"/>
    <w:lvl w:ilvl="0">
      <w:start w:val="1"/>
      <w:numFmt w:val="bullet"/>
      <w:lvlText w:val="-"/>
      <w:lvlJc w:val="left"/>
      <w:pPr>
        <w:tabs>
          <w:tab w:val="num" w:pos="360"/>
        </w:tabs>
        <w:ind w:left="360" w:hanging="360"/>
      </w:pPr>
      <w:rPr>
        <w:rFonts w:hint="default"/>
        <w:sz w:val="26"/>
      </w:rPr>
    </w:lvl>
  </w:abstractNum>
  <w:abstractNum w:abstractNumId="514">
    <w:nsid w:val="560535C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515">
    <w:nsid w:val="565418E4"/>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516">
    <w:nsid w:val="565F4109"/>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517">
    <w:nsid w:val="56E00C1E"/>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518">
    <w:nsid w:val="57105A5C"/>
    <w:multiLevelType w:val="singleLevel"/>
    <w:tmpl w:val="118A400E"/>
    <w:lvl w:ilvl="0">
      <w:numFmt w:val="bullet"/>
      <w:lvlText w:val="-"/>
      <w:lvlJc w:val="left"/>
      <w:pPr>
        <w:tabs>
          <w:tab w:val="num" w:pos="4755"/>
        </w:tabs>
        <w:ind w:left="4755" w:hanging="360"/>
      </w:pPr>
      <w:rPr>
        <w:b/>
        <w:i w:val="0"/>
      </w:rPr>
    </w:lvl>
  </w:abstractNum>
  <w:abstractNum w:abstractNumId="519">
    <w:nsid w:val="57326358"/>
    <w:multiLevelType w:val="singleLevel"/>
    <w:tmpl w:val="118A400E"/>
    <w:lvl w:ilvl="0">
      <w:numFmt w:val="bullet"/>
      <w:lvlText w:val="-"/>
      <w:lvlJc w:val="left"/>
      <w:pPr>
        <w:tabs>
          <w:tab w:val="num" w:pos="4755"/>
        </w:tabs>
        <w:ind w:left="4755" w:hanging="360"/>
      </w:pPr>
      <w:rPr>
        <w:b/>
        <w:i w:val="0"/>
      </w:rPr>
    </w:lvl>
  </w:abstractNum>
  <w:abstractNum w:abstractNumId="520">
    <w:nsid w:val="573C5654"/>
    <w:multiLevelType w:val="multilevel"/>
    <w:tmpl w:val="07C09DEC"/>
    <w:lvl w:ilvl="0">
      <w:start w:val="1"/>
      <w:numFmt w:val="decimal"/>
      <w:lvlText w:val="%1."/>
      <w:lvlJc w:val="left"/>
      <w:pPr>
        <w:tabs>
          <w:tab w:val="num" w:pos="360"/>
        </w:tabs>
        <w:ind w:left="3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521">
    <w:nsid w:val="5748392C"/>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522">
    <w:nsid w:val="578C5575"/>
    <w:multiLevelType w:val="singleLevel"/>
    <w:tmpl w:val="6D98D4DA"/>
    <w:lvl w:ilvl="0">
      <w:start w:val="1"/>
      <w:numFmt w:val="lowerLetter"/>
      <w:lvlText w:val="(%1)"/>
      <w:lvlJc w:val="left"/>
      <w:pPr>
        <w:tabs>
          <w:tab w:val="num" w:pos="360"/>
        </w:tabs>
        <w:ind w:left="360" w:hanging="360"/>
      </w:pPr>
      <w:rPr>
        <w:rFonts w:hint="default"/>
        <w:u w:val="single"/>
      </w:rPr>
    </w:lvl>
  </w:abstractNum>
  <w:abstractNum w:abstractNumId="523">
    <w:nsid w:val="579D674A"/>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24">
    <w:nsid w:val="57AB137E"/>
    <w:multiLevelType w:val="singleLevel"/>
    <w:tmpl w:val="118A400E"/>
    <w:lvl w:ilvl="0">
      <w:numFmt w:val="bullet"/>
      <w:lvlText w:val="-"/>
      <w:lvlJc w:val="left"/>
      <w:pPr>
        <w:tabs>
          <w:tab w:val="num" w:pos="4755"/>
        </w:tabs>
        <w:ind w:left="4755" w:hanging="360"/>
      </w:pPr>
      <w:rPr>
        <w:b/>
        <w:i w:val="0"/>
      </w:rPr>
    </w:lvl>
  </w:abstractNum>
  <w:abstractNum w:abstractNumId="525">
    <w:nsid w:val="586B578F"/>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26">
    <w:nsid w:val="5890472F"/>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527">
    <w:nsid w:val="58AC0C79"/>
    <w:multiLevelType w:val="singleLevel"/>
    <w:tmpl w:val="206EA83E"/>
    <w:lvl w:ilvl="0">
      <w:start w:val="4"/>
      <w:numFmt w:val="bullet"/>
      <w:lvlText w:val="-"/>
      <w:lvlJc w:val="left"/>
      <w:pPr>
        <w:tabs>
          <w:tab w:val="num" w:pos="360"/>
        </w:tabs>
        <w:ind w:left="360" w:hanging="360"/>
      </w:pPr>
      <w:rPr>
        <w:rFonts w:ascii="Times New Roman" w:hAnsi="Times New Roman" w:hint="default"/>
      </w:rPr>
    </w:lvl>
  </w:abstractNum>
  <w:abstractNum w:abstractNumId="528">
    <w:nsid w:val="59584707"/>
    <w:multiLevelType w:val="singleLevel"/>
    <w:tmpl w:val="118A400E"/>
    <w:lvl w:ilvl="0">
      <w:numFmt w:val="bullet"/>
      <w:lvlText w:val="-"/>
      <w:lvlJc w:val="left"/>
      <w:pPr>
        <w:tabs>
          <w:tab w:val="num" w:pos="4755"/>
        </w:tabs>
        <w:ind w:left="4755" w:hanging="360"/>
      </w:pPr>
      <w:rPr>
        <w:b/>
        <w:i w:val="0"/>
      </w:rPr>
    </w:lvl>
  </w:abstractNum>
  <w:abstractNum w:abstractNumId="529">
    <w:nsid w:val="597055EB"/>
    <w:multiLevelType w:val="singleLevel"/>
    <w:tmpl w:val="AF26CB8C"/>
    <w:lvl w:ilvl="0">
      <w:start w:val="1"/>
      <w:numFmt w:val="lowerLetter"/>
      <w:lvlText w:val="(%1)"/>
      <w:lvlJc w:val="left"/>
      <w:pPr>
        <w:tabs>
          <w:tab w:val="num" w:pos="1440"/>
        </w:tabs>
        <w:ind w:left="1440" w:hanging="375"/>
      </w:pPr>
      <w:rPr>
        <w:rFonts w:hint="default"/>
      </w:rPr>
    </w:lvl>
  </w:abstractNum>
  <w:abstractNum w:abstractNumId="530">
    <w:nsid w:val="59EC6E25"/>
    <w:multiLevelType w:val="singleLevel"/>
    <w:tmpl w:val="9A621348"/>
    <w:lvl w:ilvl="0">
      <w:start w:val="1"/>
      <w:numFmt w:val="decimal"/>
      <w:lvlText w:val="%1."/>
      <w:lvlJc w:val="left"/>
      <w:pPr>
        <w:tabs>
          <w:tab w:val="num" w:pos="2203"/>
        </w:tabs>
        <w:ind w:left="2203" w:hanging="360"/>
      </w:pPr>
      <w:rPr>
        <w:rFonts w:hint="default"/>
        <w:b/>
      </w:rPr>
    </w:lvl>
  </w:abstractNum>
  <w:abstractNum w:abstractNumId="531">
    <w:nsid w:val="5A716526"/>
    <w:multiLevelType w:val="singleLevel"/>
    <w:tmpl w:val="118A400E"/>
    <w:lvl w:ilvl="0">
      <w:numFmt w:val="bullet"/>
      <w:lvlText w:val="-"/>
      <w:lvlJc w:val="left"/>
      <w:pPr>
        <w:tabs>
          <w:tab w:val="num" w:pos="4755"/>
        </w:tabs>
        <w:ind w:left="4755" w:hanging="360"/>
      </w:pPr>
      <w:rPr>
        <w:b/>
        <w:i w:val="0"/>
      </w:rPr>
    </w:lvl>
  </w:abstractNum>
  <w:abstractNum w:abstractNumId="532">
    <w:nsid w:val="5A873C0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33">
    <w:nsid w:val="5AB406CD"/>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534">
    <w:nsid w:val="5AE43150"/>
    <w:multiLevelType w:val="singleLevel"/>
    <w:tmpl w:val="5524D622"/>
    <w:lvl w:ilvl="0">
      <w:start w:val="1"/>
      <w:numFmt w:val="bullet"/>
      <w:lvlText w:val=""/>
      <w:lvlJc w:val="left"/>
      <w:pPr>
        <w:tabs>
          <w:tab w:val="num" w:pos="1512"/>
        </w:tabs>
        <w:ind w:left="1435" w:hanging="283"/>
      </w:pPr>
      <w:rPr>
        <w:rFonts w:ascii="Symbol" w:hAnsi="Symbol" w:hint="default"/>
        <w:sz w:val="28"/>
      </w:rPr>
    </w:lvl>
  </w:abstractNum>
  <w:abstractNum w:abstractNumId="53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36">
    <w:nsid w:val="5B865CF3"/>
    <w:multiLevelType w:val="singleLevel"/>
    <w:tmpl w:val="118A400E"/>
    <w:lvl w:ilvl="0">
      <w:numFmt w:val="bullet"/>
      <w:lvlText w:val="-"/>
      <w:lvlJc w:val="left"/>
      <w:pPr>
        <w:tabs>
          <w:tab w:val="num" w:pos="4755"/>
        </w:tabs>
        <w:ind w:left="4755" w:hanging="360"/>
      </w:pPr>
      <w:rPr>
        <w:b/>
        <w:i w:val="0"/>
      </w:rPr>
    </w:lvl>
  </w:abstractNum>
  <w:abstractNum w:abstractNumId="537">
    <w:nsid w:val="5B88332E"/>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538">
    <w:nsid w:val="5BD4260A"/>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539">
    <w:nsid w:val="5C5D141C"/>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40">
    <w:nsid w:val="5C98730C"/>
    <w:multiLevelType w:val="singleLevel"/>
    <w:tmpl w:val="DCC86694"/>
    <w:lvl w:ilvl="0">
      <w:start w:val="6"/>
      <w:numFmt w:val="lowerLetter"/>
      <w:lvlText w:val="%1"/>
      <w:legacy w:legacy="1" w:legacySpace="0" w:legacyIndent="1065"/>
      <w:lvlJc w:val="left"/>
      <w:pPr>
        <w:ind w:left="1770" w:hanging="1065"/>
      </w:pPr>
      <w:rPr>
        <w:b/>
      </w:rPr>
    </w:lvl>
  </w:abstractNum>
  <w:abstractNum w:abstractNumId="541">
    <w:nsid w:val="5C9B7058"/>
    <w:multiLevelType w:val="singleLevel"/>
    <w:tmpl w:val="50B0C6CA"/>
    <w:lvl w:ilvl="0">
      <w:start w:val="3"/>
      <w:numFmt w:val="lowerRoman"/>
      <w:lvlText w:val="%1)"/>
      <w:lvlJc w:val="left"/>
      <w:pPr>
        <w:tabs>
          <w:tab w:val="num" w:pos="1080"/>
        </w:tabs>
        <w:ind w:left="1080" w:hanging="720"/>
      </w:pPr>
      <w:rPr>
        <w:rFonts w:hint="default"/>
      </w:rPr>
    </w:lvl>
  </w:abstractNum>
  <w:abstractNum w:abstractNumId="542">
    <w:nsid w:val="5CA90900"/>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543">
    <w:nsid w:val="5CB85868"/>
    <w:multiLevelType w:val="singleLevel"/>
    <w:tmpl w:val="87E876DE"/>
    <w:lvl w:ilvl="0">
      <w:start w:val="1"/>
      <w:numFmt w:val="bullet"/>
      <w:lvlText w:val=""/>
      <w:lvlJc w:val="left"/>
      <w:pPr>
        <w:tabs>
          <w:tab w:val="num" w:pos="1778"/>
        </w:tabs>
        <w:ind w:left="1701" w:hanging="283"/>
      </w:pPr>
      <w:rPr>
        <w:rFonts w:ascii="Symbol" w:hAnsi="Symbol" w:hint="default"/>
        <w:sz w:val="16"/>
      </w:rPr>
    </w:lvl>
  </w:abstractNum>
  <w:abstractNum w:abstractNumId="544">
    <w:nsid w:val="5D206A63"/>
    <w:multiLevelType w:val="singleLevel"/>
    <w:tmpl w:val="3F4EE7BC"/>
    <w:lvl w:ilvl="0">
      <w:numFmt w:val="bullet"/>
      <w:lvlText w:val=""/>
      <w:lvlJc w:val="left"/>
      <w:pPr>
        <w:tabs>
          <w:tab w:val="num" w:pos="2484"/>
        </w:tabs>
        <w:ind w:left="2484" w:hanging="360"/>
      </w:pPr>
      <w:rPr>
        <w:rFonts w:ascii="Wingdings" w:hAnsi="Wingdings" w:hint="default"/>
      </w:rPr>
    </w:lvl>
  </w:abstractNum>
  <w:abstractNum w:abstractNumId="545">
    <w:nsid w:val="5D612CD7"/>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46">
    <w:nsid w:val="5D635FA5"/>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47">
    <w:nsid w:val="5D95656D"/>
    <w:multiLevelType w:val="singleLevel"/>
    <w:tmpl w:val="CC8A6F38"/>
    <w:lvl w:ilvl="0">
      <w:start w:val="1"/>
      <w:numFmt w:val="decimal"/>
      <w:lvlText w:val="%1"/>
      <w:legacy w:legacy="1" w:legacySpace="0" w:legacyIndent="360"/>
      <w:lvlJc w:val="left"/>
      <w:pPr>
        <w:ind w:left="2138" w:hanging="360"/>
      </w:pPr>
      <w:rPr>
        <w:b/>
        <w:i w:val="0"/>
      </w:rPr>
    </w:lvl>
  </w:abstractNum>
  <w:abstractNum w:abstractNumId="548">
    <w:nsid w:val="5DA72087"/>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49">
    <w:nsid w:val="5E01040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50">
    <w:nsid w:val="5E3A18D4"/>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51">
    <w:nsid w:val="5E5A6357"/>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52">
    <w:nsid w:val="5E70315F"/>
    <w:multiLevelType w:val="singleLevel"/>
    <w:tmpl w:val="A5CE7F1A"/>
    <w:lvl w:ilvl="0">
      <w:numFmt w:val="bullet"/>
      <w:lvlText w:val="-"/>
      <w:lvlJc w:val="left"/>
      <w:pPr>
        <w:tabs>
          <w:tab w:val="num" w:pos="360"/>
        </w:tabs>
        <w:ind w:left="360" w:hanging="360"/>
      </w:pPr>
      <w:rPr>
        <w:rFonts w:hint="default"/>
      </w:rPr>
    </w:lvl>
  </w:abstractNum>
  <w:abstractNum w:abstractNumId="553">
    <w:nsid w:val="5EC45A9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54">
    <w:nsid w:val="5EDB4ACE"/>
    <w:multiLevelType w:val="singleLevel"/>
    <w:tmpl w:val="04160001"/>
    <w:lvl w:ilvl="0">
      <w:start w:val="3"/>
      <w:numFmt w:val="bullet"/>
      <w:lvlText w:val=""/>
      <w:lvlJc w:val="left"/>
      <w:pPr>
        <w:tabs>
          <w:tab w:val="num" w:pos="360"/>
        </w:tabs>
        <w:ind w:left="360" w:hanging="360"/>
      </w:pPr>
      <w:rPr>
        <w:rFonts w:ascii="Symbol" w:hAnsi="Symbol" w:hint="default"/>
      </w:rPr>
    </w:lvl>
  </w:abstractNum>
  <w:abstractNum w:abstractNumId="555">
    <w:nsid w:val="5F187804"/>
    <w:multiLevelType w:val="singleLevel"/>
    <w:tmpl w:val="D494C3F2"/>
    <w:lvl w:ilvl="0">
      <w:numFmt w:val="bullet"/>
      <w:lvlText w:val="-"/>
      <w:lvlJc w:val="left"/>
      <w:pPr>
        <w:tabs>
          <w:tab w:val="num" w:pos="4755"/>
        </w:tabs>
        <w:ind w:left="4755" w:hanging="360"/>
      </w:pPr>
      <w:rPr>
        <w:b/>
        <w:i w:val="0"/>
      </w:rPr>
    </w:lvl>
  </w:abstractNum>
  <w:abstractNum w:abstractNumId="556">
    <w:nsid w:val="5F297582"/>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57">
    <w:nsid w:val="5F3A0FF3"/>
    <w:multiLevelType w:val="singleLevel"/>
    <w:tmpl w:val="118A400E"/>
    <w:lvl w:ilvl="0">
      <w:numFmt w:val="bullet"/>
      <w:lvlText w:val="-"/>
      <w:lvlJc w:val="left"/>
      <w:pPr>
        <w:tabs>
          <w:tab w:val="num" w:pos="4755"/>
        </w:tabs>
        <w:ind w:left="4755" w:hanging="360"/>
      </w:pPr>
      <w:rPr>
        <w:b/>
        <w:i w:val="0"/>
      </w:rPr>
    </w:lvl>
  </w:abstractNum>
  <w:abstractNum w:abstractNumId="558">
    <w:nsid w:val="5F6A4102"/>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59">
    <w:nsid w:val="5F9A5DBA"/>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560">
    <w:nsid w:val="5FEE7E16"/>
    <w:multiLevelType w:val="singleLevel"/>
    <w:tmpl w:val="DB06FCB6"/>
    <w:lvl w:ilvl="0">
      <w:start w:val="5"/>
      <w:numFmt w:val="upperLetter"/>
      <w:lvlText w:val="%1)"/>
      <w:lvlJc w:val="left"/>
      <w:pPr>
        <w:tabs>
          <w:tab w:val="num" w:pos="1066"/>
        </w:tabs>
        <w:ind w:left="1066" w:hanging="360"/>
      </w:pPr>
      <w:rPr>
        <w:rFonts w:hint="default"/>
      </w:rPr>
    </w:lvl>
  </w:abstractNum>
  <w:abstractNum w:abstractNumId="561">
    <w:nsid w:val="601433C0"/>
    <w:multiLevelType w:val="singleLevel"/>
    <w:tmpl w:val="11FEA9E2"/>
    <w:lvl w:ilvl="0">
      <w:start w:val="1"/>
      <w:numFmt w:val="bullet"/>
      <w:lvlText w:val=""/>
      <w:lvlJc w:val="left"/>
      <w:pPr>
        <w:tabs>
          <w:tab w:val="num" w:pos="1512"/>
        </w:tabs>
        <w:ind w:left="1435" w:hanging="283"/>
      </w:pPr>
      <w:rPr>
        <w:rFonts w:ascii="Symbol" w:hAnsi="Symbol" w:hint="default"/>
        <w:sz w:val="28"/>
      </w:rPr>
    </w:lvl>
  </w:abstractNum>
  <w:abstractNum w:abstractNumId="562">
    <w:nsid w:val="60474A34"/>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63">
    <w:nsid w:val="60601745"/>
    <w:multiLevelType w:val="singleLevel"/>
    <w:tmpl w:val="04160017"/>
    <w:lvl w:ilvl="0">
      <w:start w:val="1"/>
      <w:numFmt w:val="lowerLetter"/>
      <w:lvlText w:val="%1)"/>
      <w:lvlJc w:val="left"/>
      <w:pPr>
        <w:tabs>
          <w:tab w:val="num" w:pos="360"/>
        </w:tabs>
        <w:ind w:left="360" w:hanging="360"/>
      </w:pPr>
    </w:lvl>
  </w:abstractNum>
  <w:abstractNum w:abstractNumId="564">
    <w:nsid w:val="60670D8C"/>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565">
    <w:nsid w:val="60A7229A"/>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566">
    <w:nsid w:val="60D87BAD"/>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567">
    <w:nsid w:val="60DF18CE"/>
    <w:multiLevelType w:val="singleLevel"/>
    <w:tmpl w:val="92C04920"/>
    <w:lvl w:ilvl="0">
      <w:start w:val="1"/>
      <w:numFmt w:val="lowerLetter"/>
      <w:lvlText w:val="%1)"/>
      <w:lvlJc w:val="left"/>
      <w:pPr>
        <w:tabs>
          <w:tab w:val="num" w:pos="1778"/>
        </w:tabs>
        <w:ind w:left="1778" w:hanging="360"/>
      </w:pPr>
      <w:rPr>
        <w:rFonts w:hint="default"/>
      </w:rPr>
    </w:lvl>
  </w:abstractNum>
  <w:abstractNum w:abstractNumId="568">
    <w:nsid w:val="60E338A9"/>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569">
    <w:nsid w:val="611B2616"/>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70">
    <w:nsid w:val="6142668C"/>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571">
    <w:nsid w:val="621F09E9"/>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572">
    <w:nsid w:val="622316B9"/>
    <w:multiLevelType w:val="singleLevel"/>
    <w:tmpl w:val="118A400E"/>
    <w:lvl w:ilvl="0">
      <w:numFmt w:val="bullet"/>
      <w:lvlText w:val="-"/>
      <w:lvlJc w:val="left"/>
      <w:pPr>
        <w:tabs>
          <w:tab w:val="num" w:pos="4755"/>
        </w:tabs>
        <w:ind w:left="4755" w:hanging="360"/>
      </w:pPr>
      <w:rPr>
        <w:b/>
        <w:i w:val="0"/>
      </w:rPr>
    </w:lvl>
  </w:abstractNum>
  <w:abstractNum w:abstractNumId="573">
    <w:nsid w:val="6228544F"/>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574">
    <w:nsid w:val="62366CE5"/>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75">
    <w:nsid w:val="62385ADE"/>
    <w:multiLevelType w:val="singleLevel"/>
    <w:tmpl w:val="04160017"/>
    <w:lvl w:ilvl="0">
      <w:start w:val="1"/>
      <w:numFmt w:val="lowerLetter"/>
      <w:lvlText w:val="%1)"/>
      <w:lvlJc w:val="left"/>
      <w:pPr>
        <w:tabs>
          <w:tab w:val="num" w:pos="360"/>
        </w:tabs>
        <w:ind w:left="360" w:hanging="360"/>
      </w:pPr>
    </w:lvl>
  </w:abstractNum>
  <w:abstractNum w:abstractNumId="576">
    <w:nsid w:val="624E0F6F"/>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77">
    <w:nsid w:val="6292559A"/>
    <w:multiLevelType w:val="singleLevel"/>
    <w:tmpl w:val="8ADA3354"/>
    <w:lvl w:ilvl="0">
      <w:start w:val="1"/>
      <w:numFmt w:val="decimal"/>
      <w:lvlText w:val="%1."/>
      <w:lvlJc w:val="left"/>
      <w:pPr>
        <w:tabs>
          <w:tab w:val="num" w:pos="1778"/>
        </w:tabs>
        <w:ind w:left="1778" w:hanging="360"/>
      </w:pPr>
      <w:rPr>
        <w:rFonts w:hint="default"/>
      </w:rPr>
    </w:lvl>
  </w:abstractNum>
  <w:abstractNum w:abstractNumId="578">
    <w:nsid w:val="62B15FE3"/>
    <w:multiLevelType w:val="singleLevel"/>
    <w:tmpl w:val="C10A5638"/>
    <w:lvl w:ilvl="0">
      <w:start w:val="1"/>
      <w:numFmt w:val="lowerLetter"/>
      <w:lvlText w:val="%1)"/>
      <w:lvlJc w:val="left"/>
      <w:pPr>
        <w:tabs>
          <w:tab w:val="num" w:pos="1770"/>
        </w:tabs>
        <w:ind w:left="1770" w:hanging="360"/>
      </w:pPr>
      <w:rPr>
        <w:rFonts w:hint="default"/>
      </w:rPr>
    </w:lvl>
  </w:abstractNum>
  <w:abstractNum w:abstractNumId="579">
    <w:nsid w:val="62D30EC4"/>
    <w:multiLevelType w:val="singleLevel"/>
    <w:tmpl w:val="118A400E"/>
    <w:lvl w:ilvl="0">
      <w:numFmt w:val="bullet"/>
      <w:lvlText w:val="-"/>
      <w:lvlJc w:val="left"/>
      <w:pPr>
        <w:tabs>
          <w:tab w:val="num" w:pos="4755"/>
        </w:tabs>
        <w:ind w:left="4755" w:hanging="360"/>
      </w:pPr>
      <w:rPr>
        <w:b/>
        <w:i w:val="0"/>
      </w:rPr>
    </w:lvl>
  </w:abstractNum>
  <w:abstractNum w:abstractNumId="580">
    <w:nsid w:val="62EF42CB"/>
    <w:multiLevelType w:val="singleLevel"/>
    <w:tmpl w:val="04160017"/>
    <w:lvl w:ilvl="0">
      <w:start w:val="1"/>
      <w:numFmt w:val="lowerLetter"/>
      <w:lvlText w:val="%1)"/>
      <w:lvlJc w:val="left"/>
      <w:pPr>
        <w:tabs>
          <w:tab w:val="num" w:pos="360"/>
        </w:tabs>
        <w:ind w:left="360" w:hanging="360"/>
      </w:pPr>
    </w:lvl>
  </w:abstractNum>
  <w:abstractNum w:abstractNumId="581">
    <w:nsid w:val="62F22F07"/>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582">
    <w:nsid w:val="631B3FE4"/>
    <w:multiLevelType w:val="singleLevel"/>
    <w:tmpl w:val="04160017"/>
    <w:lvl w:ilvl="0">
      <w:start w:val="1"/>
      <w:numFmt w:val="lowerLetter"/>
      <w:lvlText w:val="%1)"/>
      <w:lvlJc w:val="left"/>
      <w:pPr>
        <w:tabs>
          <w:tab w:val="num" w:pos="360"/>
        </w:tabs>
        <w:ind w:left="360" w:hanging="360"/>
      </w:pPr>
    </w:lvl>
  </w:abstractNum>
  <w:abstractNum w:abstractNumId="583">
    <w:nsid w:val="63563735"/>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584">
    <w:nsid w:val="639B6E20"/>
    <w:multiLevelType w:val="singleLevel"/>
    <w:tmpl w:val="4ABA51C8"/>
    <w:lvl w:ilvl="0">
      <w:start w:val="1"/>
      <w:numFmt w:val="decimal"/>
      <w:lvlText w:val="%1. "/>
      <w:legacy w:legacy="1" w:legacySpace="0" w:legacyIndent="283"/>
      <w:lvlJc w:val="left"/>
      <w:pPr>
        <w:ind w:left="1701" w:hanging="283"/>
      </w:pPr>
      <w:rPr>
        <w:rFonts w:ascii="Arial" w:hAnsi="Arial" w:hint="default"/>
        <w:b/>
        <w:i w:val="0"/>
        <w:sz w:val="24"/>
        <w:u w:val="none"/>
      </w:rPr>
    </w:lvl>
  </w:abstractNum>
  <w:abstractNum w:abstractNumId="585">
    <w:nsid w:val="63A45433"/>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86">
    <w:nsid w:val="63CF4C26"/>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587">
    <w:nsid w:val="64125AFC"/>
    <w:multiLevelType w:val="singleLevel"/>
    <w:tmpl w:val="8CEE1406"/>
    <w:lvl w:ilvl="0">
      <w:start w:val="5"/>
      <w:numFmt w:val="bullet"/>
      <w:lvlText w:val=""/>
      <w:lvlJc w:val="left"/>
      <w:pPr>
        <w:tabs>
          <w:tab w:val="num" w:pos="2520"/>
        </w:tabs>
        <w:ind w:left="2520" w:hanging="360"/>
      </w:pPr>
      <w:rPr>
        <w:rFonts w:ascii="Wingdings" w:hAnsi="Wingdings" w:hint="default"/>
      </w:rPr>
    </w:lvl>
  </w:abstractNum>
  <w:abstractNum w:abstractNumId="588">
    <w:nsid w:val="64916A92"/>
    <w:multiLevelType w:val="singleLevel"/>
    <w:tmpl w:val="230A90D2"/>
    <w:lvl w:ilvl="0">
      <w:start w:val="1"/>
      <w:numFmt w:val="lowerLetter"/>
      <w:lvlText w:val="%1)"/>
      <w:legacy w:legacy="1" w:legacySpace="0" w:legacyIndent="283"/>
      <w:lvlJc w:val="left"/>
    </w:lvl>
  </w:abstractNum>
  <w:abstractNum w:abstractNumId="589">
    <w:nsid w:val="64974459"/>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90">
    <w:nsid w:val="64D57BE0"/>
    <w:multiLevelType w:val="singleLevel"/>
    <w:tmpl w:val="9D42941E"/>
    <w:lvl w:ilvl="0">
      <w:start w:val="1"/>
      <w:numFmt w:val="bullet"/>
      <w:lvlText w:val=""/>
      <w:lvlJc w:val="left"/>
      <w:pPr>
        <w:tabs>
          <w:tab w:val="num" w:pos="1512"/>
        </w:tabs>
        <w:ind w:left="1435" w:hanging="283"/>
      </w:pPr>
      <w:rPr>
        <w:rFonts w:ascii="Symbol" w:hAnsi="Symbol" w:hint="default"/>
        <w:sz w:val="20"/>
      </w:rPr>
    </w:lvl>
  </w:abstractNum>
  <w:abstractNum w:abstractNumId="591">
    <w:nsid w:val="64FC510F"/>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592">
    <w:nsid w:val="65623AA2"/>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593">
    <w:nsid w:val="656C1D29"/>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94">
    <w:nsid w:val="65901999"/>
    <w:multiLevelType w:val="singleLevel"/>
    <w:tmpl w:val="FFFFFFFF"/>
    <w:lvl w:ilvl="0">
      <w:numFmt w:val="decimal"/>
      <w:lvlText w:val="%1"/>
      <w:legacy w:legacy="1" w:legacySpace="0" w:legacyIndent="0"/>
      <w:lvlJc w:val="left"/>
    </w:lvl>
  </w:abstractNum>
  <w:abstractNum w:abstractNumId="595">
    <w:nsid w:val="65A5408F"/>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96">
    <w:nsid w:val="65B76C5B"/>
    <w:multiLevelType w:val="singleLevel"/>
    <w:tmpl w:val="4F90CC48"/>
    <w:lvl w:ilvl="0">
      <w:start w:val="1"/>
      <w:numFmt w:val="lowerLetter"/>
      <w:lvlText w:val="%1)"/>
      <w:lvlJc w:val="left"/>
      <w:pPr>
        <w:tabs>
          <w:tab w:val="num" w:pos="1494"/>
        </w:tabs>
        <w:ind w:left="1494" w:hanging="360"/>
      </w:pPr>
      <w:rPr>
        <w:rFonts w:hint="default"/>
        <w:b/>
      </w:rPr>
    </w:lvl>
  </w:abstractNum>
  <w:abstractNum w:abstractNumId="597">
    <w:nsid w:val="65D15DFE"/>
    <w:multiLevelType w:val="singleLevel"/>
    <w:tmpl w:val="475E6D3C"/>
    <w:lvl w:ilvl="0">
      <w:start w:val="1"/>
      <w:numFmt w:val="decimal"/>
      <w:lvlText w:val="%1."/>
      <w:lvlJc w:val="left"/>
      <w:pPr>
        <w:tabs>
          <w:tab w:val="num" w:pos="360"/>
        </w:tabs>
        <w:ind w:left="360" w:hanging="360"/>
      </w:pPr>
    </w:lvl>
  </w:abstractNum>
  <w:abstractNum w:abstractNumId="598">
    <w:nsid w:val="65E54E1A"/>
    <w:multiLevelType w:val="multilevel"/>
    <w:tmpl w:val="11A68E22"/>
    <w:lvl w:ilvl="0">
      <w:start w:val="7"/>
      <w:numFmt w:val="decimal"/>
      <w:lvlText w:val="%1"/>
      <w:lvlJc w:val="left"/>
      <w:pPr>
        <w:tabs>
          <w:tab w:val="num" w:pos="480"/>
        </w:tabs>
        <w:ind w:left="480" w:hanging="480"/>
      </w:pPr>
      <w:rPr>
        <w:rFonts w:hint="default"/>
      </w:rPr>
    </w:lvl>
    <w:lvl w:ilvl="1">
      <w:start w:val="2"/>
      <w:numFmt w:val="decimal"/>
      <w:lvlText w:val="%1.%2"/>
      <w:lvlJc w:val="left"/>
      <w:pPr>
        <w:tabs>
          <w:tab w:val="num" w:pos="1734"/>
        </w:tabs>
        <w:ind w:left="1734" w:hanging="480"/>
      </w:pPr>
      <w:rPr>
        <w:rFonts w:hint="default"/>
      </w:rPr>
    </w:lvl>
    <w:lvl w:ilvl="2">
      <w:start w:val="1"/>
      <w:numFmt w:val="decimal"/>
      <w:lvlText w:val="%1.%2.%3"/>
      <w:lvlJc w:val="left"/>
      <w:pPr>
        <w:tabs>
          <w:tab w:val="num" w:pos="3228"/>
        </w:tabs>
        <w:ind w:left="3228" w:hanging="720"/>
      </w:pPr>
      <w:rPr>
        <w:rFonts w:hint="default"/>
      </w:rPr>
    </w:lvl>
    <w:lvl w:ilvl="3">
      <w:start w:val="1"/>
      <w:numFmt w:val="decimal"/>
      <w:lvlText w:val="%1.%2.%3.%4"/>
      <w:lvlJc w:val="left"/>
      <w:pPr>
        <w:tabs>
          <w:tab w:val="num" w:pos="4842"/>
        </w:tabs>
        <w:ind w:left="4842" w:hanging="1080"/>
      </w:pPr>
      <w:rPr>
        <w:rFonts w:hint="default"/>
      </w:rPr>
    </w:lvl>
    <w:lvl w:ilvl="4">
      <w:start w:val="1"/>
      <w:numFmt w:val="decimal"/>
      <w:lvlText w:val="%1.%2.%3.%4.%5"/>
      <w:lvlJc w:val="left"/>
      <w:pPr>
        <w:tabs>
          <w:tab w:val="num" w:pos="6096"/>
        </w:tabs>
        <w:ind w:left="6096" w:hanging="1080"/>
      </w:pPr>
      <w:rPr>
        <w:rFonts w:hint="default"/>
      </w:rPr>
    </w:lvl>
    <w:lvl w:ilvl="5">
      <w:start w:val="1"/>
      <w:numFmt w:val="decimal"/>
      <w:lvlText w:val="%1.%2.%3.%4.%5.%6"/>
      <w:lvlJc w:val="left"/>
      <w:pPr>
        <w:tabs>
          <w:tab w:val="num" w:pos="7710"/>
        </w:tabs>
        <w:ind w:left="7710" w:hanging="1440"/>
      </w:pPr>
      <w:rPr>
        <w:rFonts w:hint="default"/>
      </w:rPr>
    </w:lvl>
    <w:lvl w:ilvl="6">
      <w:start w:val="1"/>
      <w:numFmt w:val="decimal"/>
      <w:lvlText w:val="%1.%2.%3.%4.%5.%6.%7"/>
      <w:lvlJc w:val="left"/>
      <w:pPr>
        <w:tabs>
          <w:tab w:val="num" w:pos="8964"/>
        </w:tabs>
        <w:ind w:left="8964" w:hanging="1440"/>
      </w:pPr>
      <w:rPr>
        <w:rFonts w:hint="default"/>
      </w:rPr>
    </w:lvl>
    <w:lvl w:ilvl="7">
      <w:start w:val="1"/>
      <w:numFmt w:val="decimal"/>
      <w:lvlText w:val="%1.%2.%3.%4.%5.%6.%7.%8"/>
      <w:lvlJc w:val="left"/>
      <w:pPr>
        <w:tabs>
          <w:tab w:val="num" w:pos="10578"/>
        </w:tabs>
        <w:ind w:left="10578" w:hanging="1800"/>
      </w:pPr>
      <w:rPr>
        <w:rFonts w:hint="default"/>
      </w:rPr>
    </w:lvl>
    <w:lvl w:ilvl="8">
      <w:start w:val="1"/>
      <w:numFmt w:val="decimal"/>
      <w:lvlText w:val="%1.%2.%3.%4.%5.%6.%7.%8.%9"/>
      <w:lvlJc w:val="left"/>
      <w:pPr>
        <w:tabs>
          <w:tab w:val="num" w:pos="11832"/>
        </w:tabs>
        <w:ind w:left="11832" w:hanging="1800"/>
      </w:pPr>
      <w:rPr>
        <w:rFonts w:hint="default"/>
      </w:rPr>
    </w:lvl>
  </w:abstractNum>
  <w:abstractNum w:abstractNumId="599">
    <w:nsid w:val="666A3C84"/>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600">
    <w:nsid w:val="669D666E"/>
    <w:multiLevelType w:val="singleLevel"/>
    <w:tmpl w:val="04160011"/>
    <w:lvl w:ilvl="0">
      <w:start w:val="7"/>
      <w:numFmt w:val="decimal"/>
      <w:lvlText w:val="%1)"/>
      <w:lvlJc w:val="left"/>
      <w:pPr>
        <w:tabs>
          <w:tab w:val="num" w:pos="360"/>
        </w:tabs>
        <w:ind w:left="360" w:hanging="360"/>
      </w:pPr>
      <w:rPr>
        <w:rFonts w:hint="default"/>
      </w:rPr>
    </w:lvl>
  </w:abstractNum>
  <w:abstractNum w:abstractNumId="601">
    <w:nsid w:val="669E1170"/>
    <w:multiLevelType w:val="multilevel"/>
    <w:tmpl w:val="5A143A8C"/>
    <w:lvl w:ilvl="0">
      <w:start w:val="4"/>
      <w:numFmt w:val="decimal"/>
      <w:lvlText w:val="%1."/>
      <w:lvlJc w:val="left"/>
      <w:pPr>
        <w:tabs>
          <w:tab w:val="num" w:pos="480"/>
        </w:tabs>
        <w:ind w:left="480" w:hanging="48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02">
    <w:nsid w:val="66EC3FCE"/>
    <w:multiLevelType w:val="singleLevel"/>
    <w:tmpl w:val="F702CE2C"/>
    <w:lvl w:ilvl="0">
      <w:start w:val="72"/>
      <w:numFmt w:val="bullet"/>
      <w:lvlText w:val="-"/>
      <w:lvlJc w:val="left"/>
      <w:pPr>
        <w:tabs>
          <w:tab w:val="num" w:pos="360"/>
        </w:tabs>
        <w:ind w:left="360" w:hanging="360"/>
      </w:pPr>
      <w:rPr>
        <w:rFonts w:hint="default"/>
      </w:rPr>
    </w:lvl>
  </w:abstractNum>
  <w:abstractNum w:abstractNumId="603">
    <w:nsid w:val="671138BA"/>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604">
    <w:nsid w:val="6719074D"/>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605">
    <w:nsid w:val="677E29C5"/>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606">
    <w:nsid w:val="67917770"/>
    <w:multiLevelType w:val="singleLevel"/>
    <w:tmpl w:val="118A400E"/>
    <w:lvl w:ilvl="0">
      <w:numFmt w:val="bullet"/>
      <w:lvlText w:val="-"/>
      <w:lvlJc w:val="left"/>
      <w:pPr>
        <w:tabs>
          <w:tab w:val="num" w:pos="4755"/>
        </w:tabs>
        <w:ind w:left="4755" w:hanging="360"/>
      </w:pPr>
      <w:rPr>
        <w:b/>
        <w:i w:val="0"/>
      </w:rPr>
    </w:lvl>
  </w:abstractNum>
  <w:abstractNum w:abstractNumId="607">
    <w:nsid w:val="67C4117A"/>
    <w:multiLevelType w:val="singleLevel"/>
    <w:tmpl w:val="FFFFFFFF"/>
    <w:lvl w:ilvl="0">
      <w:start w:val="1"/>
      <w:numFmt w:val="bullet"/>
      <w:lvlText w:val=""/>
      <w:legacy w:legacy="1" w:legacySpace="0" w:legacyIndent="283"/>
      <w:lvlJc w:val="left"/>
      <w:pPr>
        <w:ind w:left="283" w:hanging="283"/>
      </w:pPr>
      <w:rPr>
        <w:rFonts w:ascii="Wingdings" w:hAnsi="Wingdings" w:hint="default"/>
        <w:sz w:val="22"/>
      </w:rPr>
    </w:lvl>
  </w:abstractNum>
  <w:abstractNum w:abstractNumId="608">
    <w:nsid w:val="67DD5175"/>
    <w:multiLevelType w:val="singleLevel"/>
    <w:tmpl w:val="04160001"/>
    <w:lvl w:ilvl="0">
      <w:start w:val="9"/>
      <w:numFmt w:val="bullet"/>
      <w:lvlText w:val=""/>
      <w:lvlJc w:val="left"/>
      <w:pPr>
        <w:tabs>
          <w:tab w:val="num" w:pos="360"/>
        </w:tabs>
        <w:ind w:left="360" w:hanging="360"/>
      </w:pPr>
      <w:rPr>
        <w:rFonts w:ascii="Symbol" w:hAnsi="Symbol" w:hint="default"/>
      </w:rPr>
    </w:lvl>
  </w:abstractNum>
  <w:abstractNum w:abstractNumId="609">
    <w:nsid w:val="680A0904"/>
    <w:multiLevelType w:val="singleLevel"/>
    <w:tmpl w:val="0C1E5C40"/>
    <w:lvl w:ilvl="0">
      <w:start w:val="1"/>
      <w:numFmt w:val="lowerLetter"/>
      <w:lvlText w:val="%1)"/>
      <w:lvlJc w:val="left"/>
      <w:pPr>
        <w:tabs>
          <w:tab w:val="num" w:pos="76"/>
        </w:tabs>
        <w:ind w:left="76" w:hanging="360"/>
      </w:pPr>
      <w:rPr>
        <w:rFonts w:hint="default"/>
      </w:rPr>
    </w:lvl>
  </w:abstractNum>
  <w:abstractNum w:abstractNumId="610">
    <w:nsid w:val="68CC17E3"/>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611">
    <w:nsid w:val="68F120A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12">
    <w:nsid w:val="68F66311"/>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613">
    <w:nsid w:val="69035EB5"/>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614">
    <w:nsid w:val="6903628D"/>
    <w:multiLevelType w:val="singleLevel"/>
    <w:tmpl w:val="04160017"/>
    <w:lvl w:ilvl="0">
      <w:start w:val="1"/>
      <w:numFmt w:val="lowerLetter"/>
      <w:lvlText w:val="%1)"/>
      <w:lvlJc w:val="left"/>
      <w:pPr>
        <w:tabs>
          <w:tab w:val="num" w:pos="720"/>
        </w:tabs>
        <w:ind w:left="720" w:hanging="360"/>
      </w:pPr>
    </w:lvl>
  </w:abstractNum>
  <w:abstractNum w:abstractNumId="615">
    <w:nsid w:val="69150D97"/>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616">
    <w:nsid w:val="692F717D"/>
    <w:multiLevelType w:val="singleLevel"/>
    <w:tmpl w:val="118A400E"/>
    <w:lvl w:ilvl="0">
      <w:numFmt w:val="bullet"/>
      <w:lvlText w:val="-"/>
      <w:lvlJc w:val="left"/>
      <w:pPr>
        <w:tabs>
          <w:tab w:val="num" w:pos="4755"/>
        </w:tabs>
        <w:ind w:left="4755" w:hanging="360"/>
      </w:pPr>
      <w:rPr>
        <w:b/>
        <w:i w:val="0"/>
      </w:rPr>
    </w:lvl>
  </w:abstractNum>
  <w:abstractNum w:abstractNumId="617">
    <w:nsid w:val="69385CFE"/>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618">
    <w:nsid w:val="69A35AA0"/>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19">
    <w:nsid w:val="69B22B81"/>
    <w:multiLevelType w:val="singleLevel"/>
    <w:tmpl w:val="4300ED36"/>
    <w:lvl w:ilvl="0">
      <w:start w:val="1"/>
      <w:numFmt w:val="lowerRoman"/>
      <w:lvlText w:val="%1)"/>
      <w:lvlJc w:val="left"/>
      <w:pPr>
        <w:tabs>
          <w:tab w:val="num" w:pos="1429"/>
        </w:tabs>
        <w:ind w:left="1429" w:hanging="720"/>
      </w:pPr>
      <w:rPr>
        <w:rFonts w:hint="default"/>
      </w:rPr>
    </w:lvl>
  </w:abstractNum>
  <w:abstractNum w:abstractNumId="620">
    <w:nsid w:val="69B80276"/>
    <w:multiLevelType w:val="singleLevel"/>
    <w:tmpl w:val="2CA40FB4"/>
    <w:lvl w:ilvl="0">
      <w:start w:val="1"/>
      <w:numFmt w:val="lowerLetter"/>
      <w:lvlText w:val="%1)"/>
      <w:lvlJc w:val="left"/>
      <w:pPr>
        <w:tabs>
          <w:tab w:val="num" w:pos="1778"/>
        </w:tabs>
        <w:ind w:left="1778" w:hanging="360"/>
      </w:pPr>
      <w:rPr>
        <w:rFonts w:hint="default"/>
        <w:b/>
      </w:rPr>
    </w:lvl>
  </w:abstractNum>
  <w:abstractNum w:abstractNumId="621">
    <w:nsid w:val="6A365861"/>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622">
    <w:nsid w:val="6A5761B8"/>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623">
    <w:nsid w:val="6A6C6EC5"/>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624">
    <w:nsid w:val="6AC55C9B"/>
    <w:multiLevelType w:val="singleLevel"/>
    <w:tmpl w:val="D4D80AEA"/>
    <w:lvl w:ilvl="0">
      <w:start w:val="1"/>
      <w:numFmt w:val="decimal"/>
      <w:lvlText w:val="%1. "/>
      <w:legacy w:legacy="1" w:legacySpace="0" w:legacyIndent="283"/>
      <w:lvlJc w:val="left"/>
      <w:pPr>
        <w:ind w:left="1701" w:hanging="283"/>
      </w:pPr>
      <w:rPr>
        <w:rFonts w:ascii="Arial" w:hAnsi="Arial" w:hint="default"/>
        <w:b/>
        <w:i w:val="0"/>
        <w:sz w:val="24"/>
      </w:rPr>
    </w:lvl>
  </w:abstractNum>
  <w:abstractNum w:abstractNumId="625">
    <w:nsid w:val="6AC715BE"/>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626">
    <w:nsid w:val="6B100F59"/>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627">
    <w:nsid w:val="6B346774"/>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28">
    <w:nsid w:val="6B4172DC"/>
    <w:multiLevelType w:val="singleLevel"/>
    <w:tmpl w:val="04160011"/>
    <w:lvl w:ilvl="0">
      <w:start w:val="1"/>
      <w:numFmt w:val="decimal"/>
      <w:lvlText w:val="%1)"/>
      <w:lvlJc w:val="left"/>
      <w:pPr>
        <w:tabs>
          <w:tab w:val="num" w:pos="360"/>
        </w:tabs>
        <w:ind w:left="360" w:hanging="360"/>
      </w:pPr>
      <w:rPr>
        <w:rFonts w:hint="default"/>
      </w:rPr>
    </w:lvl>
  </w:abstractNum>
  <w:abstractNum w:abstractNumId="629">
    <w:nsid w:val="6B445850"/>
    <w:multiLevelType w:val="singleLevel"/>
    <w:tmpl w:val="118A400E"/>
    <w:lvl w:ilvl="0">
      <w:numFmt w:val="bullet"/>
      <w:lvlText w:val="-"/>
      <w:lvlJc w:val="left"/>
      <w:pPr>
        <w:tabs>
          <w:tab w:val="num" w:pos="4755"/>
        </w:tabs>
        <w:ind w:left="4755" w:hanging="360"/>
      </w:pPr>
      <w:rPr>
        <w:b/>
        <w:i w:val="0"/>
      </w:rPr>
    </w:lvl>
  </w:abstractNum>
  <w:abstractNum w:abstractNumId="630">
    <w:nsid w:val="6B6971BB"/>
    <w:multiLevelType w:val="singleLevel"/>
    <w:tmpl w:val="D84C7EC6"/>
    <w:lvl w:ilvl="0">
      <w:numFmt w:val="bullet"/>
      <w:lvlText w:val=""/>
      <w:lvlJc w:val="left"/>
      <w:pPr>
        <w:tabs>
          <w:tab w:val="num" w:pos="2544"/>
        </w:tabs>
        <w:ind w:left="2544" w:hanging="360"/>
      </w:pPr>
      <w:rPr>
        <w:rFonts w:ascii="Wingdings" w:hAnsi="Wingdings" w:hint="default"/>
      </w:rPr>
    </w:lvl>
  </w:abstractNum>
  <w:abstractNum w:abstractNumId="631">
    <w:nsid w:val="6BAB56C9"/>
    <w:multiLevelType w:val="hybridMultilevel"/>
    <w:tmpl w:val="3C001640"/>
    <w:lvl w:ilvl="0" w:tplc="FA261F8C">
      <w:start w:val="1"/>
      <w:numFmt w:val="bullet"/>
      <w:lvlText w:val=""/>
      <w:lvlJc w:val="left"/>
      <w:pPr>
        <w:tabs>
          <w:tab w:val="num" w:pos="1088"/>
        </w:tabs>
        <w:ind w:left="1085" w:hanging="357"/>
      </w:pPr>
      <w:rPr>
        <w:rFonts w:ascii="Symbol" w:hAnsi="Symbol" w:hint="default"/>
      </w:rPr>
    </w:lvl>
    <w:lvl w:ilvl="1" w:tplc="04090003" w:tentative="1">
      <w:start w:val="1"/>
      <w:numFmt w:val="bullet"/>
      <w:lvlText w:val="o"/>
      <w:lvlJc w:val="left"/>
      <w:pPr>
        <w:tabs>
          <w:tab w:val="num" w:pos="2168"/>
        </w:tabs>
        <w:ind w:left="2168" w:hanging="360"/>
      </w:pPr>
      <w:rPr>
        <w:rFonts w:ascii="Courier New" w:hAnsi="Courier New" w:hint="default"/>
      </w:rPr>
    </w:lvl>
    <w:lvl w:ilvl="2" w:tplc="04090005" w:tentative="1">
      <w:start w:val="1"/>
      <w:numFmt w:val="bullet"/>
      <w:lvlText w:val=""/>
      <w:lvlJc w:val="left"/>
      <w:pPr>
        <w:tabs>
          <w:tab w:val="num" w:pos="2888"/>
        </w:tabs>
        <w:ind w:left="2888" w:hanging="360"/>
      </w:pPr>
      <w:rPr>
        <w:rFonts w:ascii="Wingdings" w:hAnsi="Wingdings" w:hint="default"/>
      </w:rPr>
    </w:lvl>
    <w:lvl w:ilvl="3" w:tplc="04090001" w:tentative="1">
      <w:start w:val="1"/>
      <w:numFmt w:val="bullet"/>
      <w:lvlText w:val=""/>
      <w:lvlJc w:val="left"/>
      <w:pPr>
        <w:tabs>
          <w:tab w:val="num" w:pos="3608"/>
        </w:tabs>
        <w:ind w:left="3608" w:hanging="360"/>
      </w:pPr>
      <w:rPr>
        <w:rFonts w:ascii="Symbol" w:hAnsi="Symbol" w:hint="default"/>
      </w:rPr>
    </w:lvl>
    <w:lvl w:ilvl="4" w:tplc="04090003" w:tentative="1">
      <w:start w:val="1"/>
      <w:numFmt w:val="bullet"/>
      <w:lvlText w:val="o"/>
      <w:lvlJc w:val="left"/>
      <w:pPr>
        <w:tabs>
          <w:tab w:val="num" w:pos="4328"/>
        </w:tabs>
        <w:ind w:left="4328" w:hanging="360"/>
      </w:pPr>
      <w:rPr>
        <w:rFonts w:ascii="Courier New" w:hAnsi="Courier New" w:hint="default"/>
      </w:rPr>
    </w:lvl>
    <w:lvl w:ilvl="5" w:tplc="04090005" w:tentative="1">
      <w:start w:val="1"/>
      <w:numFmt w:val="bullet"/>
      <w:lvlText w:val=""/>
      <w:lvlJc w:val="left"/>
      <w:pPr>
        <w:tabs>
          <w:tab w:val="num" w:pos="5048"/>
        </w:tabs>
        <w:ind w:left="5048" w:hanging="360"/>
      </w:pPr>
      <w:rPr>
        <w:rFonts w:ascii="Wingdings" w:hAnsi="Wingdings" w:hint="default"/>
      </w:rPr>
    </w:lvl>
    <w:lvl w:ilvl="6" w:tplc="04090001" w:tentative="1">
      <w:start w:val="1"/>
      <w:numFmt w:val="bullet"/>
      <w:lvlText w:val=""/>
      <w:lvlJc w:val="left"/>
      <w:pPr>
        <w:tabs>
          <w:tab w:val="num" w:pos="5768"/>
        </w:tabs>
        <w:ind w:left="5768" w:hanging="360"/>
      </w:pPr>
      <w:rPr>
        <w:rFonts w:ascii="Symbol" w:hAnsi="Symbol" w:hint="default"/>
      </w:rPr>
    </w:lvl>
    <w:lvl w:ilvl="7" w:tplc="04090003" w:tentative="1">
      <w:start w:val="1"/>
      <w:numFmt w:val="bullet"/>
      <w:lvlText w:val="o"/>
      <w:lvlJc w:val="left"/>
      <w:pPr>
        <w:tabs>
          <w:tab w:val="num" w:pos="6488"/>
        </w:tabs>
        <w:ind w:left="6488" w:hanging="360"/>
      </w:pPr>
      <w:rPr>
        <w:rFonts w:ascii="Courier New" w:hAnsi="Courier New" w:hint="default"/>
      </w:rPr>
    </w:lvl>
    <w:lvl w:ilvl="8" w:tplc="04090005" w:tentative="1">
      <w:start w:val="1"/>
      <w:numFmt w:val="bullet"/>
      <w:lvlText w:val=""/>
      <w:lvlJc w:val="left"/>
      <w:pPr>
        <w:tabs>
          <w:tab w:val="num" w:pos="7208"/>
        </w:tabs>
        <w:ind w:left="7208" w:hanging="360"/>
      </w:pPr>
      <w:rPr>
        <w:rFonts w:ascii="Wingdings" w:hAnsi="Wingdings" w:hint="default"/>
      </w:rPr>
    </w:lvl>
  </w:abstractNum>
  <w:abstractNum w:abstractNumId="632">
    <w:nsid w:val="6BB71A75"/>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633">
    <w:nsid w:val="6BC07EF9"/>
    <w:multiLevelType w:val="singleLevel"/>
    <w:tmpl w:val="04160017"/>
    <w:lvl w:ilvl="0">
      <w:start w:val="1"/>
      <w:numFmt w:val="lowerLetter"/>
      <w:lvlText w:val="%1)"/>
      <w:lvlJc w:val="left"/>
      <w:pPr>
        <w:tabs>
          <w:tab w:val="num" w:pos="360"/>
        </w:tabs>
        <w:ind w:left="360" w:hanging="360"/>
      </w:pPr>
    </w:lvl>
  </w:abstractNum>
  <w:abstractNum w:abstractNumId="634">
    <w:nsid w:val="6BC81C66"/>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35">
    <w:nsid w:val="6BE3434B"/>
    <w:multiLevelType w:val="singleLevel"/>
    <w:tmpl w:val="AB82292C"/>
    <w:lvl w:ilvl="0">
      <w:start w:val="1"/>
      <w:numFmt w:val="lowerLetter"/>
      <w:lvlText w:val="%1)"/>
      <w:lvlJc w:val="left"/>
      <w:pPr>
        <w:tabs>
          <w:tab w:val="num" w:pos="1764"/>
        </w:tabs>
        <w:ind w:left="1764" w:hanging="360"/>
      </w:pPr>
      <w:rPr>
        <w:rFonts w:hint="default"/>
      </w:rPr>
    </w:lvl>
  </w:abstractNum>
  <w:abstractNum w:abstractNumId="636">
    <w:nsid w:val="6BF566F7"/>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637">
    <w:nsid w:val="6C3A3531"/>
    <w:multiLevelType w:val="singleLevel"/>
    <w:tmpl w:val="04160011"/>
    <w:lvl w:ilvl="0">
      <w:start w:val="1"/>
      <w:numFmt w:val="decimal"/>
      <w:lvlText w:val="%1)"/>
      <w:lvlJc w:val="left"/>
      <w:pPr>
        <w:tabs>
          <w:tab w:val="num" w:pos="360"/>
        </w:tabs>
        <w:ind w:left="360" w:hanging="360"/>
      </w:pPr>
    </w:lvl>
  </w:abstractNum>
  <w:abstractNum w:abstractNumId="638">
    <w:nsid w:val="6C6F286D"/>
    <w:multiLevelType w:val="multilevel"/>
    <w:tmpl w:val="2C1EE462"/>
    <w:lvl w:ilvl="0">
      <w:start w:val="1"/>
      <w:numFmt w:val="decimal"/>
      <w:lvlText w:val="%1."/>
      <w:lvlJc w:val="left"/>
      <w:pPr>
        <w:tabs>
          <w:tab w:val="num" w:pos="360"/>
        </w:tabs>
        <w:ind w:left="360" w:hanging="360"/>
      </w:pPr>
      <w:rPr>
        <w:rFonts w:ascii="Times New Roman" w:hAnsi="Times New Roman" w:hint="default"/>
        <w:b w:val="0"/>
        <w:i w:val="0"/>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639">
    <w:nsid w:val="6C717DCF"/>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40">
    <w:nsid w:val="6CB104F3"/>
    <w:multiLevelType w:val="singleLevel"/>
    <w:tmpl w:val="FFFFFFFF"/>
    <w:lvl w:ilvl="0">
      <w:numFmt w:val="decimal"/>
      <w:lvlText w:val="%1"/>
      <w:legacy w:legacy="1" w:legacySpace="0" w:legacyIndent="0"/>
      <w:lvlJc w:val="left"/>
    </w:lvl>
  </w:abstractNum>
  <w:abstractNum w:abstractNumId="641">
    <w:nsid w:val="6CE148DD"/>
    <w:multiLevelType w:val="singleLevel"/>
    <w:tmpl w:val="47C6D166"/>
    <w:lvl w:ilvl="0">
      <w:start w:val="1"/>
      <w:numFmt w:val="bullet"/>
      <w:lvlText w:val=""/>
      <w:lvlJc w:val="left"/>
      <w:pPr>
        <w:tabs>
          <w:tab w:val="num" w:pos="1512"/>
        </w:tabs>
        <w:ind w:left="1435" w:hanging="283"/>
      </w:pPr>
      <w:rPr>
        <w:rFonts w:ascii="Symbol" w:hAnsi="Symbol" w:hint="default"/>
        <w:sz w:val="28"/>
      </w:rPr>
    </w:lvl>
  </w:abstractNum>
  <w:abstractNum w:abstractNumId="642">
    <w:nsid w:val="6D0776AC"/>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643">
    <w:nsid w:val="6D146EAD"/>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644">
    <w:nsid w:val="6D8013BA"/>
    <w:multiLevelType w:val="singleLevel"/>
    <w:tmpl w:val="118A400E"/>
    <w:lvl w:ilvl="0">
      <w:numFmt w:val="bullet"/>
      <w:lvlText w:val="-"/>
      <w:lvlJc w:val="left"/>
      <w:pPr>
        <w:tabs>
          <w:tab w:val="num" w:pos="4755"/>
        </w:tabs>
        <w:ind w:left="4755" w:hanging="360"/>
      </w:pPr>
      <w:rPr>
        <w:b/>
        <w:i w:val="0"/>
      </w:rPr>
    </w:lvl>
  </w:abstractNum>
  <w:abstractNum w:abstractNumId="645">
    <w:nsid w:val="6DB93226"/>
    <w:multiLevelType w:val="singleLevel"/>
    <w:tmpl w:val="151E81FA"/>
    <w:lvl w:ilvl="0">
      <w:start w:val="1"/>
      <w:numFmt w:val="upperLetter"/>
      <w:lvlText w:val="%1)"/>
      <w:lvlJc w:val="left"/>
      <w:pPr>
        <w:tabs>
          <w:tab w:val="num" w:pos="1066"/>
        </w:tabs>
        <w:ind w:left="1066" w:hanging="360"/>
      </w:pPr>
      <w:rPr>
        <w:rFonts w:hint="default"/>
      </w:rPr>
    </w:lvl>
  </w:abstractNum>
  <w:abstractNum w:abstractNumId="646">
    <w:nsid w:val="6DF0706C"/>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47">
    <w:nsid w:val="6E19756D"/>
    <w:multiLevelType w:val="singleLevel"/>
    <w:tmpl w:val="118A400E"/>
    <w:lvl w:ilvl="0">
      <w:numFmt w:val="bullet"/>
      <w:lvlText w:val="-"/>
      <w:lvlJc w:val="left"/>
      <w:pPr>
        <w:tabs>
          <w:tab w:val="num" w:pos="4755"/>
        </w:tabs>
        <w:ind w:left="4755" w:hanging="360"/>
      </w:pPr>
      <w:rPr>
        <w:b/>
        <w:i w:val="0"/>
      </w:rPr>
    </w:lvl>
  </w:abstractNum>
  <w:abstractNum w:abstractNumId="648">
    <w:nsid w:val="6E201C91"/>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49">
    <w:nsid w:val="6E26720C"/>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50">
    <w:nsid w:val="6E73116F"/>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651">
    <w:nsid w:val="6E7C64DF"/>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652">
    <w:nsid w:val="6EAB5542"/>
    <w:multiLevelType w:val="singleLevel"/>
    <w:tmpl w:val="2F2E7072"/>
    <w:lvl w:ilvl="0">
      <w:start w:val="1"/>
      <w:numFmt w:val="lowerRoman"/>
      <w:lvlText w:val="(%1)"/>
      <w:lvlJc w:val="left"/>
      <w:pPr>
        <w:tabs>
          <w:tab w:val="num" w:pos="1428"/>
        </w:tabs>
        <w:ind w:left="1428" w:hanging="720"/>
      </w:pPr>
      <w:rPr>
        <w:rFonts w:hint="default"/>
      </w:rPr>
    </w:lvl>
  </w:abstractNum>
  <w:abstractNum w:abstractNumId="653">
    <w:nsid w:val="6ECF4690"/>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54">
    <w:nsid w:val="6EF1724F"/>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655">
    <w:nsid w:val="6F170BAC"/>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656">
    <w:nsid w:val="6F27050B"/>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657">
    <w:nsid w:val="6F3B7B88"/>
    <w:multiLevelType w:val="singleLevel"/>
    <w:tmpl w:val="B30E9322"/>
    <w:lvl w:ilvl="0">
      <w:start w:val="1"/>
      <w:numFmt w:val="bullet"/>
      <w:lvlText w:val="-"/>
      <w:lvlJc w:val="left"/>
      <w:pPr>
        <w:tabs>
          <w:tab w:val="num" w:pos="1066"/>
        </w:tabs>
        <w:ind w:left="1066" w:hanging="360"/>
      </w:pPr>
      <w:rPr>
        <w:rFonts w:ascii="Times New Roman" w:hAnsi="Times New Roman" w:hint="default"/>
      </w:rPr>
    </w:lvl>
  </w:abstractNum>
  <w:abstractNum w:abstractNumId="658">
    <w:nsid w:val="6F3C18CD"/>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659">
    <w:nsid w:val="6F974874"/>
    <w:multiLevelType w:val="singleLevel"/>
    <w:tmpl w:val="67A0EEAA"/>
    <w:lvl w:ilvl="0">
      <w:start w:val="1"/>
      <w:numFmt w:val="lowerLetter"/>
      <w:lvlText w:val="%1) "/>
      <w:lvlJc w:val="left"/>
      <w:pPr>
        <w:tabs>
          <w:tab w:val="num" w:pos="1069"/>
        </w:tabs>
        <w:ind w:left="992" w:hanging="283"/>
      </w:pPr>
      <w:rPr>
        <w:rFonts w:ascii="Arial" w:hAnsi="Arial" w:hint="default"/>
        <w:b/>
        <w:i w:val="0"/>
        <w:sz w:val="24"/>
        <w:u w:val="none"/>
      </w:rPr>
    </w:lvl>
  </w:abstractNum>
  <w:abstractNum w:abstractNumId="660">
    <w:nsid w:val="6FD45E3F"/>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661">
    <w:nsid w:val="6FD76A44"/>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662">
    <w:nsid w:val="6FDE654B"/>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663">
    <w:nsid w:val="6FE44AE3"/>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64">
    <w:nsid w:val="70136B4C"/>
    <w:multiLevelType w:val="singleLevel"/>
    <w:tmpl w:val="1228E19C"/>
    <w:lvl w:ilvl="0">
      <w:start w:val="1"/>
      <w:numFmt w:val="lowerLetter"/>
      <w:lvlText w:val="%1)"/>
      <w:lvlJc w:val="left"/>
      <w:pPr>
        <w:tabs>
          <w:tab w:val="num" w:pos="1137"/>
        </w:tabs>
        <w:ind w:left="1137" w:hanging="570"/>
      </w:pPr>
      <w:rPr>
        <w:rFonts w:hint="default"/>
      </w:rPr>
    </w:lvl>
  </w:abstractNum>
  <w:abstractNum w:abstractNumId="665">
    <w:nsid w:val="70437900"/>
    <w:multiLevelType w:val="singleLevel"/>
    <w:tmpl w:val="F9DC0EA2"/>
    <w:lvl w:ilvl="0">
      <w:start w:val="1"/>
      <w:numFmt w:val="bullet"/>
      <w:lvlText w:val=""/>
      <w:lvlJc w:val="left"/>
      <w:pPr>
        <w:tabs>
          <w:tab w:val="num" w:pos="1778"/>
        </w:tabs>
        <w:ind w:left="1701" w:hanging="283"/>
      </w:pPr>
      <w:rPr>
        <w:rFonts w:ascii="Symbol" w:hAnsi="Symbol" w:hint="default"/>
        <w:sz w:val="16"/>
      </w:rPr>
    </w:lvl>
  </w:abstractNum>
  <w:abstractNum w:abstractNumId="666">
    <w:nsid w:val="707F0903"/>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667">
    <w:nsid w:val="708A2515"/>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668">
    <w:nsid w:val="70BB76AF"/>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669">
    <w:nsid w:val="70E715BC"/>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670">
    <w:nsid w:val="71550E8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71">
    <w:nsid w:val="71674D16"/>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672">
    <w:nsid w:val="716A4112"/>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73">
    <w:nsid w:val="71900351"/>
    <w:multiLevelType w:val="singleLevel"/>
    <w:tmpl w:val="67407D16"/>
    <w:lvl w:ilvl="0">
      <w:start w:val="1"/>
      <w:numFmt w:val="decimal"/>
      <w:lvlText w:val="%1."/>
      <w:lvlJc w:val="left"/>
      <w:pPr>
        <w:tabs>
          <w:tab w:val="num" w:pos="360"/>
        </w:tabs>
        <w:ind w:left="360" w:hanging="360"/>
      </w:pPr>
      <w:rPr>
        <w:rFonts w:ascii="Times New Roman" w:hAnsi="Times New Roman" w:hint="default"/>
        <w:b w:val="0"/>
        <w:i w:val="0"/>
      </w:rPr>
    </w:lvl>
  </w:abstractNum>
  <w:abstractNum w:abstractNumId="674">
    <w:nsid w:val="7217269D"/>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675">
    <w:nsid w:val="7228397A"/>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676">
    <w:nsid w:val="72671CC2"/>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677">
    <w:nsid w:val="72BC72DC"/>
    <w:multiLevelType w:val="singleLevel"/>
    <w:tmpl w:val="04160017"/>
    <w:lvl w:ilvl="0">
      <w:start w:val="1"/>
      <w:numFmt w:val="lowerLetter"/>
      <w:lvlText w:val="%1)"/>
      <w:lvlJc w:val="left"/>
      <w:pPr>
        <w:tabs>
          <w:tab w:val="num" w:pos="360"/>
        </w:tabs>
        <w:ind w:left="360" w:hanging="360"/>
      </w:pPr>
      <w:rPr>
        <w:rFonts w:hint="default"/>
      </w:rPr>
    </w:lvl>
  </w:abstractNum>
  <w:abstractNum w:abstractNumId="678">
    <w:nsid w:val="72F26C51"/>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79">
    <w:nsid w:val="73610E94"/>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80">
    <w:nsid w:val="738B7F6F"/>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81">
    <w:nsid w:val="7391576C"/>
    <w:multiLevelType w:val="singleLevel"/>
    <w:tmpl w:val="FFFFFFFF"/>
    <w:lvl w:ilvl="0">
      <w:numFmt w:val="decimal"/>
      <w:lvlText w:val="%1"/>
      <w:legacy w:legacy="1" w:legacySpace="0" w:legacyIndent="0"/>
      <w:lvlJc w:val="left"/>
    </w:lvl>
  </w:abstractNum>
  <w:abstractNum w:abstractNumId="682">
    <w:nsid w:val="73960414"/>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683">
    <w:nsid w:val="73C23C27"/>
    <w:multiLevelType w:val="singleLevel"/>
    <w:tmpl w:val="118A400E"/>
    <w:lvl w:ilvl="0">
      <w:numFmt w:val="bullet"/>
      <w:lvlText w:val="-"/>
      <w:lvlJc w:val="left"/>
      <w:pPr>
        <w:tabs>
          <w:tab w:val="num" w:pos="4755"/>
        </w:tabs>
        <w:ind w:left="4755" w:hanging="360"/>
      </w:pPr>
      <w:rPr>
        <w:b/>
        <w:i w:val="0"/>
      </w:rPr>
    </w:lvl>
  </w:abstractNum>
  <w:abstractNum w:abstractNumId="684">
    <w:nsid w:val="73E570F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85">
    <w:nsid w:val="73F12844"/>
    <w:multiLevelType w:val="singleLevel"/>
    <w:tmpl w:val="F68CF674"/>
    <w:lvl w:ilvl="0">
      <w:start w:val="38"/>
      <w:numFmt w:val="decimal"/>
      <w:lvlText w:val="%1."/>
      <w:lvlJc w:val="left"/>
      <w:pPr>
        <w:tabs>
          <w:tab w:val="num" w:pos="360"/>
        </w:tabs>
        <w:ind w:left="360" w:hanging="360"/>
      </w:pPr>
      <w:rPr>
        <w:rFonts w:hint="default"/>
        <w:b/>
      </w:rPr>
    </w:lvl>
  </w:abstractNum>
  <w:abstractNum w:abstractNumId="686">
    <w:nsid w:val="73F6666C"/>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687">
    <w:nsid w:val="74175630"/>
    <w:multiLevelType w:val="singleLevel"/>
    <w:tmpl w:val="11FEA9E2"/>
    <w:lvl w:ilvl="0">
      <w:start w:val="1"/>
      <w:numFmt w:val="bullet"/>
      <w:lvlText w:val=""/>
      <w:lvlJc w:val="left"/>
      <w:pPr>
        <w:tabs>
          <w:tab w:val="num" w:pos="1512"/>
        </w:tabs>
        <w:ind w:left="1435" w:hanging="283"/>
      </w:pPr>
      <w:rPr>
        <w:rFonts w:ascii="Symbol" w:hAnsi="Symbol" w:hint="default"/>
        <w:sz w:val="28"/>
      </w:rPr>
    </w:lvl>
  </w:abstractNum>
  <w:abstractNum w:abstractNumId="688">
    <w:nsid w:val="74A127B9"/>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89">
    <w:nsid w:val="74AD5548"/>
    <w:multiLevelType w:val="singleLevel"/>
    <w:tmpl w:val="04160001"/>
    <w:lvl w:ilvl="0">
      <w:start w:val="8"/>
      <w:numFmt w:val="bullet"/>
      <w:lvlText w:val=""/>
      <w:lvlJc w:val="left"/>
      <w:pPr>
        <w:tabs>
          <w:tab w:val="num" w:pos="360"/>
        </w:tabs>
        <w:ind w:left="360" w:hanging="360"/>
      </w:pPr>
      <w:rPr>
        <w:rFonts w:ascii="Symbol" w:hAnsi="Symbol" w:hint="default"/>
      </w:rPr>
    </w:lvl>
  </w:abstractNum>
  <w:abstractNum w:abstractNumId="690">
    <w:nsid w:val="74CA421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91">
    <w:nsid w:val="752024E0"/>
    <w:multiLevelType w:val="singleLevel"/>
    <w:tmpl w:val="4ABA51C8"/>
    <w:lvl w:ilvl="0">
      <w:start w:val="1"/>
      <w:numFmt w:val="decimal"/>
      <w:lvlText w:val="%1. "/>
      <w:legacy w:legacy="1" w:legacySpace="0" w:legacyIndent="283"/>
      <w:lvlJc w:val="left"/>
      <w:pPr>
        <w:ind w:left="1701" w:hanging="283"/>
      </w:pPr>
      <w:rPr>
        <w:rFonts w:ascii="Arial" w:hAnsi="Arial" w:hint="default"/>
        <w:b/>
        <w:i w:val="0"/>
        <w:sz w:val="24"/>
        <w:u w:val="none"/>
      </w:rPr>
    </w:lvl>
  </w:abstractNum>
  <w:abstractNum w:abstractNumId="692">
    <w:nsid w:val="752E4997"/>
    <w:multiLevelType w:val="singleLevel"/>
    <w:tmpl w:val="118A400E"/>
    <w:lvl w:ilvl="0">
      <w:numFmt w:val="bullet"/>
      <w:lvlText w:val="-"/>
      <w:lvlJc w:val="left"/>
      <w:pPr>
        <w:tabs>
          <w:tab w:val="num" w:pos="4755"/>
        </w:tabs>
        <w:ind w:left="4755" w:hanging="360"/>
      </w:pPr>
      <w:rPr>
        <w:b/>
        <w:i w:val="0"/>
      </w:rPr>
    </w:lvl>
  </w:abstractNum>
  <w:abstractNum w:abstractNumId="693">
    <w:nsid w:val="75355628"/>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94">
    <w:nsid w:val="757C5EFB"/>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95">
    <w:nsid w:val="7585351D"/>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96">
    <w:nsid w:val="75870B09"/>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97">
    <w:nsid w:val="760A1E2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98">
    <w:nsid w:val="7618501B"/>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99">
    <w:nsid w:val="7636439A"/>
    <w:multiLevelType w:val="multilevel"/>
    <w:tmpl w:val="470C0CD8"/>
    <w:lvl w:ilvl="0">
      <w:start w:val="5"/>
      <w:numFmt w:val="decimal"/>
      <w:lvlText w:val="%1"/>
      <w:lvlJc w:val="left"/>
      <w:pPr>
        <w:tabs>
          <w:tab w:val="num" w:pos="1211"/>
        </w:tabs>
        <w:ind w:left="1211" w:hanging="360"/>
      </w:pPr>
      <w:rPr>
        <w:rFonts w:hint="default"/>
      </w:rPr>
    </w:lvl>
    <w:lvl w:ilvl="1">
      <w:start w:val="1"/>
      <w:numFmt w:val="decimal"/>
      <w:isLgl/>
      <w:lvlText w:val="%1.%2"/>
      <w:lvlJc w:val="left"/>
      <w:pPr>
        <w:tabs>
          <w:tab w:val="num" w:pos="1779"/>
        </w:tabs>
        <w:ind w:left="1779" w:hanging="465"/>
      </w:pPr>
      <w:rPr>
        <w:rFonts w:hint="default"/>
      </w:rPr>
    </w:lvl>
    <w:lvl w:ilvl="2">
      <w:start w:val="1"/>
      <w:numFmt w:val="decimal"/>
      <w:isLgl/>
      <w:lvlText w:val="%1.%2.%3"/>
      <w:lvlJc w:val="left"/>
      <w:pPr>
        <w:tabs>
          <w:tab w:val="num" w:pos="2497"/>
        </w:tabs>
        <w:ind w:left="2497" w:hanging="720"/>
      </w:pPr>
      <w:rPr>
        <w:rFonts w:hint="default"/>
      </w:rPr>
    </w:lvl>
    <w:lvl w:ilvl="3">
      <w:start w:val="1"/>
      <w:numFmt w:val="decimal"/>
      <w:isLgl/>
      <w:lvlText w:val="%1.%2.%3.%4"/>
      <w:lvlJc w:val="left"/>
      <w:pPr>
        <w:tabs>
          <w:tab w:val="num" w:pos="3320"/>
        </w:tabs>
        <w:ind w:left="3320" w:hanging="1080"/>
      </w:pPr>
      <w:rPr>
        <w:rFonts w:hint="default"/>
      </w:rPr>
    </w:lvl>
    <w:lvl w:ilvl="4">
      <w:start w:val="1"/>
      <w:numFmt w:val="decimal"/>
      <w:isLgl/>
      <w:lvlText w:val="%1.%2.%3.%4.%5"/>
      <w:lvlJc w:val="left"/>
      <w:pPr>
        <w:tabs>
          <w:tab w:val="num" w:pos="3783"/>
        </w:tabs>
        <w:ind w:left="3783" w:hanging="1080"/>
      </w:pPr>
      <w:rPr>
        <w:rFonts w:hint="default"/>
      </w:rPr>
    </w:lvl>
    <w:lvl w:ilvl="5">
      <w:start w:val="1"/>
      <w:numFmt w:val="decimal"/>
      <w:isLgl/>
      <w:lvlText w:val="%1.%2.%3.%4.%5.%6"/>
      <w:lvlJc w:val="left"/>
      <w:pPr>
        <w:tabs>
          <w:tab w:val="num" w:pos="4606"/>
        </w:tabs>
        <w:ind w:left="4606" w:hanging="1440"/>
      </w:pPr>
      <w:rPr>
        <w:rFonts w:hint="default"/>
      </w:rPr>
    </w:lvl>
    <w:lvl w:ilvl="6">
      <w:start w:val="1"/>
      <w:numFmt w:val="decimal"/>
      <w:isLgl/>
      <w:lvlText w:val="%1.%2.%3.%4.%5.%6.%7"/>
      <w:lvlJc w:val="left"/>
      <w:pPr>
        <w:tabs>
          <w:tab w:val="num" w:pos="5069"/>
        </w:tabs>
        <w:ind w:left="5069" w:hanging="1440"/>
      </w:pPr>
      <w:rPr>
        <w:rFonts w:hint="default"/>
      </w:rPr>
    </w:lvl>
    <w:lvl w:ilvl="7">
      <w:start w:val="1"/>
      <w:numFmt w:val="decimal"/>
      <w:isLgl/>
      <w:lvlText w:val="%1.%2.%3.%4.%5.%6.%7.%8"/>
      <w:lvlJc w:val="left"/>
      <w:pPr>
        <w:tabs>
          <w:tab w:val="num" w:pos="5892"/>
        </w:tabs>
        <w:ind w:left="5892" w:hanging="1800"/>
      </w:pPr>
      <w:rPr>
        <w:rFonts w:hint="default"/>
      </w:rPr>
    </w:lvl>
    <w:lvl w:ilvl="8">
      <w:start w:val="1"/>
      <w:numFmt w:val="decimal"/>
      <w:isLgl/>
      <w:lvlText w:val="%1.%2.%3.%4.%5.%6.%7.%8.%9"/>
      <w:lvlJc w:val="left"/>
      <w:pPr>
        <w:tabs>
          <w:tab w:val="num" w:pos="6355"/>
        </w:tabs>
        <w:ind w:left="6355" w:hanging="1800"/>
      </w:pPr>
      <w:rPr>
        <w:rFonts w:hint="default"/>
      </w:rPr>
    </w:lvl>
  </w:abstractNum>
  <w:abstractNum w:abstractNumId="700">
    <w:nsid w:val="7746075F"/>
    <w:multiLevelType w:val="singleLevel"/>
    <w:tmpl w:val="118A400E"/>
    <w:lvl w:ilvl="0">
      <w:numFmt w:val="bullet"/>
      <w:lvlText w:val="-"/>
      <w:lvlJc w:val="left"/>
      <w:pPr>
        <w:tabs>
          <w:tab w:val="num" w:pos="4755"/>
        </w:tabs>
        <w:ind w:left="4755" w:hanging="360"/>
      </w:pPr>
      <w:rPr>
        <w:b/>
        <w:i w:val="0"/>
      </w:rPr>
    </w:lvl>
  </w:abstractNum>
  <w:abstractNum w:abstractNumId="701">
    <w:nsid w:val="77473E10"/>
    <w:multiLevelType w:val="singleLevel"/>
    <w:tmpl w:val="C1C8A762"/>
    <w:lvl w:ilvl="0">
      <w:start w:val="1"/>
      <w:numFmt w:val="decimal"/>
      <w:lvlText w:val="%1."/>
      <w:lvlJc w:val="left"/>
      <w:pPr>
        <w:tabs>
          <w:tab w:val="num" w:pos="375"/>
        </w:tabs>
        <w:ind w:left="375" w:hanging="375"/>
      </w:pPr>
      <w:rPr>
        <w:rFonts w:hint="default"/>
      </w:rPr>
    </w:lvl>
  </w:abstractNum>
  <w:abstractNum w:abstractNumId="702">
    <w:nsid w:val="77635BB0"/>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703">
    <w:nsid w:val="77BA65E6"/>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04">
    <w:nsid w:val="77BA7775"/>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705">
    <w:nsid w:val="77E72530"/>
    <w:multiLevelType w:val="singleLevel"/>
    <w:tmpl w:val="AE6621BC"/>
    <w:lvl w:ilvl="0">
      <w:start w:val="2"/>
      <w:numFmt w:val="lowerLetter"/>
      <w:lvlText w:val="%1)"/>
      <w:lvlJc w:val="left"/>
      <w:pPr>
        <w:tabs>
          <w:tab w:val="num" w:pos="2061"/>
        </w:tabs>
        <w:ind w:left="2061" w:hanging="360"/>
      </w:pPr>
      <w:rPr>
        <w:rFonts w:hint="default"/>
        <w:b/>
      </w:rPr>
    </w:lvl>
  </w:abstractNum>
  <w:abstractNum w:abstractNumId="706">
    <w:nsid w:val="77F00EBD"/>
    <w:multiLevelType w:val="singleLevel"/>
    <w:tmpl w:val="4DE2700E"/>
    <w:lvl w:ilvl="0">
      <w:start w:val="1"/>
      <w:numFmt w:val="lowerLetter"/>
      <w:lvlText w:val="%1)"/>
      <w:lvlJc w:val="left"/>
      <w:pPr>
        <w:tabs>
          <w:tab w:val="num" w:pos="1137"/>
        </w:tabs>
        <w:ind w:left="1137" w:hanging="570"/>
      </w:pPr>
      <w:rPr>
        <w:rFonts w:hint="default"/>
      </w:rPr>
    </w:lvl>
  </w:abstractNum>
  <w:abstractNum w:abstractNumId="707">
    <w:nsid w:val="77F7085E"/>
    <w:multiLevelType w:val="singleLevel"/>
    <w:tmpl w:val="6CD246C2"/>
    <w:lvl w:ilvl="0">
      <w:start w:val="5"/>
      <w:numFmt w:val="lowerLetter"/>
      <w:lvlText w:val="%1)"/>
      <w:lvlJc w:val="left"/>
      <w:pPr>
        <w:tabs>
          <w:tab w:val="num" w:pos="1137"/>
        </w:tabs>
        <w:ind w:left="1137" w:hanging="570"/>
      </w:pPr>
      <w:rPr>
        <w:rFonts w:hint="default"/>
      </w:rPr>
    </w:lvl>
  </w:abstractNum>
  <w:abstractNum w:abstractNumId="708">
    <w:nsid w:val="782F6FCF"/>
    <w:multiLevelType w:val="singleLevel"/>
    <w:tmpl w:val="230A90D2"/>
    <w:lvl w:ilvl="0">
      <w:start w:val="1"/>
      <w:numFmt w:val="lowerLetter"/>
      <w:lvlText w:val="%1)"/>
      <w:legacy w:legacy="1" w:legacySpace="0" w:legacyIndent="283"/>
      <w:lvlJc w:val="left"/>
      <w:pPr>
        <w:ind w:left="1984" w:hanging="283"/>
      </w:pPr>
    </w:lvl>
  </w:abstractNum>
  <w:abstractNum w:abstractNumId="709">
    <w:nsid w:val="78582C4A"/>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710">
    <w:nsid w:val="787D2C9D"/>
    <w:multiLevelType w:val="multilevel"/>
    <w:tmpl w:val="77C68D18"/>
    <w:lvl w:ilvl="0">
      <w:start w:val="3"/>
      <w:numFmt w:val="decimal"/>
      <w:lvlText w:val="%1."/>
      <w:lvlJc w:val="left"/>
      <w:pPr>
        <w:tabs>
          <w:tab w:val="num" w:pos="400"/>
        </w:tabs>
        <w:ind w:left="400" w:hanging="40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11">
    <w:nsid w:val="78801DC9"/>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712">
    <w:nsid w:val="78BE739B"/>
    <w:multiLevelType w:val="singleLevel"/>
    <w:tmpl w:val="04160001"/>
    <w:lvl w:ilvl="0">
      <w:start w:val="4"/>
      <w:numFmt w:val="bullet"/>
      <w:lvlText w:val=""/>
      <w:lvlJc w:val="left"/>
      <w:pPr>
        <w:tabs>
          <w:tab w:val="num" w:pos="360"/>
        </w:tabs>
        <w:ind w:left="360" w:hanging="360"/>
      </w:pPr>
      <w:rPr>
        <w:rFonts w:ascii="Symbol" w:hAnsi="Symbol" w:hint="default"/>
      </w:rPr>
    </w:lvl>
  </w:abstractNum>
  <w:abstractNum w:abstractNumId="713">
    <w:nsid w:val="78DE1E23"/>
    <w:multiLevelType w:val="singleLevel"/>
    <w:tmpl w:val="B8E244C2"/>
    <w:lvl w:ilvl="0">
      <w:start w:val="2"/>
      <w:numFmt w:val="decimal"/>
      <w:lvlText w:val="2.%1. "/>
      <w:legacy w:legacy="1" w:legacySpace="0" w:legacyIndent="283"/>
      <w:lvlJc w:val="left"/>
      <w:pPr>
        <w:ind w:left="283" w:hanging="283"/>
      </w:pPr>
      <w:rPr>
        <w:rFonts w:ascii="Century Gothic" w:hAnsi="Century Gothic" w:hint="default"/>
        <w:b/>
        <w:i w:val="0"/>
        <w:sz w:val="24"/>
        <w:u w:val="none"/>
      </w:rPr>
    </w:lvl>
  </w:abstractNum>
  <w:abstractNum w:abstractNumId="714">
    <w:nsid w:val="792A115B"/>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715">
    <w:nsid w:val="792D7C20"/>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716">
    <w:nsid w:val="793C52E6"/>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717">
    <w:nsid w:val="795C18D8"/>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718">
    <w:nsid w:val="79964BB3"/>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719">
    <w:nsid w:val="79D07101"/>
    <w:multiLevelType w:val="singleLevel"/>
    <w:tmpl w:val="02B67C94"/>
    <w:lvl w:ilvl="0">
      <w:start w:val="8"/>
      <w:numFmt w:val="decimal"/>
      <w:lvlText w:val="%1. "/>
      <w:legacy w:legacy="1" w:legacySpace="0" w:legacyIndent="283"/>
      <w:lvlJc w:val="left"/>
      <w:pPr>
        <w:ind w:left="1702" w:hanging="283"/>
      </w:pPr>
      <w:rPr>
        <w:rFonts w:ascii="Arial" w:hAnsi="Arial" w:hint="default"/>
        <w:b/>
        <w:i w:val="0"/>
        <w:sz w:val="24"/>
      </w:rPr>
    </w:lvl>
  </w:abstractNum>
  <w:abstractNum w:abstractNumId="720">
    <w:nsid w:val="7A0555F3"/>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721">
    <w:nsid w:val="7A415FD6"/>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722">
    <w:nsid w:val="7A7065C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23">
    <w:nsid w:val="7A8D4BD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24">
    <w:nsid w:val="7AB11E63"/>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725">
    <w:nsid w:val="7AC35CE8"/>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726">
    <w:nsid w:val="7ACA643D"/>
    <w:multiLevelType w:val="singleLevel"/>
    <w:tmpl w:val="0409000F"/>
    <w:lvl w:ilvl="0">
      <w:start w:val="1"/>
      <w:numFmt w:val="decimal"/>
      <w:lvlText w:val="%1."/>
      <w:lvlJc w:val="left"/>
      <w:pPr>
        <w:tabs>
          <w:tab w:val="num" w:pos="360"/>
        </w:tabs>
        <w:ind w:left="360" w:hanging="360"/>
      </w:pPr>
    </w:lvl>
  </w:abstractNum>
  <w:abstractNum w:abstractNumId="727">
    <w:nsid w:val="7AE6238B"/>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728">
    <w:nsid w:val="7AE8749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729">
    <w:nsid w:val="7AEA2BC5"/>
    <w:multiLevelType w:val="multilevel"/>
    <w:tmpl w:val="B78E621C"/>
    <w:lvl w:ilvl="0">
      <w:start w:val="7"/>
      <w:numFmt w:val="decimal"/>
      <w:lvlText w:val="%1"/>
      <w:lvlJc w:val="left"/>
      <w:pPr>
        <w:tabs>
          <w:tab w:val="num" w:pos="465"/>
        </w:tabs>
        <w:ind w:left="465" w:hanging="465"/>
      </w:pPr>
      <w:rPr>
        <w:rFonts w:hint="default"/>
      </w:rPr>
    </w:lvl>
    <w:lvl w:ilvl="1">
      <w:start w:val="3"/>
      <w:numFmt w:val="decimal"/>
      <w:lvlText w:val="%1.%2"/>
      <w:lvlJc w:val="left"/>
      <w:pPr>
        <w:tabs>
          <w:tab w:val="num" w:pos="1599"/>
        </w:tabs>
        <w:ind w:left="1599" w:hanging="465"/>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482"/>
        </w:tabs>
        <w:ind w:left="4482" w:hanging="1080"/>
      </w:pPr>
      <w:rPr>
        <w:rFonts w:hint="default"/>
      </w:rPr>
    </w:lvl>
    <w:lvl w:ilvl="4">
      <w:start w:val="1"/>
      <w:numFmt w:val="decimal"/>
      <w:lvlText w:val="%1.%2.%3.%4.%5"/>
      <w:lvlJc w:val="left"/>
      <w:pPr>
        <w:tabs>
          <w:tab w:val="num" w:pos="5616"/>
        </w:tabs>
        <w:ind w:left="5616" w:hanging="1080"/>
      </w:pPr>
      <w:rPr>
        <w:rFonts w:hint="default"/>
      </w:rPr>
    </w:lvl>
    <w:lvl w:ilvl="5">
      <w:start w:val="1"/>
      <w:numFmt w:val="decimal"/>
      <w:lvlText w:val="%1.%2.%3.%4.%5.%6"/>
      <w:lvlJc w:val="left"/>
      <w:pPr>
        <w:tabs>
          <w:tab w:val="num" w:pos="7110"/>
        </w:tabs>
        <w:ind w:left="7110" w:hanging="1440"/>
      </w:pPr>
      <w:rPr>
        <w:rFonts w:hint="default"/>
      </w:rPr>
    </w:lvl>
    <w:lvl w:ilvl="6">
      <w:start w:val="1"/>
      <w:numFmt w:val="decimal"/>
      <w:lvlText w:val="%1.%2.%3.%4.%5.%6.%7"/>
      <w:lvlJc w:val="left"/>
      <w:pPr>
        <w:tabs>
          <w:tab w:val="num" w:pos="8244"/>
        </w:tabs>
        <w:ind w:left="8244" w:hanging="1440"/>
      </w:pPr>
      <w:rPr>
        <w:rFonts w:hint="default"/>
      </w:rPr>
    </w:lvl>
    <w:lvl w:ilvl="7">
      <w:start w:val="1"/>
      <w:numFmt w:val="decimal"/>
      <w:lvlText w:val="%1.%2.%3.%4.%5.%6.%7.%8"/>
      <w:lvlJc w:val="left"/>
      <w:pPr>
        <w:tabs>
          <w:tab w:val="num" w:pos="9738"/>
        </w:tabs>
        <w:ind w:left="9738" w:hanging="1800"/>
      </w:pPr>
      <w:rPr>
        <w:rFonts w:hint="default"/>
      </w:rPr>
    </w:lvl>
    <w:lvl w:ilvl="8">
      <w:start w:val="1"/>
      <w:numFmt w:val="decimal"/>
      <w:lvlText w:val="%1.%2.%3.%4.%5.%6.%7.%8.%9"/>
      <w:lvlJc w:val="left"/>
      <w:pPr>
        <w:tabs>
          <w:tab w:val="num" w:pos="10872"/>
        </w:tabs>
        <w:ind w:left="10872" w:hanging="1800"/>
      </w:pPr>
      <w:rPr>
        <w:rFonts w:hint="default"/>
      </w:rPr>
    </w:lvl>
  </w:abstractNum>
  <w:abstractNum w:abstractNumId="730">
    <w:nsid w:val="7B5545A5"/>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731">
    <w:nsid w:val="7B7766F0"/>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732">
    <w:nsid w:val="7B83276B"/>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733">
    <w:nsid w:val="7B8C6F7E"/>
    <w:multiLevelType w:val="singleLevel"/>
    <w:tmpl w:val="0416000F"/>
    <w:lvl w:ilvl="0">
      <w:start w:val="1"/>
      <w:numFmt w:val="decimal"/>
      <w:lvlText w:val="%1."/>
      <w:lvlJc w:val="left"/>
      <w:pPr>
        <w:tabs>
          <w:tab w:val="num" w:pos="360"/>
        </w:tabs>
        <w:ind w:left="360" w:hanging="360"/>
      </w:pPr>
    </w:lvl>
  </w:abstractNum>
  <w:abstractNum w:abstractNumId="734">
    <w:nsid w:val="7BF256B0"/>
    <w:multiLevelType w:val="singleLevel"/>
    <w:tmpl w:val="C024B180"/>
    <w:lvl w:ilvl="0">
      <w:start w:val="1"/>
      <w:numFmt w:val="decimal"/>
      <w:lvlText w:val="%1."/>
      <w:legacy w:legacy="1" w:legacySpace="0" w:legacyIndent="283"/>
      <w:lvlJc w:val="left"/>
      <w:pPr>
        <w:ind w:left="283" w:hanging="283"/>
      </w:pPr>
    </w:lvl>
  </w:abstractNum>
  <w:abstractNum w:abstractNumId="735">
    <w:nsid w:val="7C5F2DF2"/>
    <w:multiLevelType w:val="singleLevel"/>
    <w:tmpl w:val="0416000D"/>
    <w:lvl w:ilvl="0">
      <w:start w:val="1"/>
      <w:numFmt w:val="bullet"/>
      <w:lvlText w:val=""/>
      <w:lvlJc w:val="left"/>
      <w:pPr>
        <w:tabs>
          <w:tab w:val="num" w:pos="360"/>
        </w:tabs>
        <w:ind w:left="360" w:hanging="360"/>
      </w:pPr>
      <w:rPr>
        <w:rFonts w:ascii="Wingdings" w:hAnsi="Wingdings" w:hint="default"/>
      </w:rPr>
    </w:lvl>
  </w:abstractNum>
  <w:abstractNum w:abstractNumId="736">
    <w:nsid w:val="7CBD3AC4"/>
    <w:multiLevelType w:val="multilevel"/>
    <w:tmpl w:val="61B2888E"/>
    <w:lvl w:ilvl="0">
      <w:start w:val="8"/>
      <w:numFmt w:val="decimal"/>
      <w:lvlText w:val="%1"/>
      <w:lvlJc w:val="left"/>
      <w:pPr>
        <w:tabs>
          <w:tab w:val="num" w:pos="660"/>
        </w:tabs>
        <w:ind w:left="660" w:hanging="660"/>
      </w:pPr>
      <w:rPr>
        <w:rFonts w:hint="default"/>
      </w:rPr>
    </w:lvl>
    <w:lvl w:ilvl="1">
      <w:start w:val="3"/>
      <w:numFmt w:val="decimal"/>
      <w:lvlText w:val="%1.%2"/>
      <w:lvlJc w:val="left"/>
      <w:pPr>
        <w:tabs>
          <w:tab w:val="num" w:pos="1387"/>
        </w:tabs>
        <w:ind w:left="1387" w:hanging="660"/>
      </w:pPr>
      <w:rPr>
        <w:rFonts w:hint="default"/>
      </w:rPr>
    </w:lvl>
    <w:lvl w:ilvl="2">
      <w:start w:val="2"/>
      <w:numFmt w:val="decimal"/>
      <w:lvlText w:val="%1.%2.%3"/>
      <w:lvlJc w:val="left"/>
      <w:pPr>
        <w:tabs>
          <w:tab w:val="num" w:pos="2174"/>
        </w:tabs>
        <w:ind w:left="2174" w:hanging="720"/>
      </w:pPr>
      <w:rPr>
        <w:rFonts w:hint="default"/>
      </w:rPr>
    </w:lvl>
    <w:lvl w:ilvl="3">
      <w:start w:val="1"/>
      <w:numFmt w:val="decimal"/>
      <w:lvlText w:val="%1.%2.%3.%4"/>
      <w:lvlJc w:val="left"/>
      <w:pPr>
        <w:tabs>
          <w:tab w:val="num" w:pos="3261"/>
        </w:tabs>
        <w:ind w:left="3261" w:hanging="1080"/>
      </w:pPr>
      <w:rPr>
        <w:rFonts w:hint="default"/>
      </w:rPr>
    </w:lvl>
    <w:lvl w:ilvl="4">
      <w:start w:val="1"/>
      <w:numFmt w:val="decimal"/>
      <w:lvlText w:val="%1.%2.%3.%4.%5"/>
      <w:lvlJc w:val="left"/>
      <w:pPr>
        <w:tabs>
          <w:tab w:val="num" w:pos="3988"/>
        </w:tabs>
        <w:ind w:left="3988" w:hanging="1080"/>
      </w:pPr>
      <w:rPr>
        <w:rFonts w:hint="default"/>
      </w:rPr>
    </w:lvl>
    <w:lvl w:ilvl="5">
      <w:start w:val="1"/>
      <w:numFmt w:val="decimal"/>
      <w:lvlText w:val="%1.%2.%3.%4.%5.%6"/>
      <w:lvlJc w:val="left"/>
      <w:pPr>
        <w:tabs>
          <w:tab w:val="num" w:pos="5075"/>
        </w:tabs>
        <w:ind w:left="5075" w:hanging="1440"/>
      </w:pPr>
      <w:rPr>
        <w:rFonts w:hint="default"/>
      </w:rPr>
    </w:lvl>
    <w:lvl w:ilvl="6">
      <w:start w:val="1"/>
      <w:numFmt w:val="decimal"/>
      <w:lvlText w:val="%1.%2.%3.%4.%5.%6.%7"/>
      <w:lvlJc w:val="left"/>
      <w:pPr>
        <w:tabs>
          <w:tab w:val="num" w:pos="5802"/>
        </w:tabs>
        <w:ind w:left="5802" w:hanging="1440"/>
      </w:pPr>
      <w:rPr>
        <w:rFonts w:hint="default"/>
      </w:rPr>
    </w:lvl>
    <w:lvl w:ilvl="7">
      <w:start w:val="1"/>
      <w:numFmt w:val="decimal"/>
      <w:lvlText w:val="%1.%2.%3.%4.%5.%6.%7.%8"/>
      <w:lvlJc w:val="left"/>
      <w:pPr>
        <w:tabs>
          <w:tab w:val="num" w:pos="6889"/>
        </w:tabs>
        <w:ind w:left="6889" w:hanging="1800"/>
      </w:pPr>
      <w:rPr>
        <w:rFonts w:hint="default"/>
      </w:rPr>
    </w:lvl>
    <w:lvl w:ilvl="8">
      <w:start w:val="1"/>
      <w:numFmt w:val="decimal"/>
      <w:lvlText w:val="%1.%2.%3.%4.%5.%6.%7.%8.%9"/>
      <w:lvlJc w:val="left"/>
      <w:pPr>
        <w:tabs>
          <w:tab w:val="num" w:pos="7616"/>
        </w:tabs>
        <w:ind w:left="7616" w:hanging="1800"/>
      </w:pPr>
      <w:rPr>
        <w:rFonts w:hint="default"/>
      </w:rPr>
    </w:lvl>
  </w:abstractNum>
  <w:abstractNum w:abstractNumId="737">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738">
    <w:nsid w:val="7D667A4F"/>
    <w:multiLevelType w:val="singleLevel"/>
    <w:tmpl w:val="E11A4C00"/>
    <w:lvl w:ilvl="0">
      <w:numFmt w:val="bullet"/>
      <w:lvlText w:val="-"/>
      <w:lvlJc w:val="left"/>
      <w:pPr>
        <w:tabs>
          <w:tab w:val="num" w:pos="360"/>
        </w:tabs>
        <w:ind w:left="360" w:hanging="360"/>
      </w:pPr>
      <w:rPr>
        <w:rFonts w:ascii="Times New Roman" w:hAnsi="Times New Roman" w:hint="default"/>
      </w:rPr>
    </w:lvl>
  </w:abstractNum>
  <w:abstractNum w:abstractNumId="739">
    <w:nsid w:val="7DBF6B58"/>
    <w:multiLevelType w:val="singleLevel"/>
    <w:tmpl w:val="0409000F"/>
    <w:lvl w:ilvl="0">
      <w:start w:val="1"/>
      <w:numFmt w:val="decimal"/>
      <w:lvlText w:val="%1."/>
      <w:lvlJc w:val="left"/>
      <w:pPr>
        <w:tabs>
          <w:tab w:val="num" w:pos="360"/>
        </w:tabs>
        <w:ind w:left="360" w:hanging="360"/>
      </w:pPr>
    </w:lvl>
  </w:abstractNum>
  <w:abstractNum w:abstractNumId="740">
    <w:nsid w:val="7DDC38BB"/>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741">
    <w:nsid w:val="7DE62FBB"/>
    <w:multiLevelType w:val="singleLevel"/>
    <w:tmpl w:val="7F04353E"/>
    <w:lvl w:ilvl="0">
      <w:start w:val="1"/>
      <w:numFmt w:val="bullet"/>
      <w:lvlText w:val=""/>
      <w:lvlJc w:val="left"/>
      <w:pPr>
        <w:tabs>
          <w:tab w:val="num" w:pos="0"/>
        </w:tabs>
        <w:ind w:left="1701" w:hanging="283"/>
      </w:pPr>
      <w:rPr>
        <w:rFonts w:ascii="Wingdings" w:hAnsi="Wingdings" w:hint="default"/>
      </w:rPr>
    </w:lvl>
  </w:abstractNum>
  <w:abstractNum w:abstractNumId="742">
    <w:nsid w:val="7E7E7809"/>
    <w:multiLevelType w:val="singleLevel"/>
    <w:tmpl w:val="72EE7D74"/>
    <w:lvl w:ilvl="0">
      <w:start w:val="1"/>
      <w:numFmt w:val="lowerLetter"/>
      <w:lvlText w:val="%1)"/>
      <w:legacy w:legacy="1" w:legacySpace="0" w:legacyIndent="283"/>
      <w:lvlJc w:val="left"/>
      <w:pPr>
        <w:ind w:left="283" w:hanging="283"/>
      </w:pPr>
    </w:lvl>
  </w:abstractNum>
  <w:abstractNum w:abstractNumId="743">
    <w:nsid w:val="7E821959"/>
    <w:multiLevelType w:val="singleLevel"/>
    <w:tmpl w:val="3BEEAB94"/>
    <w:lvl w:ilvl="0">
      <w:start w:val="2"/>
      <w:numFmt w:val="decimal"/>
      <w:lvlText w:val="%1"/>
      <w:lvlJc w:val="left"/>
      <w:pPr>
        <w:tabs>
          <w:tab w:val="num" w:pos="1211"/>
        </w:tabs>
        <w:ind w:left="1211" w:hanging="360"/>
      </w:pPr>
      <w:rPr>
        <w:rFonts w:hint="default"/>
      </w:rPr>
    </w:lvl>
  </w:abstractNum>
  <w:abstractNum w:abstractNumId="744">
    <w:nsid w:val="7E8D361C"/>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745">
    <w:nsid w:val="7E987029"/>
    <w:multiLevelType w:val="singleLevel"/>
    <w:tmpl w:val="3BEEAB94"/>
    <w:lvl w:ilvl="0">
      <w:start w:val="2"/>
      <w:numFmt w:val="decimal"/>
      <w:lvlText w:val="%1"/>
      <w:lvlJc w:val="left"/>
      <w:pPr>
        <w:tabs>
          <w:tab w:val="num" w:pos="1211"/>
        </w:tabs>
        <w:ind w:left="1211" w:hanging="360"/>
      </w:pPr>
      <w:rPr>
        <w:rFonts w:hint="default"/>
      </w:rPr>
    </w:lvl>
  </w:abstractNum>
  <w:abstractNum w:abstractNumId="746">
    <w:nsid w:val="7EB54587"/>
    <w:multiLevelType w:val="singleLevel"/>
    <w:tmpl w:val="2436877E"/>
    <w:lvl w:ilvl="0">
      <w:start w:val="1"/>
      <w:numFmt w:val="decimal"/>
      <w:lvlText w:val="%1- "/>
      <w:legacy w:legacy="1" w:legacySpace="0" w:legacyIndent="283"/>
      <w:lvlJc w:val="left"/>
      <w:pPr>
        <w:ind w:left="1701" w:hanging="283"/>
      </w:pPr>
      <w:rPr>
        <w:rFonts w:ascii="Arial" w:hAnsi="Arial" w:hint="default"/>
        <w:b w:val="0"/>
        <w:i w:val="0"/>
        <w:sz w:val="24"/>
      </w:rPr>
    </w:lvl>
  </w:abstractNum>
  <w:abstractNum w:abstractNumId="747">
    <w:nsid w:val="7EC068CA"/>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48">
    <w:nsid w:val="7ECF2A70"/>
    <w:multiLevelType w:val="singleLevel"/>
    <w:tmpl w:val="118A400E"/>
    <w:lvl w:ilvl="0">
      <w:numFmt w:val="bullet"/>
      <w:lvlText w:val="-"/>
      <w:lvlJc w:val="left"/>
      <w:pPr>
        <w:tabs>
          <w:tab w:val="num" w:pos="4755"/>
        </w:tabs>
        <w:ind w:left="4755" w:hanging="360"/>
      </w:pPr>
      <w:rPr>
        <w:b/>
        <w:i w:val="0"/>
      </w:rPr>
    </w:lvl>
  </w:abstractNum>
  <w:abstractNum w:abstractNumId="749">
    <w:nsid w:val="7EEE55E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50">
    <w:nsid w:val="7F2C07E1"/>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751">
    <w:nsid w:val="7F425480"/>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752">
    <w:nsid w:val="7F9E2BF9"/>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753">
    <w:nsid w:val="7FC327E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754">
    <w:nsid w:val="7FD42C2E"/>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755">
    <w:nsid w:val="7FDD12DF"/>
    <w:multiLevelType w:val="singleLevel"/>
    <w:tmpl w:val="04160005"/>
    <w:lvl w:ilvl="0">
      <w:start w:val="1"/>
      <w:numFmt w:val="bullet"/>
      <w:lvlText w:val=""/>
      <w:lvlJc w:val="left"/>
      <w:pPr>
        <w:tabs>
          <w:tab w:val="num" w:pos="360"/>
        </w:tabs>
        <w:ind w:left="360" w:hanging="360"/>
      </w:pPr>
      <w:rPr>
        <w:rFonts w:ascii="Wingdings" w:hAnsi="Wingdings" w:hint="default"/>
      </w:rPr>
    </w:lvl>
  </w:abstractNum>
  <w:num w:numId="1">
    <w:abstractNumId w:val="737"/>
  </w:num>
  <w:num w:numId="2">
    <w:abstractNumId w:val="265"/>
  </w:num>
  <w:num w:numId="3">
    <w:abstractNumId w:val="737"/>
  </w:num>
  <w:num w:numId="4">
    <w:abstractNumId w:val="265"/>
  </w:num>
  <w:num w:numId="5">
    <w:abstractNumId w:val="62"/>
  </w:num>
  <w:num w:numId="6">
    <w:abstractNumId w:val="328"/>
  </w:num>
  <w:num w:numId="7">
    <w:abstractNumId w:val="381"/>
  </w:num>
  <w:num w:numId="8">
    <w:abstractNumId w:val="726"/>
  </w:num>
  <w:num w:numId="9">
    <w:abstractNumId w:val="460"/>
  </w:num>
  <w:num w:numId="10">
    <w:abstractNumId w:val="739"/>
  </w:num>
  <w:num w:numId="11">
    <w:abstractNumId w:val="381"/>
  </w:num>
  <w:num w:numId="12">
    <w:abstractNumId w:val="424"/>
  </w:num>
  <w:num w:numId="13">
    <w:abstractNumId w:val="424"/>
  </w:num>
  <w:num w:numId="14">
    <w:abstractNumId w:val="597"/>
  </w:num>
  <w:num w:numId="15">
    <w:abstractNumId w:val="355"/>
  </w:num>
  <w:num w:numId="16">
    <w:abstractNumId w:val="355"/>
  </w:num>
  <w:num w:numId="17">
    <w:abstractNumId w:val="737"/>
  </w:num>
  <w:num w:numId="18">
    <w:abstractNumId w:val="265"/>
  </w:num>
  <w:num w:numId="19">
    <w:abstractNumId w:val="0"/>
  </w:num>
  <w:num w:numId="20">
    <w:abstractNumId w:val="737"/>
  </w:num>
  <w:num w:numId="21">
    <w:abstractNumId w:val="265"/>
  </w:num>
  <w:num w:numId="22">
    <w:abstractNumId w:val="355"/>
  </w:num>
  <w:num w:numId="23">
    <w:abstractNumId w:val="355"/>
  </w:num>
  <w:num w:numId="24">
    <w:abstractNumId w:val="355"/>
  </w:num>
  <w:num w:numId="25">
    <w:abstractNumId w:val="355"/>
  </w:num>
  <w:num w:numId="26">
    <w:abstractNumId w:val="355"/>
  </w:num>
  <w:num w:numId="27">
    <w:abstractNumId w:val="355"/>
  </w:num>
  <w:num w:numId="28">
    <w:abstractNumId w:val="355"/>
  </w:num>
  <w:num w:numId="29">
    <w:abstractNumId w:val="355"/>
  </w:num>
  <w:num w:numId="30">
    <w:abstractNumId w:val="355"/>
  </w:num>
  <w:num w:numId="31">
    <w:abstractNumId w:val="355"/>
  </w:num>
  <w:num w:numId="32">
    <w:abstractNumId w:val="355"/>
  </w:num>
  <w:num w:numId="33">
    <w:abstractNumId w:val="355"/>
  </w:num>
  <w:num w:numId="34">
    <w:abstractNumId w:val="355"/>
  </w:num>
  <w:num w:numId="35">
    <w:abstractNumId w:val="355"/>
  </w:num>
  <w:num w:numId="36">
    <w:abstractNumId w:val="355"/>
  </w:num>
  <w:num w:numId="37">
    <w:abstractNumId w:val="355"/>
  </w:num>
  <w:num w:numId="38">
    <w:abstractNumId w:val="355"/>
  </w:num>
  <w:num w:numId="39">
    <w:abstractNumId w:val="355"/>
  </w:num>
  <w:num w:numId="40">
    <w:abstractNumId w:val="355"/>
  </w:num>
  <w:num w:numId="41">
    <w:abstractNumId w:val="355"/>
  </w:num>
  <w:num w:numId="42">
    <w:abstractNumId w:val="355"/>
  </w:num>
  <w:num w:numId="43">
    <w:abstractNumId w:val="355"/>
  </w:num>
  <w:num w:numId="44">
    <w:abstractNumId w:val="355"/>
  </w:num>
  <w:num w:numId="45">
    <w:abstractNumId w:val="355"/>
  </w:num>
  <w:num w:numId="46">
    <w:abstractNumId w:val="355"/>
  </w:num>
  <w:num w:numId="47">
    <w:abstractNumId w:val="355"/>
  </w:num>
  <w:num w:numId="48">
    <w:abstractNumId w:val="1"/>
  </w:num>
  <w:num w:numId="49">
    <w:abstractNumId w:val="296"/>
  </w:num>
  <w:num w:numId="50">
    <w:abstractNumId w:val="26"/>
  </w:num>
  <w:num w:numId="51">
    <w:abstractNumId w:val="152"/>
  </w:num>
  <w:num w:numId="52">
    <w:abstractNumId w:val="73"/>
  </w:num>
  <w:num w:numId="53">
    <w:abstractNumId w:val="406"/>
  </w:num>
  <w:num w:numId="54">
    <w:abstractNumId w:val="535"/>
  </w:num>
  <w:num w:numId="55">
    <w:abstractNumId w:val="2"/>
  </w:num>
  <w:num w:numId="56">
    <w:abstractNumId w:val="3"/>
  </w:num>
  <w:num w:numId="57">
    <w:abstractNumId w:val="8"/>
  </w:num>
  <w:num w:numId="58">
    <w:abstractNumId w:val="9"/>
  </w:num>
  <w:num w:numId="59">
    <w:abstractNumId w:val="7"/>
  </w:num>
  <w:num w:numId="60">
    <w:abstractNumId w:val="6"/>
  </w:num>
  <w:num w:numId="61">
    <w:abstractNumId w:val="5"/>
  </w:num>
  <w:num w:numId="62">
    <w:abstractNumId w:val="4"/>
  </w:num>
  <w:num w:numId="63">
    <w:abstractNumId w:val="81"/>
  </w:num>
  <w:num w:numId="64">
    <w:abstractNumId w:val="129"/>
  </w:num>
  <w:num w:numId="65">
    <w:abstractNumId w:val="706"/>
  </w:num>
  <w:num w:numId="66">
    <w:abstractNumId w:val="707"/>
  </w:num>
  <w:num w:numId="67">
    <w:abstractNumId w:val="664"/>
  </w:num>
  <w:num w:numId="68">
    <w:abstractNumId w:val="443"/>
  </w:num>
  <w:num w:numId="69">
    <w:abstractNumId w:val="501"/>
  </w:num>
  <w:num w:numId="70">
    <w:abstractNumId w:val="453"/>
  </w:num>
  <w:num w:numId="71">
    <w:abstractNumId w:val="193"/>
  </w:num>
  <w:num w:numId="72">
    <w:abstractNumId w:val="541"/>
  </w:num>
  <w:num w:numId="73">
    <w:abstractNumId w:val="399"/>
  </w:num>
  <w:num w:numId="74">
    <w:abstractNumId w:val="680"/>
  </w:num>
  <w:num w:numId="75">
    <w:abstractNumId w:val="269"/>
  </w:num>
  <w:num w:numId="76">
    <w:abstractNumId w:val="172"/>
  </w:num>
  <w:num w:numId="77">
    <w:abstractNumId w:val="387"/>
  </w:num>
  <w:num w:numId="78">
    <w:abstractNumId w:val="712"/>
  </w:num>
  <w:num w:numId="79">
    <w:abstractNumId w:val="701"/>
  </w:num>
  <w:num w:numId="80">
    <w:abstractNumId w:val="614"/>
  </w:num>
  <w:num w:numId="81">
    <w:abstractNumId w:val="85"/>
  </w:num>
  <w:num w:numId="82">
    <w:abstractNumId w:val="10"/>
    <w:lvlOverride w:ilvl="0">
      <w:lvl w:ilvl="0">
        <w:start w:val="1"/>
        <w:numFmt w:val="bullet"/>
        <w:lvlText w:val=""/>
        <w:legacy w:legacy="1" w:legacySpace="0" w:legacyIndent="283"/>
        <w:lvlJc w:val="left"/>
        <w:pPr>
          <w:ind w:left="283" w:hanging="283"/>
        </w:pPr>
        <w:rPr>
          <w:rFonts w:ascii="Symbol" w:hAnsi="Symbol" w:hint="default"/>
          <w:sz w:val="20"/>
        </w:rPr>
      </w:lvl>
    </w:lvlOverride>
  </w:num>
  <w:num w:numId="83">
    <w:abstractNumId w:val="10"/>
    <w:lvlOverride w:ilvl="0">
      <w:lvl w:ilvl="0">
        <w:start w:val="1"/>
        <w:numFmt w:val="bullet"/>
        <w:lvlText w:val=""/>
        <w:legacy w:legacy="1" w:legacySpace="0" w:legacyIndent="283"/>
        <w:lvlJc w:val="left"/>
        <w:pPr>
          <w:ind w:left="567" w:hanging="283"/>
        </w:pPr>
        <w:rPr>
          <w:rFonts w:ascii="Symbol" w:hAnsi="Symbol" w:hint="default"/>
          <w:sz w:val="16"/>
        </w:rPr>
      </w:lvl>
    </w:lvlOverride>
  </w:num>
  <w:num w:numId="84">
    <w:abstractNumId w:val="98"/>
  </w:num>
  <w:num w:numId="85">
    <w:abstractNumId w:val="713"/>
  </w:num>
  <w:num w:numId="86">
    <w:abstractNumId w:val="136"/>
  </w:num>
  <w:num w:numId="87">
    <w:abstractNumId w:val="25"/>
  </w:num>
  <w:num w:numId="88">
    <w:abstractNumId w:val="10"/>
    <w:lvlOverride w:ilvl="0">
      <w:lvl w:ilvl="0">
        <w:start w:val="1"/>
        <w:numFmt w:val="bullet"/>
        <w:lvlText w:val=""/>
        <w:legacy w:legacy="1" w:legacySpace="0" w:legacyIndent="284"/>
        <w:lvlJc w:val="left"/>
        <w:pPr>
          <w:ind w:left="284" w:hanging="284"/>
        </w:pPr>
        <w:rPr>
          <w:rFonts w:ascii="Symbol" w:hAnsi="Symbol" w:hint="default"/>
        </w:rPr>
      </w:lvl>
    </w:lvlOverride>
  </w:num>
  <w:num w:numId="89">
    <w:abstractNumId w:val="63"/>
  </w:num>
  <w:num w:numId="90">
    <w:abstractNumId w:val="350"/>
  </w:num>
  <w:num w:numId="91">
    <w:abstractNumId w:val="710"/>
  </w:num>
  <w:num w:numId="92">
    <w:abstractNumId w:val="352"/>
  </w:num>
  <w:num w:numId="93">
    <w:abstractNumId w:val="537"/>
  </w:num>
  <w:num w:numId="94">
    <w:abstractNumId w:val="201"/>
  </w:num>
  <w:num w:numId="95">
    <w:abstractNumId w:val="400"/>
  </w:num>
  <w:num w:numId="96">
    <w:abstractNumId w:val="213"/>
  </w:num>
  <w:num w:numId="97">
    <w:abstractNumId w:val="115"/>
  </w:num>
  <w:num w:numId="98">
    <w:abstractNumId w:val="604"/>
  </w:num>
  <w:num w:numId="99">
    <w:abstractNumId w:val="10"/>
    <w:lvlOverride w:ilvl="0">
      <w:lvl w:ilvl="0">
        <w:start w:val="1"/>
        <w:numFmt w:val="bullet"/>
        <w:lvlText w:val=""/>
        <w:legacy w:legacy="1" w:legacySpace="0" w:legacyIndent="283"/>
        <w:lvlJc w:val="left"/>
        <w:pPr>
          <w:ind w:left="2126" w:hanging="283"/>
        </w:pPr>
        <w:rPr>
          <w:rFonts w:ascii="Symbol" w:hAnsi="Symbol" w:hint="default"/>
        </w:rPr>
      </w:lvl>
    </w:lvlOverride>
  </w:num>
  <w:num w:numId="100">
    <w:abstractNumId w:val="332"/>
  </w:num>
  <w:num w:numId="101">
    <w:abstractNumId w:val="346"/>
  </w:num>
  <w:num w:numId="102">
    <w:abstractNumId w:val="599"/>
  </w:num>
  <w:num w:numId="103">
    <w:abstractNumId w:val="592"/>
  </w:num>
  <w:num w:numId="104">
    <w:abstractNumId w:val="100"/>
  </w:num>
  <w:num w:numId="105">
    <w:abstractNumId w:val="184"/>
  </w:num>
  <w:num w:numId="106">
    <w:abstractNumId w:val="665"/>
  </w:num>
  <w:num w:numId="107">
    <w:abstractNumId w:val="543"/>
  </w:num>
  <w:num w:numId="108">
    <w:abstractNumId w:val="374"/>
  </w:num>
  <w:num w:numId="109">
    <w:abstractNumId w:val="594"/>
  </w:num>
  <w:num w:numId="110">
    <w:abstractNumId w:val="262"/>
  </w:num>
  <w:num w:numId="111">
    <w:abstractNumId w:val="398"/>
  </w:num>
  <w:num w:numId="112">
    <w:abstractNumId w:val="681"/>
  </w:num>
  <w:num w:numId="113">
    <w:abstractNumId w:val="175"/>
  </w:num>
  <w:num w:numId="114">
    <w:abstractNumId w:val="227"/>
  </w:num>
  <w:num w:numId="115">
    <w:abstractNumId w:val="367"/>
  </w:num>
  <w:num w:numId="116">
    <w:abstractNumId w:val="43"/>
  </w:num>
  <w:num w:numId="117">
    <w:abstractNumId w:val="10"/>
    <w:lvlOverride w:ilvl="0">
      <w:lvl w:ilvl="0">
        <w:start w:val="1"/>
        <w:numFmt w:val="bullet"/>
        <w:lvlText w:val=""/>
        <w:legacy w:legacy="1" w:legacySpace="0" w:legacyIndent="283"/>
        <w:lvlJc w:val="left"/>
        <w:pPr>
          <w:ind w:left="1701" w:hanging="283"/>
        </w:pPr>
        <w:rPr>
          <w:rFonts w:ascii="Symbol" w:hAnsi="Symbol" w:hint="default"/>
        </w:rPr>
      </w:lvl>
    </w:lvlOverride>
  </w:num>
  <w:num w:numId="118">
    <w:abstractNumId w:val="10"/>
    <w:lvlOverride w:ilvl="0">
      <w:lvl w:ilvl="0">
        <w:start w:val="1"/>
        <w:numFmt w:val="bullet"/>
        <w:lvlText w:val=""/>
        <w:legacy w:legacy="1" w:legacySpace="0" w:legacyIndent="-1418"/>
        <w:lvlJc w:val="left"/>
        <w:pPr>
          <w:ind w:firstLine="1418"/>
        </w:pPr>
        <w:rPr>
          <w:rFonts w:ascii="Symbol" w:hAnsi="Symbol" w:hint="default"/>
        </w:rPr>
      </w:lvl>
    </w:lvlOverride>
  </w:num>
  <w:num w:numId="119">
    <w:abstractNumId w:val="719"/>
  </w:num>
  <w:num w:numId="120">
    <w:abstractNumId w:val="10"/>
    <w:lvlOverride w:ilvl="0">
      <w:lvl w:ilvl="0">
        <w:start w:val="1"/>
        <w:numFmt w:val="bullet"/>
        <w:lvlText w:val=""/>
        <w:legacy w:legacy="1" w:legacySpace="0" w:legacyIndent="284"/>
        <w:lvlJc w:val="left"/>
        <w:pPr>
          <w:ind w:left="1418" w:hanging="284"/>
        </w:pPr>
        <w:rPr>
          <w:rFonts w:ascii="Symbol" w:hAnsi="Symbol" w:hint="default"/>
        </w:rPr>
      </w:lvl>
    </w:lvlOverride>
  </w:num>
  <w:num w:numId="121">
    <w:abstractNumId w:val="624"/>
  </w:num>
  <w:num w:numId="122">
    <w:abstractNumId w:val="33"/>
  </w:num>
  <w:num w:numId="123">
    <w:abstractNumId w:val="237"/>
  </w:num>
  <w:num w:numId="124">
    <w:abstractNumId w:val="139"/>
  </w:num>
  <w:num w:numId="125">
    <w:abstractNumId w:val="101"/>
  </w:num>
  <w:num w:numId="126">
    <w:abstractNumId w:val="486"/>
  </w:num>
  <w:num w:numId="127">
    <w:abstractNumId w:val="10"/>
    <w:lvlOverride w:ilvl="0">
      <w:lvl w:ilvl="0">
        <w:start w:val="1"/>
        <w:numFmt w:val="bullet"/>
        <w:lvlText w:val=""/>
        <w:legacy w:legacy="1" w:legacySpace="0" w:legacyIndent="-720"/>
        <w:lvlJc w:val="left"/>
        <w:pPr>
          <w:ind w:left="698" w:firstLine="720"/>
        </w:pPr>
        <w:rPr>
          <w:rFonts w:ascii="Symbol" w:hAnsi="Symbol" w:hint="default"/>
        </w:rPr>
      </w:lvl>
    </w:lvlOverride>
  </w:num>
  <w:num w:numId="128">
    <w:abstractNumId w:val="746"/>
  </w:num>
  <w:num w:numId="129">
    <w:abstractNumId w:val="246"/>
  </w:num>
  <w:num w:numId="130">
    <w:abstractNumId w:val="584"/>
  </w:num>
  <w:num w:numId="131">
    <w:abstractNumId w:val="345"/>
  </w:num>
  <w:num w:numId="132">
    <w:abstractNumId w:val="691"/>
  </w:num>
  <w:num w:numId="133">
    <w:abstractNumId w:val="297"/>
  </w:num>
  <w:num w:numId="134">
    <w:abstractNumId w:val="78"/>
  </w:num>
  <w:num w:numId="135">
    <w:abstractNumId w:val="655"/>
  </w:num>
  <w:num w:numId="136">
    <w:abstractNumId w:val="725"/>
  </w:num>
  <w:num w:numId="137">
    <w:abstractNumId w:val="621"/>
  </w:num>
  <w:num w:numId="138">
    <w:abstractNumId w:val="515"/>
  </w:num>
  <w:num w:numId="139">
    <w:abstractNumId w:val="371"/>
  </w:num>
  <w:num w:numId="140">
    <w:abstractNumId w:val="511"/>
  </w:num>
  <w:num w:numId="141">
    <w:abstractNumId w:val="534"/>
  </w:num>
  <w:num w:numId="142">
    <w:abstractNumId w:val="176"/>
  </w:num>
  <w:num w:numId="143">
    <w:abstractNumId w:val="165"/>
  </w:num>
  <w:num w:numId="144">
    <w:abstractNumId w:val="587"/>
  </w:num>
  <w:num w:numId="145">
    <w:abstractNumId w:val="590"/>
  </w:num>
  <w:num w:numId="146">
    <w:abstractNumId w:val="99"/>
  </w:num>
  <w:num w:numId="147">
    <w:abstractNumId w:val="456"/>
  </w:num>
  <w:num w:numId="148">
    <w:abstractNumId w:val="401"/>
  </w:num>
  <w:num w:numId="149">
    <w:abstractNumId w:val="112"/>
  </w:num>
  <w:num w:numId="150">
    <w:abstractNumId w:val="667"/>
  </w:num>
  <w:num w:numId="151">
    <w:abstractNumId w:val="493"/>
  </w:num>
  <w:num w:numId="152">
    <w:abstractNumId w:val="577"/>
  </w:num>
  <w:num w:numId="153">
    <w:abstractNumId w:val="438"/>
  </w:num>
  <w:num w:numId="154">
    <w:abstractNumId w:val="405"/>
  </w:num>
  <w:num w:numId="155">
    <w:abstractNumId w:val="394"/>
  </w:num>
  <w:num w:numId="156">
    <w:abstractNumId w:val="632"/>
  </w:num>
  <w:num w:numId="157">
    <w:abstractNumId w:val="380"/>
  </w:num>
  <w:num w:numId="158">
    <w:abstractNumId w:val="641"/>
  </w:num>
  <w:num w:numId="159">
    <w:abstractNumId w:val="206"/>
  </w:num>
  <w:num w:numId="160">
    <w:abstractNumId w:val="730"/>
  </w:num>
  <w:num w:numId="161">
    <w:abstractNumId w:val="69"/>
  </w:num>
  <w:num w:numId="162">
    <w:abstractNumId w:val="386"/>
  </w:num>
  <w:num w:numId="163">
    <w:abstractNumId w:val="148"/>
  </w:num>
  <w:num w:numId="164">
    <w:abstractNumId w:val="375"/>
  </w:num>
  <w:num w:numId="165">
    <w:abstractNumId w:val="470"/>
  </w:num>
  <w:num w:numId="166">
    <w:abstractNumId w:val="499"/>
  </w:num>
  <w:num w:numId="167">
    <w:abstractNumId w:val="567"/>
  </w:num>
  <w:num w:numId="168">
    <w:abstractNumId w:val="466"/>
  </w:num>
  <w:num w:numId="169">
    <w:abstractNumId w:val="203"/>
  </w:num>
  <w:num w:numId="170">
    <w:abstractNumId w:val="750"/>
  </w:num>
  <w:num w:numId="171">
    <w:abstractNumId w:val="38"/>
  </w:num>
  <w:num w:numId="172">
    <w:abstractNumId w:val="675"/>
  </w:num>
  <w:num w:numId="173">
    <w:abstractNumId w:val="122"/>
  </w:num>
  <w:num w:numId="174">
    <w:abstractNumId w:val="10"/>
    <w:lvlOverride w:ilvl="0">
      <w:lvl w:ilvl="0">
        <w:start w:val="1"/>
        <w:numFmt w:val="bullet"/>
        <w:lvlText w:val=""/>
        <w:legacy w:legacy="1" w:legacySpace="0" w:legacyIndent="1512"/>
        <w:lvlJc w:val="left"/>
        <w:pPr>
          <w:ind w:left="2664" w:hanging="1512"/>
        </w:pPr>
        <w:rPr>
          <w:rFonts w:ascii="Symbol" w:hAnsi="Symbol" w:hint="default"/>
          <w:sz w:val="20"/>
        </w:rPr>
      </w:lvl>
    </w:lvlOverride>
  </w:num>
  <w:num w:numId="175">
    <w:abstractNumId w:val="640"/>
  </w:num>
  <w:num w:numId="176">
    <w:abstractNumId w:val="84"/>
  </w:num>
  <w:num w:numId="177">
    <w:abstractNumId w:val="74"/>
  </w:num>
  <w:num w:numId="178">
    <w:abstractNumId w:val="300"/>
  </w:num>
  <w:num w:numId="179">
    <w:abstractNumId w:val="280"/>
  </w:num>
  <w:num w:numId="180">
    <w:abstractNumId w:val="708"/>
  </w:num>
  <w:num w:numId="181">
    <w:abstractNumId w:val="588"/>
  </w:num>
  <w:num w:numId="182">
    <w:abstractNumId w:val="96"/>
  </w:num>
  <w:num w:numId="183">
    <w:abstractNumId w:val="162"/>
  </w:num>
  <w:num w:numId="184">
    <w:abstractNumId w:val="10"/>
    <w:lvlOverride w:ilvl="0">
      <w:lvl w:ilvl="0">
        <w:start w:val="1"/>
        <w:numFmt w:val="bullet"/>
        <w:lvlText w:val=""/>
        <w:legacy w:legacy="1" w:legacySpace="0" w:legacyIndent="-720"/>
        <w:lvlJc w:val="left"/>
        <w:rPr>
          <w:rFonts w:ascii="Symbol" w:hAnsi="Symbol" w:hint="default"/>
        </w:rPr>
      </w:lvl>
    </w:lvlOverride>
  </w:num>
  <w:num w:numId="185">
    <w:abstractNumId w:val="533"/>
  </w:num>
  <w:num w:numId="186">
    <w:abstractNumId w:val="741"/>
  </w:num>
  <w:num w:numId="187">
    <w:abstractNumId w:val="455"/>
  </w:num>
  <w:num w:numId="188">
    <w:abstractNumId w:val="353"/>
  </w:num>
  <w:num w:numId="189">
    <w:abstractNumId w:val="436"/>
  </w:num>
  <w:num w:numId="190">
    <w:abstractNumId w:val="510"/>
  </w:num>
  <w:num w:numId="191">
    <w:abstractNumId w:val="343"/>
  </w:num>
  <w:num w:numId="192">
    <w:abstractNumId w:val="173"/>
  </w:num>
  <w:num w:numId="193">
    <w:abstractNumId w:val="439"/>
  </w:num>
  <w:num w:numId="194">
    <w:abstractNumId w:val="478"/>
  </w:num>
  <w:num w:numId="195">
    <w:abstractNumId w:val="89"/>
  </w:num>
  <w:num w:numId="196">
    <w:abstractNumId w:val="214"/>
  </w:num>
  <w:num w:numId="197">
    <w:abstractNumId w:val="92"/>
  </w:num>
  <w:num w:numId="198">
    <w:abstractNumId w:val="76"/>
  </w:num>
  <w:num w:numId="199">
    <w:abstractNumId w:val="268"/>
  </w:num>
  <w:num w:numId="200">
    <w:abstractNumId w:val="576"/>
  </w:num>
  <w:num w:numId="201">
    <w:abstractNumId w:val="416"/>
  </w:num>
  <w:num w:numId="202">
    <w:abstractNumId w:val="530"/>
  </w:num>
  <w:num w:numId="203">
    <w:abstractNumId w:val="39"/>
  </w:num>
  <w:num w:numId="204">
    <w:abstractNumId w:val="351"/>
  </w:num>
  <w:num w:numId="205">
    <w:abstractNumId w:val="613"/>
  </w:num>
  <w:num w:numId="206">
    <w:abstractNumId w:val="145"/>
  </w:num>
  <w:num w:numId="207">
    <w:abstractNumId w:val="252"/>
  </w:num>
  <w:num w:numId="208">
    <w:abstractNumId w:val="66"/>
  </w:num>
  <w:num w:numId="209">
    <w:abstractNumId w:val="294"/>
  </w:num>
  <w:num w:numId="210">
    <w:abstractNumId w:val="149"/>
  </w:num>
  <w:num w:numId="211">
    <w:abstractNumId w:val="559"/>
  </w:num>
  <w:num w:numId="212">
    <w:abstractNumId w:val="636"/>
  </w:num>
  <w:num w:numId="213">
    <w:abstractNumId w:val="441"/>
  </w:num>
  <w:num w:numId="214">
    <w:abstractNumId w:val="716"/>
  </w:num>
  <w:num w:numId="215">
    <w:abstractNumId w:val="52"/>
  </w:num>
  <w:num w:numId="216">
    <w:abstractNumId w:val="284"/>
  </w:num>
  <w:num w:numId="217">
    <w:abstractNumId w:val="526"/>
  </w:num>
  <w:num w:numId="218">
    <w:abstractNumId w:val="67"/>
  </w:num>
  <w:num w:numId="219">
    <w:abstractNumId w:val="542"/>
  </w:num>
  <w:num w:numId="220">
    <w:abstractNumId w:val="635"/>
  </w:num>
  <w:num w:numId="221">
    <w:abstractNumId w:val="566"/>
  </w:num>
  <w:num w:numId="222">
    <w:abstractNumId w:val="23"/>
  </w:num>
  <w:num w:numId="223">
    <w:abstractNumId w:val="94"/>
  </w:num>
  <w:num w:numId="224">
    <w:abstractNumId w:val="357"/>
  </w:num>
  <w:num w:numId="225">
    <w:abstractNumId w:val="372"/>
  </w:num>
  <w:num w:numId="226">
    <w:abstractNumId w:val="561"/>
  </w:num>
  <w:num w:numId="227">
    <w:abstractNumId w:val="75"/>
  </w:num>
  <w:num w:numId="228">
    <w:abstractNumId w:val="687"/>
  </w:num>
  <w:num w:numId="229">
    <w:abstractNumId w:val="318"/>
  </w:num>
  <w:num w:numId="230">
    <w:abstractNumId w:val="127"/>
  </w:num>
  <w:num w:numId="231">
    <w:abstractNumId w:val="444"/>
  </w:num>
  <w:num w:numId="232">
    <w:abstractNumId w:val="379"/>
  </w:num>
  <w:num w:numId="233">
    <w:abstractNumId w:val="182"/>
  </w:num>
  <w:num w:numId="234">
    <w:abstractNumId w:val="622"/>
  </w:num>
  <w:num w:numId="235">
    <w:abstractNumId w:val="239"/>
  </w:num>
  <w:num w:numId="236">
    <w:abstractNumId w:val="189"/>
  </w:num>
  <w:num w:numId="237">
    <w:abstractNumId w:val="232"/>
  </w:num>
  <w:num w:numId="238">
    <w:abstractNumId w:val="385"/>
  </w:num>
  <w:num w:numId="239">
    <w:abstractNumId w:val="605"/>
  </w:num>
  <w:num w:numId="240">
    <w:abstractNumId w:val="304"/>
  </w:num>
  <w:num w:numId="241">
    <w:abstractNumId w:val="341"/>
  </w:num>
  <w:num w:numId="242">
    <w:abstractNumId w:val="128"/>
  </w:num>
  <w:num w:numId="243">
    <w:abstractNumId w:val="10"/>
    <w:lvlOverride w:ilvl="0">
      <w:lvl w:ilvl="0">
        <w:start w:val="5"/>
        <w:numFmt w:val="bullet"/>
        <w:lvlText w:val=""/>
        <w:legacy w:legacy="1" w:legacySpace="0" w:legacyIndent="1354"/>
        <w:lvlJc w:val="left"/>
        <w:pPr>
          <w:ind w:left="2708" w:hanging="1354"/>
        </w:pPr>
        <w:rPr>
          <w:b/>
        </w:rPr>
      </w:lvl>
    </w:lvlOverride>
  </w:num>
  <w:num w:numId="244">
    <w:abstractNumId w:val="10"/>
    <w:lvlOverride w:ilvl="0">
      <w:lvl w:ilvl="0">
        <w:start w:val="1"/>
        <w:numFmt w:val="bullet"/>
        <w:lvlText w:val=""/>
        <w:legacy w:legacy="1" w:legacySpace="0" w:legacyIndent="1512"/>
        <w:lvlJc w:val="left"/>
        <w:pPr>
          <w:ind w:left="2505" w:hanging="1512"/>
        </w:pPr>
        <w:rPr>
          <w:rFonts w:ascii="Symbol" w:hAnsi="Symbol" w:hint="default"/>
          <w:sz w:val="16"/>
        </w:rPr>
      </w:lvl>
    </w:lvlOverride>
  </w:num>
  <w:num w:numId="245">
    <w:abstractNumId w:val="10"/>
    <w:lvlOverride w:ilvl="0">
      <w:lvl w:ilvl="0">
        <w:start w:val="1"/>
        <w:numFmt w:val="bullet"/>
        <w:lvlText w:val=""/>
        <w:legacy w:legacy="1" w:legacySpace="0" w:legacyIndent="283"/>
        <w:lvlJc w:val="left"/>
        <w:pPr>
          <w:ind w:left="426" w:hanging="283"/>
        </w:pPr>
        <w:rPr>
          <w:rFonts w:ascii="Symbol" w:hAnsi="Symbol" w:hint="default"/>
        </w:rPr>
      </w:lvl>
    </w:lvlOverride>
  </w:num>
  <w:num w:numId="246">
    <w:abstractNumId w:val="457"/>
  </w:num>
  <w:num w:numId="247">
    <w:abstractNumId w:val="274"/>
  </w:num>
  <w:num w:numId="248">
    <w:abstractNumId w:val="181"/>
  </w:num>
  <w:num w:numId="249">
    <w:abstractNumId w:val="114"/>
  </w:num>
  <w:num w:numId="250">
    <w:abstractNumId w:val="540"/>
  </w:num>
  <w:num w:numId="251">
    <w:abstractNumId w:val="547"/>
  </w:num>
  <w:num w:numId="252">
    <w:abstractNumId w:val="10"/>
    <w:lvlOverride w:ilvl="0">
      <w:lvl w:ilvl="0">
        <w:start w:val="1"/>
        <w:numFmt w:val="bullet"/>
        <w:lvlText w:val=""/>
        <w:legacy w:legacy="1" w:legacySpace="0" w:legacyIndent="283"/>
        <w:lvlJc w:val="left"/>
        <w:pPr>
          <w:ind w:left="284" w:hanging="283"/>
        </w:pPr>
        <w:rPr>
          <w:rFonts w:ascii="Symbol" w:hAnsi="Symbol" w:hint="default"/>
        </w:rPr>
      </w:lvl>
    </w:lvlOverride>
  </w:num>
  <w:num w:numId="253">
    <w:abstractNumId w:val="426"/>
  </w:num>
  <w:num w:numId="254">
    <w:abstractNumId w:val="178"/>
  </w:num>
  <w:num w:numId="255">
    <w:abstractNumId w:val="555"/>
  </w:num>
  <w:num w:numId="256">
    <w:abstractNumId w:val="364"/>
  </w:num>
  <w:num w:numId="257">
    <w:abstractNumId w:val="489"/>
  </w:num>
  <w:num w:numId="258">
    <w:abstractNumId w:val="278"/>
  </w:num>
  <w:num w:numId="259">
    <w:abstractNumId w:val="692"/>
  </w:num>
  <w:num w:numId="260">
    <w:abstractNumId w:val="572"/>
  </w:num>
  <w:num w:numId="261">
    <w:abstractNumId w:val="654"/>
  </w:num>
  <w:num w:numId="262">
    <w:abstractNumId w:val="46"/>
  </w:num>
  <w:num w:numId="263">
    <w:abstractNumId w:val="536"/>
  </w:num>
  <w:num w:numId="264">
    <w:abstractNumId w:val="240"/>
  </w:num>
  <w:num w:numId="265">
    <w:abstractNumId w:val="468"/>
  </w:num>
  <w:num w:numId="266">
    <w:abstractNumId w:val="286"/>
  </w:num>
  <w:num w:numId="267">
    <w:abstractNumId w:val="700"/>
  </w:num>
  <w:num w:numId="268">
    <w:abstractNumId w:val="647"/>
  </w:num>
  <w:num w:numId="269">
    <w:abstractNumId w:val="277"/>
  </w:num>
  <w:num w:numId="270">
    <w:abstractNumId w:val="528"/>
  </w:num>
  <w:num w:numId="271">
    <w:abstractNumId w:val="123"/>
  </w:num>
  <w:num w:numId="272">
    <w:abstractNumId w:val="579"/>
  </w:num>
  <w:num w:numId="273">
    <w:abstractNumId w:val="283"/>
  </w:num>
  <w:num w:numId="274">
    <w:abstractNumId w:val="327"/>
  </w:num>
  <w:num w:numId="275">
    <w:abstractNumId w:val="484"/>
  </w:num>
  <w:num w:numId="276">
    <w:abstractNumId w:val="56"/>
  </w:num>
  <w:num w:numId="277">
    <w:abstractNumId w:val="434"/>
  </w:num>
  <w:num w:numId="278">
    <w:abstractNumId w:val="524"/>
  </w:num>
  <w:num w:numId="279">
    <w:abstractNumId w:val="682"/>
  </w:num>
  <w:num w:numId="280">
    <w:abstractNumId w:val="155"/>
  </w:num>
  <w:num w:numId="281">
    <w:abstractNumId w:val="256"/>
  </w:num>
  <w:num w:numId="282">
    <w:abstractNumId w:val="644"/>
  </w:num>
  <w:num w:numId="283">
    <w:abstractNumId w:val="683"/>
  </w:num>
  <w:num w:numId="284">
    <w:abstractNumId w:val="616"/>
  </w:num>
  <w:num w:numId="285">
    <w:abstractNumId w:val="195"/>
  </w:num>
  <w:num w:numId="286">
    <w:abstractNumId w:val="226"/>
  </w:num>
  <w:num w:numId="287">
    <w:abstractNumId w:val="45"/>
  </w:num>
  <w:num w:numId="288">
    <w:abstractNumId w:val="482"/>
  </w:num>
  <w:num w:numId="289">
    <w:abstractNumId w:val="603"/>
  </w:num>
  <w:num w:numId="290">
    <w:abstractNumId w:val="727"/>
  </w:num>
  <w:num w:numId="291">
    <w:abstractNumId w:val="432"/>
  </w:num>
  <w:num w:numId="292">
    <w:abstractNumId w:val="72"/>
  </w:num>
  <w:num w:numId="293">
    <w:abstractNumId w:val="440"/>
  </w:num>
  <w:num w:numId="294">
    <w:abstractNumId w:val="557"/>
  </w:num>
  <w:num w:numId="295">
    <w:abstractNumId w:val="150"/>
  </w:num>
  <w:num w:numId="296">
    <w:abstractNumId w:val="19"/>
  </w:num>
  <w:num w:numId="297">
    <w:abstractNumId w:val="606"/>
  </w:num>
  <w:num w:numId="298">
    <w:abstractNumId w:val="519"/>
  </w:num>
  <w:num w:numId="299">
    <w:abstractNumId w:val="30"/>
  </w:num>
  <w:num w:numId="300">
    <w:abstractNumId w:val="620"/>
  </w:num>
  <w:num w:numId="301">
    <w:abstractNumId w:val="596"/>
  </w:num>
  <w:num w:numId="302">
    <w:abstractNumId w:val="395"/>
  </w:num>
  <w:num w:numId="303">
    <w:abstractNumId w:val="187"/>
  </w:num>
  <w:num w:numId="304">
    <w:abstractNumId w:val="131"/>
  </w:num>
  <w:num w:numId="305">
    <w:abstractNumId w:val="344"/>
  </w:num>
  <w:num w:numId="306">
    <w:abstractNumId w:val="748"/>
  </w:num>
  <w:num w:numId="307">
    <w:abstractNumId w:val="442"/>
  </w:num>
  <w:num w:numId="308">
    <w:abstractNumId w:val="480"/>
  </w:num>
  <w:num w:numId="309">
    <w:abstractNumId w:val="531"/>
  </w:num>
  <w:num w:numId="310">
    <w:abstractNumId w:val="212"/>
  </w:num>
  <w:num w:numId="311">
    <w:abstractNumId w:val="185"/>
  </w:num>
  <w:num w:numId="312">
    <w:abstractNumId w:val="324"/>
  </w:num>
  <w:num w:numId="313">
    <w:abstractNumId w:val="629"/>
  </w:num>
  <w:num w:numId="314">
    <w:abstractNumId w:val="348"/>
  </w:num>
  <w:num w:numId="315">
    <w:abstractNumId w:val="44"/>
  </w:num>
  <w:num w:numId="316">
    <w:abstractNumId w:val="254"/>
  </w:num>
  <w:num w:numId="317">
    <w:abstractNumId w:val="113"/>
  </w:num>
  <w:num w:numId="318">
    <w:abstractNumId w:val="222"/>
  </w:num>
  <w:num w:numId="319">
    <w:abstractNumId w:val="699"/>
  </w:num>
  <w:num w:numId="320">
    <w:abstractNumId w:val="437"/>
  </w:num>
  <w:num w:numId="321">
    <w:abstractNumId w:val="330"/>
  </w:num>
  <w:num w:numId="322">
    <w:abstractNumId w:val="338"/>
  </w:num>
  <w:num w:numId="323">
    <w:abstractNumId w:val="336"/>
  </w:num>
  <w:num w:numId="324">
    <w:abstractNumId w:val="397"/>
  </w:num>
  <w:num w:numId="325">
    <w:abstractNumId w:val="648"/>
  </w:num>
  <w:num w:numId="326">
    <w:abstractNumId w:val="79"/>
  </w:num>
  <w:num w:numId="327">
    <w:abstractNumId w:val="722"/>
  </w:num>
  <w:num w:numId="328">
    <w:abstractNumId w:val="653"/>
  </w:num>
  <w:num w:numId="329">
    <w:abstractNumId w:val="410"/>
  </w:num>
  <w:num w:numId="330">
    <w:abstractNumId w:val="518"/>
  </w:num>
  <w:num w:numId="331">
    <w:abstractNumId w:val="497"/>
  </w:num>
  <w:num w:numId="332">
    <w:abstractNumId w:val="221"/>
  </w:num>
  <w:num w:numId="333">
    <w:abstractNumId w:val="425"/>
  </w:num>
  <w:num w:numId="334">
    <w:abstractNumId w:val="48"/>
  </w:num>
  <w:num w:numId="335">
    <w:abstractNumId w:val="306"/>
  </w:num>
  <w:num w:numId="336">
    <w:abstractNumId w:val="117"/>
  </w:num>
  <w:num w:numId="337">
    <w:abstractNumId w:val="736"/>
  </w:num>
  <w:num w:numId="338">
    <w:abstractNumId w:val="393"/>
  </w:num>
  <w:num w:numId="339">
    <w:abstractNumId w:val="745"/>
  </w:num>
  <w:num w:numId="340">
    <w:abstractNumId w:val="743"/>
  </w:num>
  <w:num w:numId="341">
    <w:abstractNumId w:val="285"/>
  </w:num>
  <w:num w:numId="342">
    <w:abstractNumId w:val="302"/>
  </w:num>
  <w:num w:numId="343">
    <w:abstractNumId w:val="354"/>
  </w:num>
  <w:num w:numId="344">
    <w:abstractNumId w:val="164"/>
  </w:num>
  <w:num w:numId="345">
    <w:abstractNumId w:val="598"/>
  </w:num>
  <w:num w:numId="346">
    <w:abstractNumId w:val="90"/>
  </w:num>
  <w:num w:numId="347">
    <w:abstractNumId w:val="729"/>
  </w:num>
  <w:num w:numId="348">
    <w:abstractNumId w:val="255"/>
  </w:num>
  <w:num w:numId="349">
    <w:abstractNumId w:val="448"/>
  </w:num>
  <w:num w:numId="350">
    <w:abstractNumId w:val="308"/>
  </w:num>
  <w:num w:numId="351">
    <w:abstractNumId w:val="170"/>
  </w:num>
  <w:num w:numId="352">
    <w:abstractNumId w:val="10"/>
    <w:lvlOverride w:ilvl="0">
      <w:lvl w:ilvl="0">
        <w:start w:val="1"/>
        <w:numFmt w:val="bullet"/>
        <w:lvlText w:val=""/>
        <w:legacy w:legacy="1" w:legacySpace="0" w:legacyIndent="397"/>
        <w:lvlJc w:val="left"/>
        <w:pPr>
          <w:ind w:left="397" w:hanging="397"/>
        </w:pPr>
        <w:rPr>
          <w:rFonts w:ascii="Monotype Sorts" w:hAnsi="Monotype Sorts" w:hint="default"/>
          <w:sz w:val="28"/>
        </w:rPr>
      </w:lvl>
    </w:lvlOverride>
  </w:num>
  <w:num w:numId="353">
    <w:abstractNumId w:val="734"/>
  </w:num>
  <w:num w:numId="354">
    <w:abstractNumId w:val="734"/>
    <w:lvlOverride w:ilvl="0">
      <w:lvl w:ilvl="0">
        <w:start w:val="1"/>
        <w:numFmt w:val="decimal"/>
        <w:lvlText w:val="%1."/>
        <w:legacy w:legacy="1" w:legacySpace="0" w:legacyIndent="283"/>
        <w:lvlJc w:val="left"/>
        <w:pPr>
          <w:ind w:left="283" w:hanging="283"/>
        </w:pPr>
      </w:lvl>
    </w:lvlOverride>
  </w:num>
  <w:num w:numId="355">
    <w:abstractNumId w:val="29"/>
  </w:num>
  <w:num w:numId="356">
    <w:abstractNumId w:val="29"/>
    <w:lvlOverride w:ilvl="0">
      <w:lvl w:ilvl="0">
        <w:start w:val="1"/>
        <w:numFmt w:val="decimal"/>
        <w:lvlText w:val="%1."/>
        <w:legacy w:legacy="1" w:legacySpace="0" w:legacyIndent="283"/>
        <w:lvlJc w:val="left"/>
        <w:pPr>
          <w:ind w:left="283" w:hanging="283"/>
        </w:pPr>
      </w:lvl>
    </w:lvlOverride>
  </w:num>
  <w:num w:numId="357">
    <w:abstractNumId w:val="742"/>
  </w:num>
  <w:num w:numId="358">
    <w:abstractNumId w:val="742"/>
    <w:lvlOverride w:ilvl="0">
      <w:lvl w:ilvl="0">
        <w:start w:val="5"/>
        <w:numFmt w:val="lowerLetter"/>
        <w:lvlText w:val="%1)"/>
        <w:legacy w:legacy="1" w:legacySpace="0" w:legacyIndent="283"/>
        <w:lvlJc w:val="left"/>
        <w:pPr>
          <w:ind w:left="283" w:hanging="283"/>
        </w:pPr>
      </w:lvl>
    </w:lvlOverride>
  </w:num>
  <w:num w:numId="359">
    <w:abstractNumId w:val="744"/>
  </w:num>
  <w:num w:numId="360">
    <w:abstractNumId w:val="253"/>
  </w:num>
  <w:num w:numId="361">
    <w:abstractNumId w:val="166"/>
  </w:num>
  <w:num w:numId="362">
    <w:abstractNumId w:val="179"/>
  </w:num>
  <w:num w:numId="363">
    <w:abstractNumId w:val="337"/>
  </w:num>
  <w:num w:numId="364">
    <w:abstractNumId w:val="279"/>
  </w:num>
  <w:num w:numId="365">
    <w:abstractNumId w:val="329"/>
  </w:num>
  <w:num w:numId="366">
    <w:abstractNumId w:val="626"/>
  </w:num>
  <w:num w:numId="367">
    <w:abstractNumId w:val="625"/>
  </w:num>
  <w:num w:numId="368">
    <w:abstractNumId w:val="408"/>
  </w:num>
  <w:num w:numId="369">
    <w:abstractNumId w:val="331"/>
  </w:num>
  <w:num w:numId="370">
    <w:abstractNumId w:val="370"/>
  </w:num>
  <w:num w:numId="371">
    <w:abstractNumId w:val="93"/>
  </w:num>
  <w:num w:numId="372">
    <w:abstractNumId w:val="718"/>
  </w:num>
  <w:num w:numId="373">
    <w:abstractNumId w:val="580"/>
  </w:num>
  <w:num w:numId="374">
    <w:abstractNumId w:val="258"/>
  </w:num>
  <w:num w:numId="375">
    <w:abstractNumId w:val="575"/>
  </w:num>
  <w:num w:numId="376">
    <w:abstractNumId w:val="459"/>
  </w:num>
  <w:num w:numId="377">
    <w:abstractNumId w:val="704"/>
  </w:num>
  <w:num w:numId="378">
    <w:abstractNumId w:val="210"/>
  </w:num>
  <w:num w:numId="379">
    <w:abstractNumId w:val="382"/>
  </w:num>
  <w:num w:numId="380">
    <w:abstractNumId w:val="677"/>
  </w:num>
  <w:num w:numId="381">
    <w:abstractNumId w:val="272"/>
  </w:num>
  <w:num w:numId="382">
    <w:abstractNumId w:val="168"/>
  </w:num>
  <w:num w:numId="383">
    <w:abstractNumId w:val="633"/>
  </w:num>
  <w:num w:numId="384">
    <w:abstractNumId w:val="637"/>
  </w:num>
  <w:num w:numId="385">
    <w:abstractNumId w:val="521"/>
  </w:num>
  <w:num w:numId="386">
    <w:abstractNumId w:val="50"/>
  </w:num>
  <w:num w:numId="387">
    <w:abstractNumId w:val="661"/>
  </w:num>
  <w:num w:numId="388">
    <w:abstractNumId w:val="660"/>
  </w:num>
  <w:num w:numId="389">
    <w:abstractNumId w:val="479"/>
  </w:num>
  <w:num w:numId="390">
    <w:abstractNumId w:val="563"/>
  </w:num>
  <w:num w:numId="391">
    <w:abstractNumId w:val="582"/>
  </w:num>
  <w:num w:numId="392">
    <w:abstractNumId w:val="565"/>
  </w:num>
  <w:num w:numId="393">
    <w:abstractNumId w:val="160"/>
  </w:num>
  <w:num w:numId="394">
    <w:abstractNumId w:val="316"/>
  </w:num>
  <w:num w:numId="395">
    <w:abstractNumId w:val="601"/>
  </w:num>
  <w:num w:numId="396">
    <w:abstractNumId w:val="325"/>
  </w:num>
  <w:num w:numId="397">
    <w:abstractNumId w:val="715"/>
  </w:num>
  <w:num w:numId="398">
    <w:abstractNumId w:val="263"/>
  </w:num>
  <w:num w:numId="399">
    <w:abstractNumId w:val="59"/>
  </w:num>
  <w:num w:numId="400">
    <w:abstractNumId w:val="292"/>
  </w:num>
  <w:num w:numId="401">
    <w:abstractNumId w:val="755"/>
  </w:num>
  <w:num w:numId="402">
    <w:abstractNumId w:val="310"/>
  </w:num>
  <w:num w:numId="403">
    <w:abstractNumId w:val="290"/>
  </w:num>
  <w:num w:numId="404">
    <w:abstractNumId w:val="669"/>
  </w:num>
  <w:num w:numId="405">
    <w:abstractNumId w:val="753"/>
  </w:num>
  <w:num w:numId="406">
    <w:abstractNumId w:val="423"/>
  </w:num>
  <w:num w:numId="407">
    <w:abstractNumId w:val="309"/>
  </w:num>
  <w:num w:numId="408">
    <w:abstractNumId w:val="485"/>
  </w:num>
  <w:num w:numId="409">
    <w:abstractNumId w:val="676"/>
  </w:num>
  <w:num w:numId="410">
    <w:abstractNumId w:val="595"/>
  </w:num>
  <w:num w:numId="411">
    <w:abstractNumId w:val="21"/>
  </w:num>
  <w:num w:numId="412">
    <w:abstractNumId w:val="523"/>
  </w:num>
  <w:num w:numId="413">
    <w:abstractNumId w:val="404"/>
  </w:num>
  <w:num w:numId="414">
    <w:abstractNumId w:val="585"/>
  </w:num>
  <w:num w:numId="415">
    <w:abstractNumId w:val="562"/>
  </w:num>
  <w:num w:numId="416">
    <w:abstractNumId w:val="658"/>
  </w:num>
  <w:num w:numId="417">
    <w:abstractNumId w:val="259"/>
  </w:num>
  <w:num w:numId="418">
    <w:abstractNumId w:val="238"/>
  </w:num>
  <w:num w:numId="419">
    <w:abstractNumId w:val="392"/>
  </w:num>
  <w:num w:numId="420">
    <w:abstractNumId w:val="550"/>
  </w:num>
  <w:num w:numId="421">
    <w:abstractNumId w:val="204"/>
  </w:num>
  <w:num w:numId="422">
    <w:abstractNumId w:val="544"/>
  </w:num>
  <w:num w:numId="423">
    <w:abstractNumId w:val="481"/>
  </w:num>
  <w:num w:numId="424">
    <w:abstractNumId w:val="449"/>
  </w:num>
  <w:num w:numId="425">
    <w:abstractNumId w:val="217"/>
  </w:num>
  <w:num w:numId="426">
    <w:abstractNumId w:val="630"/>
  </w:num>
  <w:num w:numId="427">
    <w:abstractNumId w:val="740"/>
  </w:num>
  <w:num w:numId="428">
    <w:abstractNumId w:val="205"/>
  </w:num>
  <w:num w:numId="429">
    <w:abstractNumId w:val="623"/>
  </w:num>
  <w:num w:numId="430">
    <w:abstractNumId w:val="539"/>
  </w:num>
  <w:num w:numId="431">
    <w:abstractNumId w:val="359"/>
  </w:num>
  <w:num w:numId="432">
    <w:abstractNumId w:val="705"/>
  </w:num>
  <w:num w:numId="433">
    <w:abstractNumId w:val="430"/>
  </w:num>
  <w:num w:numId="434">
    <w:abstractNumId w:val="473"/>
  </w:num>
  <w:num w:numId="435">
    <w:abstractNumId w:val="366"/>
  </w:num>
  <w:num w:numId="436">
    <w:abstractNumId w:val="643"/>
  </w:num>
  <w:num w:numId="437">
    <w:abstractNumId w:val="293"/>
  </w:num>
  <w:num w:numId="438">
    <w:abstractNumId w:val="553"/>
  </w:num>
  <w:num w:numId="439">
    <w:abstractNumId w:val="207"/>
  </w:num>
  <w:num w:numId="440">
    <w:abstractNumId w:val="141"/>
  </w:num>
  <w:num w:numId="441">
    <w:abstractNumId w:val="49"/>
  </w:num>
  <w:num w:numId="442">
    <w:abstractNumId w:val="194"/>
  </w:num>
  <w:num w:numId="443">
    <w:abstractNumId w:val="463"/>
  </w:num>
  <w:num w:numId="444">
    <w:abstractNumId w:val="144"/>
  </w:num>
  <w:num w:numId="445">
    <w:abstractNumId w:val="147"/>
  </w:num>
  <w:num w:numId="446">
    <w:abstractNumId w:val="103"/>
  </w:num>
  <w:num w:numId="447">
    <w:abstractNumId w:val="140"/>
  </w:num>
  <w:num w:numId="448">
    <w:abstractNumId w:val="609"/>
  </w:num>
  <w:num w:numId="449">
    <w:abstractNumId w:val="276"/>
  </w:num>
  <w:num w:numId="450">
    <w:abstractNumId w:val="659"/>
  </w:num>
  <w:num w:numId="451">
    <w:abstractNumId w:val="428"/>
  </w:num>
  <w:num w:numId="452">
    <w:abstractNumId w:val="411"/>
  </w:num>
  <w:num w:numId="453">
    <w:abstractNumId w:val="260"/>
  </w:num>
  <w:num w:numId="454">
    <w:abstractNumId w:val="674"/>
  </w:num>
  <w:num w:numId="455">
    <w:abstractNumId w:val="47"/>
  </w:num>
  <w:num w:numId="456">
    <w:abstractNumId w:val="656"/>
  </w:num>
  <w:num w:numId="457">
    <w:abstractNumId w:val="288"/>
  </w:num>
  <w:num w:numId="458">
    <w:abstractNumId w:val="183"/>
  </w:num>
  <w:num w:numId="459">
    <w:abstractNumId w:val="384"/>
  </w:num>
  <w:num w:numId="460">
    <w:abstractNumId w:val="376"/>
  </w:num>
  <w:num w:numId="461">
    <w:abstractNumId w:val="751"/>
  </w:num>
  <w:num w:numId="462">
    <w:abstractNumId w:val="724"/>
  </w:num>
  <w:num w:numId="463">
    <w:abstractNumId w:val="251"/>
  </w:num>
  <w:num w:numId="464">
    <w:abstractNumId w:val="303"/>
  </w:num>
  <w:num w:numId="465">
    <w:abstractNumId w:val="488"/>
  </w:num>
  <w:num w:numId="466">
    <w:abstractNumId w:val="502"/>
  </w:num>
  <w:num w:numId="467">
    <w:abstractNumId w:val="662"/>
  </w:num>
  <w:num w:numId="468">
    <w:abstractNumId w:val="10"/>
    <w:lvlOverride w:ilvl="0">
      <w:lvl w:ilvl="0">
        <w:start w:val="1"/>
        <w:numFmt w:val="bullet"/>
        <w:lvlText w:val=""/>
        <w:legacy w:legacy="1" w:legacySpace="0" w:legacyIndent="-1416"/>
        <w:lvlJc w:val="left"/>
        <w:pPr>
          <w:ind w:left="-1132" w:firstLine="1416"/>
        </w:pPr>
        <w:rPr>
          <w:rFonts w:ascii="Symbol" w:hAnsi="Symbol" w:hint="default"/>
        </w:rPr>
      </w:lvl>
    </w:lvlOverride>
  </w:num>
  <w:num w:numId="469">
    <w:abstractNumId w:val="451"/>
  </w:num>
  <w:num w:numId="470">
    <w:abstractNumId w:val="68"/>
  </w:num>
  <w:num w:numId="471">
    <w:abstractNumId w:val="642"/>
  </w:num>
  <w:num w:numId="472">
    <w:abstractNumId w:val="591"/>
  </w:num>
  <w:num w:numId="473">
    <w:abstractNumId w:val="615"/>
  </w:num>
  <w:num w:numId="474">
    <w:abstractNumId w:val="22"/>
  </w:num>
  <w:num w:numId="475">
    <w:abstractNumId w:val="61"/>
  </w:num>
  <w:num w:numId="476">
    <w:abstractNumId w:val="383"/>
  </w:num>
  <w:num w:numId="477">
    <w:abstractNumId w:val="671"/>
  </w:num>
  <w:num w:numId="478">
    <w:abstractNumId w:val="58"/>
  </w:num>
  <w:num w:numId="479">
    <w:abstractNumId w:val="199"/>
  </w:num>
  <w:num w:numId="480">
    <w:abstractNumId w:val="27"/>
  </w:num>
  <w:num w:numId="481">
    <w:abstractNumId w:val="121"/>
  </w:num>
  <w:num w:numId="482">
    <w:abstractNumId w:val="211"/>
  </w:num>
  <w:num w:numId="483">
    <w:abstractNumId w:val="229"/>
  </w:num>
  <w:num w:numId="484">
    <w:abstractNumId w:val="28"/>
  </w:num>
  <w:num w:numId="485">
    <w:abstractNumId w:val="71"/>
  </w:num>
  <w:num w:numId="486">
    <w:abstractNumId w:val="223"/>
  </w:num>
  <w:num w:numId="487">
    <w:abstractNumId w:val="445"/>
  </w:num>
  <w:num w:numId="488">
    <w:abstractNumId w:val="506"/>
  </w:num>
  <w:num w:numId="489">
    <w:abstractNumId w:val="311"/>
  </w:num>
  <w:num w:numId="490">
    <w:abstractNumId w:val="628"/>
  </w:num>
  <w:num w:numId="491">
    <w:abstractNumId w:val="10"/>
    <w:lvlOverride w:ilvl="0">
      <w:lvl w:ilvl="0">
        <w:numFmt w:val="bullet"/>
        <w:lvlText w:val="-"/>
        <w:legacy w:legacy="1" w:legacySpace="0" w:legacyIndent="360"/>
        <w:lvlJc w:val="left"/>
        <w:pPr>
          <w:ind w:left="360" w:hanging="360"/>
        </w:pPr>
      </w:lvl>
    </w:lvlOverride>
  </w:num>
  <w:num w:numId="492">
    <w:abstractNumId w:val="738"/>
  </w:num>
  <w:num w:numId="493">
    <w:abstractNumId w:val="188"/>
  </w:num>
  <w:num w:numId="494">
    <w:abstractNumId w:val="64"/>
  </w:num>
  <w:num w:numId="495">
    <w:abstractNumId w:val="396"/>
  </w:num>
  <w:num w:numId="496">
    <w:abstractNumId w:val="241"/>
  </w:num>
  <w:num w:numId="497">
    <w:abstractNumId w:val="513"/>
  </w:num>
  <w:num w:numId="498">
    <w:abstractNumId w:val="119"/>
  </w:num>
  <w:num w:numId="499">
    <w:abstractNumId w:val="60"/>
  </w:num>
  <w:num w:numId="500">
    <w:abstractNumId w:val="721"/>
  </w:num>
  <w:num w:numId="501">
    <w:abstractNumId w:val="208"/>
  </w:num>
  <w:num w:numId="502">
    <w:abstractNumId w:val="315"/>
  </w:num>
  <w:num w:numId="503">
    <w:abstractNumId w:val="600"/>
  </w:num>
  <w:num w:numId="504">
    <w:abstractNumId w:val="477"/>
  </w:num>
  <w:num w:numId="505">
    <w:abstractNumId w:val="735"/>
  </w:num>
  <w:num w:numId="506">
    <w:abstractNumId w:val="504"/>
  </w:num>
  <w:num w:numId="507">
    <w:abstractNumId w:val="83"/>
  </w:num>
  <w:num w:numId="508">
    <w:abstractNumId w:val="476"/>
  </w:num>
  <w:num w:numId="509">
    <w:abstractNumId w:val="573"/>
  </w:num>
  <w:num w:numId="510">
    <w:abstractNumId w:val="298"/>
  </w:num>
  <w:num w:numId="511">
    <w:abstractNumId w:val="435"/>
  </w:num>
  <w:num w:numId="512">
    <w:abstractNumId w:val="420"/>
  </w:num>
  <w:num w:numId="513">
    <w:abstractNumId w:val="673"/>
  </w:num>
  <w:num w:numId="514">
    <w:abstractNumId w:val="347"/>
  </w:num>
  <w:num w:numId="515">
    <w:abstractNumId w:val="137"/>
  </w:num>
  <w:num w:numId="516">
    <w:abstractNumId w:val="514"/>
  </w:num>
  <w:num w:numId="517">
    <w:abstractNumId w:val="732"/>
  </w:num>
  <w:num w:numId="518">
    <w:abstractNumId w:val="709"/>
  </w:num>
  <w:num w:numId="519">
    <w:abstractNumId w:val="447"/>
  </w:num>
  <w:num w:numId="520">
    <w:abstractNumId w:val="490"/>
  </w:num>
  <w:num w:numId="521">
    <w:abstractNumId w:val="321"/>
  </w:num>
  <w:num w:numId="522">
    <w:abstractNumId w:val="695"/>
  </w:num>
  <w:num w:numId="523">
    <w:abstractNumId w:val="517"/>
  </w:num>
  <w:num w:numId="524">
    <w:abstractNumId w:val="138"/>
  </w:num>
  <w:num w:numId="525">
    <w:abstractNumId w:val="287"/>
  </w:num>
  <w:num w:numId="526">
    <w:abstractNumId w:val="754"/>
  </w:num>
  <w:num w:numId="527">
    <w:abstractNumId w:val="174"/>
  </w:num>
  <w:num w:numId="528">
    <w:abstractNumId w:val="54"/>
  </w:num>
  <w:num w:numId="529">
    <w:abstractNumId w:val="634"/>
  </w:num>
  <w:num w:numId="530">
    <w:abstractNumId w:val="314"/>
  </w:num>
  <w:num w:numId="531">
    <w:abstractNumId w:val="402"/>
  </w:num>
  <w:num w:numId="532">
    <w:abstractNumId w:val="684"/>
  </w:num>
  <w:num w:numId="533">
    <w:abstractNumId w:val="305"/>
  </w:num>
  <w:num w:numId="534">
    <w:abstractNumId w:val="261"/>
  </w:num>
  <w:num w:numId="535">
    <w:abstractNumId w:val="154"/>
  </w:num>
  <w:num w:numId="536">
    <w:abstractNumId w:val="570"/>
  </w:num>
  <w:num w:numId="537">
    <w:abstractNumId w:val="638"/>
  </w:num>
  <w:num w:numId="538">
    <w:abstractNumId w:val="158"/>
  </w:num>
  <w:num w:numId="539">
    <w:abstractNumId w:val="106"/>
  </w:num>
  <w:num w:numId="540">
    <w:abstractNumId w:val="87"/>
  </w:num>
  <w:num w:numId="541">
    <w:abstractNumId w:val="688"/>
  </w:num>
  <w:num w:numId="542">
    <w:abstractNumId w:val="649"/>
  </w:num>
  <w:num w:numId="543">
    <w:abstractNumId w:val="32"/>
  </w:num>
  <w:num w:numId="544">
    <w:abstractNumId w:val="627"/>
  </w:num>
  <w:num w:numId="545">
    <w:abstractNumId w:val="248"/>
  </w:num>
  <w:num w:numId="546">
    <w:abstractNumId w:val="693"/>
  </w:num>
  <w:num w:numId="547">
    <w:abstractNumId w:val="116"/>
  </w:num>
  <w:num w:numId="548">
    <w:abstractNumId w:val="414"/>
  </w:num>
  <w:num w:numId="549">
    <w:abstractNumId w:val="312"/>
  </w:num>
  <w:num w:numId="550">
    <w:abstractNumId w:val="663"/>
  </w:num>
  <w:num w:numId="551">
    <w:abstractNumId w:val="234"/>
  </w:num>
  <w:num w:numId="552">
    <w:abstractNumId w:val="581"/>
  </w:num>
  <w:num w:numId="553">
    <w:abstractNumId w:val="568"/>
  </w:num>
  <w:num w:numId="554">
    <w:abstractNumId w:val="146"/>
  </w:num>
  <w:num w:numId="555">
    <w:abstractNumId w:val="477"/>
    <w:lvlOverride w:ilvl="0">
      <w:startOverride w:val="10"/>
    </w:lvlOverride>
  </w:num>
  <w:num w:numId="556">
    <w:abstractNumId w:val="190"/>
  </w:num>
  <w:num w:numId="557">
    <w:abstractNumId w:val="391"/>
  </w:num>
  <w:num w:numId="558">
    <w:abstractNumId w:val="20"/>
  </w:num>
  <w:num w:numId="559">
    <w:abstractNumId w:val="249"/>
  </w:num>
  <w:num w:numId="560">
    <w:abstractNumId w:val="267"/>
  </w:num>
  <w:num w:numId="561">
    <w:abstractNumId w:val="415"/>
  </w:num>
  <w:num w:numId="562">
    <w:abstractNumId w:val="454"/>
  </w:num>
  <w:num w:numId="563">
    <w:abstractNumId w:val="433"/>
  </w:num>
  <w:num w:numId="564">
    <w:abstractNumId w:val="548"/>
  </w:num>
  <w:num w:numId="565">
    <w:abstractNumId w:val="196"/>
  </w:num>
  <w:num w:numId="566">
    <w:abstractNumId w:val="731"/>
  </w:num>
  <w:num w:numId="567">
    <w:abstractNumId w:val="571"/>
  </w:num>
  <w:num w:numId="568">
    <w:abstractNumId w:val="569"/>
  </w:num>
  <w:num w:numId="569">
    <w:abstractNumId w:val="556"/>
  </w:num>
  <w:num w:numId="570">
    <w:abstractNumId w:val="564"/>
  </w:num>
  <w:num w:numId="571">
    <w:abstractNumId w:val="551"/>
  </w:num>
  <w:num w:numId="572">
    <w:abstractNumId w:val="427"/>
  </w:num>
  <w:num w:numId="573">
    <w:abstractNumId w:val="281"/>
  </w:num>
  <w:num w:numId="574">
    <w:abstractNumId w:val="326"/>
  </w:num>
  <w:num w:numId="575">
    <w:abstractNumId w:val="369"/>
  </w:num>
  <w:num w:numId="576">
    <w:abstractNumId w:val="494"/>
  </w:num>
  <w:num w:numId="577">
    <w:abstractNumId w:val="696"/>
  </w:num>
  <w:num w:numId="578">
    <w:abstractNumId w:val="711"/>
  </w:num>
  <w:num w:numId="579">
    <w:abstractNumId w:val="509"/>
  </w:num>
  <w:num w:numId="580">
    <w:abstractNumId w:val="545"/>
  </w:num>
  <w:num w:numId="581">
    <w:abstractNumId w:val="639"/>
  </w:num>
  <w:num w:numId="582">
    <w:abstractNumId w:val="461"/>
  </w:num>
  <w:num w:numId="583">
    <w:abstractNumId w:val="403"/>
  </w:num>
  <w:num w:numId="584">
    <w:abstractNumId w:val="111"/>
  </w:num>
  <w:num w:numId="585">
    <w:abstractNumId w:val="126"/>
  </w:num>
  <w:num w:numId="586">
    <w:abstractNumId w:val="231"/>
  </w:num>
  <w:num w:numId="587">
    <w:abstractNumId w:val="503"/>
  </w:num>
  <w:num w:numId="588">
    <w:abstractNumId w:val="319"/>
  </w:num>
  <w:num w:numId="589">
    <w:abstractNumId w:val="301"/>
  </w:num>
  <w:num w:numId="590">
    <w:abstractNumId w:val="672"/>
  </w:num>
  <w:num w:numId="591">
    <w:abstractNumId w:val="167"/>
  </w:num>
  <w:num w:numId="592">
    <w:abstractNumId w:val="334"/>
  </w:num>
  <w:num w:numId="593">
    <w:abstractNumId w:val="586"/>
  </w:num>
  <w:num w:numId="594">
    <w:abstractNumId w:val="177"/>
  </w:num>
  <w:num w:numId="595">
    <w:abstractNumId w:val="612"/>
  </w:num>
  <w:num w:numId="596">
    <w:abstractNumId w:val="516"/>
  </w:num>
  <w:num w:numId="597">
    <w:abstractNumId w:val="266"/>
  </w:num>
  <w:num w:numId="598">
    <w:abstractNumId w:val="593"/>
  </w:num>
  <w:num w:numId="599">
    <w:abstractNumId w:val="698"/>
  </w:num>
  <w:num w:numId="600">
    <w:abstractNumId w:val="495"/>
  </w:num>
  <w:num w:numId="601">
    <w:abstractNumId w:val="549"/>
  </w:num>
  <w:num w:numId="602">
    <w:abstractNumId w:val="668"/>
  </w:num>
  <w:num w:numId="603">
    <w:abstractNumId w:val="618"/>
  </w:num>
  <w:num w:numId="604">
    <w:abstractNumId w:val="611"/>
  </w:num>
  <w:num w:numId="605">
    <w:abstractNumId w:val="86"/>
  </w:num>
  <w:num w:numId="606">
    <w:abstractNumId w:val="752"/>
  </w:num>
  <w:num w:numId="607">
    <w:abstractNumId w:val="317"/>
  </w:num>
  <w:num w:numId="608">
    <w:abstractNumId w:val="583"/>
  </w:num>
  <w:num w:numId="609">
    <w:abstractNumId w:val="163"/>
  </w:num>
  <w:num w:numId="610">
    <w:abstractNumId w:val="483"/>
  </w:num>
  <w:num w:numId="611">
    <w:abstractNumId w:val="507"/>
  </w:num>
  <w:num w:numId="612">
    <w:abstractNumId w:val="690"/>
  </w:num>
  <w:num w:numId="613">
    <w:abstractNumId w:val="235"/>
  </w:num>
  <w:num w:numId="614">
    <w:abstractNumId w:val="322"/>
  </w:num>
  <w:num w:numId="615">
    <w:abstractNumId w:val="407"/>
  </w:num>
  <w:num w:numId="616">
    <w:abstractNumId w:val="320"/>
  </w:num>
  <w:num w:numId="617">
    <w:abstractNumId w:val="161"/>
  </w:num>
  <w:num w:numId="618">
    <w:abstractNumId w:val="538"/>
  </w:num>
  <w:num w:numId="619">
    <w:abstractNumId w:val="159"/>
  </w:num>
  <w:num w:numId="620">
    <w:abstractNumId w:val="130"/>
  </w:num>
  <w:num w:numId="621">
    <w:abstractNumId w:val="291"/>
  </w:num>
  <w:num w:numId="622">
    <w:abstractNumId w:val="418"/>
  </w:num>
  <w:num w:numId="623">
    <w:abstractNumId w:val="247"/>
  </w:num>
  <w:num w:numId="624">
    <w:abstractNumId w:val="714"/>
  </w:num>
  <w:num w:numId="625">
    <w:abstractNumId w:val="720"/>
  </w:num>
  <w:num w:numId="626">
    <w:abstractNumId w:val="118"/>
  </w:num>
  <w:num w:numId="627">
    <w:abstractNumId w:val="500"/>
  </w:num>
  <w:num w:numId="628">
    <w:abstractNumId w:val="323"/>
  </w:num>
  <w:num w:numId="629">
    <w:abstractNumId w:val="340"/>
  </w:num>
  <w:num w:numId="630">
    <w:abstractNumId w:val="475"/>
  </w:num>
  <w:num w:numId="631">
    <w:abstractNumId w:val="496"/>
  </w:num>
  <w:num w:numId="632">
    <w:abstractNumId w:val="462"/>
  </w:num>
  <w:num w:numId="633">
    <w:abstractNumId w:val="431"/>
  </w:num>
  <w:num w:numId="634">
    <w:abstractNumId w:val="216"/>
  </w:num>
  <w:num w:numId="635">
    <w:abstractNumId w:val="349"/>
  </w:num>
  <w:num w:numId="636">
    <w:abstractNumId w:val="200"/>
  </w:num>
  <w:num w:numId="637">
    <w:abstractNumId w:val="728"/>
  </w:num>
  <w:num w:numId="638">
    <w:abstractNumId w:val="558"/>
  </w:num>
  <w:num w:numId="639">
    <w:abstractNumId w:val="186"/>
  </w:num>
  <w:num w:numId="640">
    <w:abstractNumId w:val="275"/>
  </w:num>
  <w:num w:numId="641">
    <w:abstractNumId w:val="651"/>
  </w:num>
  <w:num w:numId="642">
    <w:abstractNumId w:val="37"/>
  </w:num>
  <w:num w:numId="643">
    <w:abstractNumId w:val="282"/>
  </w:num>
  <w:num w:numId="644">
    <w:abstractNumId w:val="617"/>
  </w:num>
  <w:num w:numId="645">
    <w:abstractNumId w:val="471"/>
  </w:num>
  <w:num w:numId="646">
    <w:abstractNumId w:val="532"/>
  </w:num>
  <w:num w:numId="647">
    <w:abstractNumId w:val="666"/>
  </w:num>
  <w:num w:numId="648">
    <w:abstractNumId w:val="702"/>
  </w:num>
  <w:num w:numId="649">
    <w:abstractNumId w:val="333"/>
  </w:num>
  <w:num w:numId="650">
    <w:abstractNumId w:val="508"/>
  </w:num>
  <w:num w:numId="651">
    <w:abstractNumId w:val="670"/>
  </w:num>
  <w:num w:numId="652">
    <w:abstractNumId w:val="679"/>
  </w:num>
  <w:num w:numId="653">
    <w:abstractNumId w:val="40"/>
  </w:num>
  <w:num w:numId="654">
    <w:abstractNumId w:val="151"/>
  </w:num>
  <w:num w:numId="655">
    <w:abstractNumId w:val="245"/>
  </w:num>
  <w:num w:numId="656">
    <w:abstractNumId w:val="88"/>
  </w:num>
  <w:num w:numId="657">
    <w:abstractNumId w:val="228"/>
  </w:num>
  <w:num w:numId="658">
    <w:abstractNumId w:val="574"/>
  </w:num>
  <w:num w:numId="659">
    <w:abstractNumId w:val="505"/>
  </w:num>
  <w:num w:numId="660">
    <w:abstractNumId w:val="358"/>
  </w:num>
  <w:num w:numId="661">
    <w:abstractNumId w:val="650"/>
  </w:num>
  <w:num w:numId="662">
    <w:abstractNumId w:val="57"/>
  </w:num>
  <w:num w:numId="663">
    <w:abstractNumId w:val="686"/>
  </w:num>
  <w:num w:numId="664">
    <w:abstractNumId w:val="34"/>
  </w:num>
  <w:num w:numId="665">
    <w:abstractNumId w:val="697"/>
  </w:num>
  <w:num w:numId="666">
    <w:abstractNumId w:val="450"/>
  </w:num>
  <w:num w:numId="667">
    <w:abstractNumId w:val="458"/>
  </w:num>
  <w:num w:numId="668">
    <w:abstractNumId w:val="360"/>
  </w:num>
  <w:num w:numId="669">
    <w:abstractNumId w:val="717"/>
  </w:num>
  <w:num w:numId="670">
    <w:abstractNumId w:val="388"/>
  </w:num>
  <w:num w:numId="671">
    <w:abstractNumId w:val="610"/>
  </w:num>
  <w:num w:numId="672">
    <w:abstractNumId w:val="97"/>
  </w:num>
  <w:num w:numId="673">
    <w:abstractNumId w:val="422"/>
  </w:num>
  <w:num w:numId="674">
    <w:abstractNumId w:val="134"/>
  </w:num>
  <w:num w:numId="675">
    <w:abstractNumId w:val="142"/>
  </w:num>
  <w:num w:numId="676">
    <w:abstractNumId w:val="105"/>
  </w:num>
  <w:num w:numId="677">
    <w:abstractNumId w:val="465"/>
  </w:num>
  <w:num w:numId="678">
    <w:abstractNumId w:val="35"/>
  </w:num>
  <w:num w:numId="679">
    <w:abstractNumId w:val="133"/>
  </w:num>
  <w:num w:numId="680">
    <w:abstractNumId w:val="602"/>
  </w:num>
  <w:num w:numId="681">
    <w:abstractNumId w:val="244"/>
  </w:num>
  <w:num w:numId="682">
    <w:abstractNumId w:val="378"/>
  </w:num>
  <w:num w:numId="683">
    <w:abstractNumId w:val="120"/>
  </w:num>
  <w:num w:numId="684">
    <w:abstractNumId w:val="104"/>
  </w:num>
  <w:num w:numId="685">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686">
    <w:abstractNumId w:val="24"/>
  </w:num>
  <w:num w:numId="687">
    <w:abstractNumId w:val="125"/>
  </w:num>
  <w:num w:numId="688">
    <w:abstractNumId w:val="198"/>
  </w:num>
  <w:num w:numId="689">
    <w:abstractNumId w:val="361"/>
  </w:num>
  <w:num w:numId="690">
    <w:abstractNumId w:val="492"/>
  </w:num>
  <w:num w:numId="691">
    <w:abstractNumId w:val="525"/>
  </w:num>
  <w:num w:numId="692">
    <w:abstractNumId w:val="446"/>
  </w:num>
  <w:num w:numId="693">
    <w:abstractNumId w:val="589"/>
  </w:num>
  <w:num w:numId="694">
    <w:abstractNumId w:val="546"/>
  </w:num>
  <w:num w:numId="695">
    <w:abstractNumId w:val="31"/>
  </w:num>
  <w:num w:numId="696">
    <w:abstractNumId w:val="421"/>
  </w:num>
  <w:num w:numId="697">
    <w:abstractNumId w:val="197"/>
  </w:num>
  <w:num w:numId="698">
    <w:abstractNumId w:val="55"/>
  </w:num>
  <w:num w:numId="699">
    <w:abstractNumId w:val="469"/>
  </w:num>
  <w:num w:numId="700">
    <w:abstractNumId w:val="53"/>
  </w:num>
  <w:num w:numId="701">
    <w:abstractNumId w:val="685"/>
  </w:num>
  <w:num w:numId="702">
    <w:abstractNumId w:val="299"/>
  </w:num>
  <w:num w:numId="703">
    <w:abstractNumId w:val="109"/>
  </w:num>
  <w:num w:numId="704">
    <w:abstractNumId w:val="362"/>
  </w:num>
  <w:num w:numId="705">
    <w:abstractNumId w:val="552"/>
  </w:num>
  <w:num w:numId="706">
    <w:abstractNumId w:val="412"/>
  </w:num>
  <w:num w:numId="707">
    <w:abstractNumId w:val="91"/>
  </w:num>
  <w:num w:numId="708">
    <w:abstractNumId w:val="157"/>
  </w:num>
  <w:num w:numId="709">
    <w:abstractNumId w:val="474"/>
  </w:num>
  <w:num w:numId="710">
    <w:abstractNumId w:val="180"/>
  </w:num>
  <w:num w:numId="711">
    <w:abstractNumId w:val="135"/>
  </w:num>
  <w:num w:numId="712">
    <w:abstractNumId w:val="342"/>
  </w:num>
  <w:num w:numId="713">
    <w:abstractNumId w:val="219"/>
  </w:num>
  <w:num w:numId="714">
    <w:abstractNumId w:val="498"/>
  </w:num>
  <w:num w:numId="715">
    <w:abstractNumId w:val="527"/>
  </w:num>
  <w:num w:numId="716">
    <w:abstractNumId w:val="220"/>
  </w:num>
  <w:num w:numId="717">
    <w:abstractNumId w:val="225"/>
  </w:num>
  <w:num w:numId="718">
    <w:abstractNumId w:val="202"/>
  </w:num>
  <w:num w:numId="719">
    <w:abstractNumId w:val="132"/>
  </w:num>
  <w:num w:numId="720">
    <w:abstractNumId w:val="429"/>
  </w:num>
  <w:num w:numId="721">
    <w:abstractNumId w:val="464"/>
  </w:num>
  <w:num w:numId="722">
    <w:abstractNumId w:val="520"/>
  </w:num>
  <w:num w:numId="723">
    <w:abstractNumId w:val="390"/>
  </w:num>
  <w:num w:numId="724">
    <w:abstractNumId w:val="733"/>
  </w:num>
  <w:num w:numId="725">
    <w:abstractNumId w:val="171"/>
  </w:num>
  <w:num w:numId="7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7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7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7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7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7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7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7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734">
    <w:abstractNumId w:val="42"/>
  </w:num>
  <w:num w:numId="735">
    <w:abstractNumId w:val="209"/>
  </w:num>
  <w:num w:numId="736">
    <w:abstractNumId w:val="289"/>
  </w:num>
  <w:num w:numId="737">
    <w:abstractNumId w:val="107"/>
  </w:num>
  <w:num w:numId="738">
    <w:abstractNumId w:val="472"/>
  </w:num>
  <w:num w:numId="739">
    <w:abstractNumId w:val="10"/>
    <w:lvlOverride w:ilvl="0">
      <w:lvl w:ilvl="0">
        <w:numFmt w:val="bullet"/>
        <w:lvlText w:val=""/>
        <w:legacy w:legacy="1" w:legacySpace="0" w:legacyIndent="360"/>
        <w:lvlJc w:val="left"/>
        <w:pPr>
          <w:ind w:left="720" w:hanging="360"/>
        </w:pPr>
        <w:rPr>
          <w:rFonts w:ascii="Symbol" w:hAnsi="Symbol" w:hint="default"/>
        </w:rPr>
      </w:lvl>
    </w:lvlOverride>
  </w:num>
  <w:num w:numId="740">
    <w:abstractNumId w:val="10"/>
    <w:lvlOverride w:ilvl="0">
      <w:lvl w:ilvl="0">
        <w:start w:val="1"/>
        <w:numFmt w:val="bullet"/>
        <w:lvlText w:val=""/>
        <w:legacy w:legacy="1" w:legacySpace="0" w:legacyIndent="283"/>
        <w:lvlJc w:val="left"/>
        <w:pPr>
          <w:ind w:left="283" w:hanging="283"/>
        </w:pPr>
        <w:rPr>
          <w:rFonts w:ascii="Wingdings" w:hAnsi="Wingdings" w:hint="default"/>
          <w:sz w:val="22"/>
        </w:rPr>
      </w:lvl>
    </w:lvlOverride>
  </w:num>
  <w:num w:numId="741">
    <w:abstractNumId w:val="607"/>
  </w:num>
  <w:num w:numId="742">
    <w:abstractNumId w:val="339"/>
  </w:num>
  <w:num w:numId="743">
    <w:abstractNumId w:val="82"/>
  </w:num>
  <w:num w:numId="744">
    <w:abstractNumId w:val="10"/>
    <w:lvlOverride w:ilvl="0">
      <w:lvl w:ilvl="0">
        <w:numFmt w:val="bullet"/>
        <w:lvlText w:val=""/>
        <w:legacy w:legacy="1" w:legacySpace="0" w:legacyIndent="360"/>
        <w:lvlJc w:val="left"/>
        <w:pPr>
          <w:ind w:left="1080" w:hanging="360"/>
        </w:pPr>
        <w:rPr>
          <w:rFonts w:ascii="Symbol" w:hAnsi="Symbol" w:hint="default"/>
        </w:rPr>
      </w:lvl>
    </w:lvlOverride>
  </w:num>
  <w:num w:numId="745">
    <w:abstractNumId w:val="409"/>
  </w:num>
  <w:num w:numId="746">
    <w:abstractNumId w:val="242"/>
  </w:num>
  <w:num w:numId="747">
    <w:abstractNumId w:val="156"/>
  </w:num>
  <w:num w:numId="748">
    <w:abstractNumId w:val="419"/>
  </w:num>
  <w:num w:numId="749">
    <w:abstractNumId w:val="522"/>
  </w:num>
  <w:num w:numId="750">
    <w:abstractNumId w:val="608"/>
  </w:num>
  <w:num w:numId="751">
    <w:abstractNumId w:val="368"/>
  </w:num>
  <w:num w:numId="752">
    <w:abstractNumId w:val="467"/>
  </w:num>
  <w:num w:numId="753">
    <w:abstractNumId w:val="77"/>
  </w:num>
  <w:num w:numId="754">
    <w:abstractNumId w:val="389"/>
  </w:num>
  <w:num w:numId="755">
    <w:abstractNumId w:val="554"/>
  </w:num>
  <w:num w:numId="756">
    <w:abstractNumId w:val="689"/>
  </w:num>
  <w:num w:numId="757">
    <w:abstractNumId w:val="363"/>
  </w:num>
  <w:num w:numId="758">
    <w:abstractNumId w:val="110"/>
  </w:num>
  <w:num w:numId="759">
    <w:abstractNumId w:val="512"/>
  </w:num>
  <w:num w:numId="760">
    <w:abstractNumId w:val="657"/>
  </w:num>
  <w:num w:numId="761">
    <w:abstractNumId w:val="652"/>
  </w:num>
  <w:num w:numId="762">
    <w:abstractNumId w:val="124"/>
  </w:num>
  <w:num w:numId="763">
    <w:abstractNumId w:val="373"/>
  </w:num>
  <w:num w:numId="764">
    <w:abstractNumId w:val="230"/>
  </w:num>
  <w:num w:numId="765">
    <w:abstractNumId w:val="694"/>
  </w:num>
  <w:num w:numId="766">
    <w:abstractNumId w:val="143"/>
  </w:num>
  <w:num w:numId="767">
    <w:abstractNumId w:val="578"/>
  </w:num>
  <w:num w:numId="768">
    <w:abstractNumId w:val="224"/>
  </w:num>
  <w:num w:numId="769">
    <w:abstractNumId w:val="243"/>
  </w:num>
  <w:num w:numId="770">
    <w:abstractNumId w:val="356"/>
  </w:num>
  <w:num w:numId="771">
    <w:abstractNumId w:val="417"/>
  </w:num>
  <w:num w:numId="772">
    <w:abstractNumId w:val="645"/>
  </w:num>
  <w:num w:numId="773">
    <w:abstractNumId w:val="560"/>
  </w:num>
  <w:num w:numId="774">
    <w:abstractNumId w:val="102"/>
  </w:num>
  <w:num w:numId="775">
    <w:abstractNumId w:val="307"/>
  </w:num>
  <w:num w:numId="776">
    <w:abstractNumId w:val="413"/>
  </w:num>
  <w:num w:numId="777">
    <w:abstractNumId w:val="355"/>
  </w:num>
  <w:num w:numId="778">
    <w:abstractNumId w:val="355"/>
  </w:num>
  <w:num w:numId="779">
    <w:abstractNumId w:val="355"/>
  </w:num>
  <w:num w:numId="780">
    <w:abstractNumId w:val="218"/>
  </w:num>
  <w:num w:numId="781">
    <w:abstractNumId w:val="355"/>
  </w:num>
  <w:num w:numId="782">
    <w:abstractNumId w:val="355"/>
  </w:num>
  <w:num w:numId="783">
    <w:abstractNumId w:val="355"/>
  </w:num>
  <w:num w:numId="784">
    <w:abstractNumId w:val="355"/>
  </w:num>
  <w:num w:numId="785">
    <w:abstractNumId w:val="355"/>
  </w:num>
  <w:num w:numId="786">
    <w:abstractNumId w:val="355"/>
  </w:num>
  <w:num w:numId="787">
    <w:abstractNumId w:val="355"/>
  </w:num>
  <w:num w:numId="788">
    <w:abstractNumId w:val="355"/>
  </w:num>
  <w:num w:numId="789">
    <w:abstractNumId w:val="355"/>
  </w:num>
  <w:num w:numId="790">
    <w:abstractNumId w:val="355"/>
  </w:num>
  <w:num w:numId="791">
    <w:abstractNumId w:val="355"/>
  </w:num>
  <w:num w:numId="792">
    <w:abstractNumId w:val="355"/>
  </w:num>
  <w:num w:numId="793">
    <w:abstractNumId w:val="355"/>
  </w:num>
  <w:num w:numId="794">
    <w:abstractNumId w:val="355"/>
  </w:num>
  <w:num w:numId="795">
    <w:abstractNumId w:val="355"/>
  </w:num>
  <w:num w:numId="796">
    <w:abstractNumId w:val="355"/>
  </w:num>
  <w:num w:numId="797">
    <w:abstractNumId w:val="355"/>
  </w:num>
  <w:num w:numId="798">
    <w:abstractNumId w:val="355"/>
  </w:num>
  <w:num w:numId="799">
    <w:abstractNumId w:val="355"/>
  </w:num>
  <w:num w:numId="800">
    <w:abstractNumId w:val="355"/>
  </w:num>
  <w:num w:numId="801">
    <w:abstractNumId w:val="355"/>
  </w:num>
  <w:num w:numId="802">
    <w:abstractNumId w:val="355"/>
  </w:num>
  <w:num w:numId="803">
    <w:abstractNumId w:val="355"/>
  </w:num>
  <w:num w:numId="804">
    <w:abstractNumId w:val="355"/>
  </w:num>
  <w:num w:numId="805">
    <w:abstractNumId w:val="355"/>
  </w:num>
  <w:num w:numId="806">
    <w:abstractNumId w:val="355"/>
  </w:num>
  <w:num w:numId="807">
    <w:abstractNumId w:val="355"/>
  </w:num>
  <w:num w:numId="808">
    <w:abstractNumId w:val="355"/>
  </w:num>
  <w:num w:numId="809">
    <w:abstractNumId w:val="355"/>
  </w:num>
  <w:num w:numId="810">
    <w:abstractNumId w:val="355"/>
  </w:num>
  <w:num w:numId="811">
    <w:abstractNumId w:val="355"/>
  </w:num>
  <w:num w:numId="812">
    <w:abstractNumId w:val="355"/>
  </w:num>
  <w:num w:numId="813">
    <w:abstractNumId w:val="355"/>
  </w:num>
  <w:num w:numId="814">
    <w:abstractNumId w:val="355"/>
  </w:num>
  <w:num w:numId="815">
    <w:abstractNumId w:val="355"/>
  </w:num>
  <w:num w:numId="816">
    <w:abstractNumId w:val="355"/>
  </w:num>
  <w:num w:numId="817">
    <w:abstractNumId w:val="355"/>
  </w:num>
  <w:num w:numId="818">
    <w:abstractNumId w:val="355"/>
  </w:num>
  <w:num w:numId="819">
    <w:abstractNumId w:val="355"/>
  </w:num>
  <w:num w:numId="820">
    <w:abstractNumId w:val="355"/>
  </w:num>
  <w:num w:numId="821">
    <w:abstractNumId w:val="619"/>
  </w:num>
  <w:num w:numId="822">
    <w:abstractNumId w:val="233"/>
  </w:num>
  <w:num w:numId="823">
    <w:abstractNumId w:val="529"/>
  </w:num>
  <w:num w:numId="824">
    <w:abstractNumId w:val="377"/>
  </w:num>
  <w:num w:numId="825">
    <w:abstractNumId w:val="264"/>
  </w:num>
  <w:num w:numId="826">
    <w:abstractNumId w:val="191"/>
  </w:num>
  <w:num w:numId="827">
    <w:abstractNumId w:val="271"/>
  </w:num>
  <w:num w:numId="828">
    <w:abstractNumId w:val="723"/>
  </w:num>
  <w:num w:numId="829">
    <w:abstractNumId w:val="487"/>
  </w:num>
  <w:num w:numId="830">
    <w:abstractNumId w:val="452"/>
  </w:num>
  <w:num w:numId="831">
    <w:abstractNumId w:val="257"/>
  </w:num>
  <w:num w:numId="832">
    <w:abstractNumId w:val="646"/>
  </w:num>
  <w:num w:numId="833">
    <w:abstractNumId w:val="192"/>
  </w:num>
  <w:num w:numId="834">
    <w:abstractNumId w:val="250"/>
  </w:num>
  <w:num w:numId="835">
    <w:abstractNumId w:val="36"/>
  </w:num>
  <w:num w:numId="836">
    <w:abstractNumId w:val="236"/>
  </w:num>
  <w:num w:numId="837">
    <w:abstractNumId w:val="703"/>
  </w:num>
  <w:num w:numId="838">
    <w:abstractNumId w:val="41"/>
  </w:num>
  <w:num w:numId="839">
    <w:abstractNumId w:val="169"/>
  </w:num>
  <w:num w:numId="840">
    <w:abstractNumId w:val="65"/>
  </w:num>
  <w:num w:numId="841">
    <w:abstractNumId w:val="270"/>
  </w:num>
  <w:num w:numId="842">
    <w:abstractNumId w:val="749"/>
  </w:num>
  <w:num w:numId="843">
    <w:abstractNumId w:val="70"/>
  </w:num>
  <w:num w:numId="844">
    <w:abstractNumId w:val="365"/>
  </w:num>
  <w:num w:numId="845">
    <w:abstractNumId w:val="273"/>
  </w:num>
  <w:num w:numId="846">
    <w:abstractNumId w:val="295"/>
  </w:num>
  <w:num w:numId="847">
    <w:abstractNumId w:val="95"/>
  </w:num>
  <w:num w:numId="848">
    <w:abstractNumId w:val="80"/>
  </w:num>
  <w:num w:numId="849">
    <w:abstractNumId w:val="678"/>
  </w:num>
  <w:num w:numId="850">
    <w:abstractNumId w:val="335"/>
  </w:num>
  <w:num w:numId="851">
    <w:abstractNumId w:val="747"/>
  </w:num>
  <w:num w:numId="852">
    <w:abstractNumId w:val="491"/>
  </w:num>
  <w:num w:numId="853">
    <w:abstractNumId w:val="153"/>
  </w:num>
  <w:num w:numId="854">
    <w:abstractNumId w:val="631"/>
  </w:num>
  <w:num w:numId="855">
    <w:abstractNumId w:val="51"/>
  </w:num>
  <w:num w:numId="856">
    <w:abstractNumId w:val="215"/>
  </w:num>
  <w:num w:numId="857">
    <w:abstractNumId w:val="313"/>
  </w:num>
  <w:num w:numId="858">
    <w:abstractNumId w:val="108"/>
  </w:num>
  <w:num w:numId="859">
    <w:abstractNumId w:val="355"/>
  </w:num>
  <w:num w:numId="860">
    <w:abstractNumId w:val="355"/>
  </w:num>
  <w:num w:numId="861">
    <w:abstractNumId w:val="355"/>
  </w:num>
  <w:num w:numId="862">
    <w:abstractNumId w:val="355"/>
  </w:num>
  <w:num w:numId="863">
    <w:abstractNumId w:val="355"/>
  </w:num>
  <w:num w:numId="864">
    <w:abstractNumId w:val="355"/>
  </w:num>
  <w:num w:numId="865">
    <w:abstractNumId w:val="355"/>
  </w:num>
  <w:num w:numId="866">
    <w:abstractNumId w:val="355"/>
  </w:num>
  <w:num w:numId="867">
    <w:abstractNumId w:val="355"/>
  </w:num>
  <w:num w:numId="868">
    <w:abstractNumId w:val="355"/>
  </w:num>
  <w:num w:numId="869">
    <w:abstractNumId w:val="355"/>
  </w:num>
  <w:num w:numId="870">
    <w:abstractNumId w:val="355"/>
  </w:num>
  <w:num w:numId="871">
    <w:abstractNumId w:val="355"/>
  </w:num>
  <w:num w:numId="872">
    <w:abstractNumId w:val="355"/>
  </w:num>
  <w:num w:numId="873">
    <w:abstractNumId w:val="355"/>
  </w:num>
  <w:num w:numId="874">
    <w:abstractNumId w:val="355"/>
  </w:num>
  <w:num w:numId="875">
    <w:abstractNumId w:val="355"/>
  </w:num>
  <w:num w:numId="876">
    <w:abstractNumId w:val="355"/>
  </w:num>
  <w:num w:numId="877">
    <w:abstractNumId w:val="355"/>
  </w:num>
  <w:num w:numId="878">
    <w:abstractNumId w:val="355"/>
  </w:num>
  <w:num w:numId="879">
    <w:abstractNumId w:val="355"/>
  </w:num>
  <w:num w:numId="880">
    <w:abstractNumId w:val="355"/>
  </w:num>
  <w:num w:numId="881">
    <w:abstractNumId w:val="355"/>
  </w:num>
  <w:num w:numId="882">
    <w:abstractNumId w:val="355"/>
  </w:num>
  <w:num w:numId="883">
    <w:abstractNumId w:val="355"/>
  </w:num>
  <w:num w:numId="884">
    <w:abstractNumId w:val="355"/>
  </w:num>
  <w:num w:numId="885">
    <w:abstractNumId w:val="355"/>
  </w:num>
  <w:num w:numId="886">
    <w:abstractNumId w:val="355"/>
  </w:num>
  <w:num w:numId="887">
    <w:abstractNumId w:val="355"/>
  </w:num>
  <w:num w:numId="888">
    <w:abstractNumId w:val="355"/>
  </w:num>
  <w:num w:numId="889">
    <w:abstractNumId w:val="355"/>
  </w:num>
  <w:num w:numId="890">
    <w:abstractNumId w:val="355"/>
  </w:num>
  <w:num w:numId="891">
    <w:abstractNumId w:val="355"/>
  </w:num>
  <w:num w:numId="892">
    <w:abstractNumId w:val="355"/>
  </w:num>
  <w:num w:numId="893">
    <w:abstractNumId w:val="355"/>
  </w:num>
  <w:num w:numId="894">
    <w:abstractNumId w:val="355"/>
  </w:num>
  <w:num w:numId="895">
    <w:abstractNumId w:val="355"/>
  </w:num>
  <w:num w:numId="896">
    <w:abstractNumId w:val="355"/>
  </w:num>
  <w:num w:numId="897">
    <w:abstractNumId w:val="355"/>
  </w:num>
  <w:num w:numId="898">
    <w:abstractNumId w:val="355"/>
  </w:num>
  <w:num w:numId="899">
    <w:abstractNumId w:val="355"/>
  </w:num>
  <w:num w:numId="900">
    <w:abstractNumId w:val="355"/>
  </w:num>
  <w:num w:numId="901">
    <w:abstractNumId w:val="3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aliases w:val="Texto de nota de rodapéAE"/>
    <w:basedOn w:val="Normal"/>
    <w:semiHidden/>
    <w:pPr>
      <w:tabs>
        <w:tab w:val="right" w:pos="1418"/>
      </w:tabs>
      <w:ind w:left="1701" w:hanging="1701"/>
    </w:pPr>
    <w:rPr>
      <w:color w:val="000000"/>
      <w:spacing w:val="20"/>
      <w:kern w:val="16"/>
    </w:rPr>
  </w:style>
  <w:style w:type="character" w:styleId="PageNumber">
    <w:name w:val="page number"/>
    <w:basedOn w:val="DefaultParagraphFont"/>
    <w:semiHidden/>
  </w:style>
  <w:style w:type="paragraph" w:customStyle="1" w:styleId="ParaNo0">
    <w:name w:val="(ParaNo.)"/>
    <w:basedOn w:val="Normal"/>
    <w:pPr>
      <w:numPr>
        <w:numId w:val="53"/>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Strong">
    <w:name w:val="Strong"/>
    <w:qFormat/>
    <w:rPr>
      <w:b/>
    </w:rPr>
  </w:style>
  <w:style w:type="paragraph" w:styleId="BodyText3">
    <w:name w:val="Body Text 3"/>
    <w:basedOn w:val="Normal"/>
    <w:semiHidden/>
    <w:pPr>
      <w:jc w:val="both"/>
    </w:pPr>
    <w:rPr>
      <w:sz w:val="20"/>
      <w:lang w:val="en-US"/>
    </w:rPr>
  </w:style>
  <w:style w:type="paragraph" w:styleId="BodyText">
    <w:name w:val="Body Text"/>
    <w:basedOn w:val="Normal"/>
    <w:next w:val="Normal"/>
    <w:semiHidden/>
    <w:rPr>
      <w:kern w:val="16"/>
    </w:rPr>
  </w:style>
  <w:style w:type="character" w:styleId="Emphasis">
    <w:name w:val="Emphasis"/>
    <w:qFormat/>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image" Target="media/image10.wmf"/><Relationship Id="rId39" Type="http://schemas.openxmlformats.org/officeDocument/2006/relationships/header" Target="header12.xml"/><Relationship Id="rId3" Type="http://schemas.openxmlformats.org/officeDocument/2006/relationships/settings" Target="settings.xml"/><Relationship Id="rId21" Type="http://schemas.openxmlformats.org/officeDocument/2006/relationships/image" Target="media/image7.wmf"/><Relationship Id="rId34" Type="http://schemas.openxmlformats.org/officeDocument/2006/relationships/image" Target="media/image12.wmf"/><Relationship Id="rId42" Type="http://schemas.openxmlformats.org/officeDocument/2006/relationships/image" Target="media/image14.png"/><Relationship Id="rId47" Type="http://schemas.openxmlformats.org/officeDocument/2006/relationships/oleObject" Target="embeddings/oleObject11.bin"/><Relationship Id="rId50"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oleObject" Target="embeddings/oleObject3.bin"/><Relationship Id="rId25" Type="http://schemas.openxmlformats.org/officeDocument/2006/relationships/image" Target="media/image9.png"/><Relationship Id="rId33" Type="http://schemas.openxmlformats.org/officeDocument/2006/relationships/header" Target="header8.xml"/><Relationship Id="rId38" Type="http://schemas.openxmlformats.org/officeDocument/2006/relationships/header" Target="header11.xml"/><Relationship Id="rId46" Type="http://schemas.openxmlformats.org/officeDocument/2006/relationships/image" Target="media/image17.wmf"/><Relationship Id="rId2" Type="http://schemas.openxmlformats.org/officeDocument/2006/relationships/styles" Target="styles.xml"/><Relationship Id="rId16" Type="http://schemas.openxmlformats.org/officeDocument/2006/relationships/image" Target="media/image4.wmf"/><Relationship Id="rId20" Type="http://schemas.openxmlformats.org/officeDocument/2006/relationships/oleObject" Target="embeddings/oleObject4.bin"/><Relationship Id="rId29" Type="http://schemas.openxmlformats.org/officeDocument/2006/relationships/oleObject" Target="embeddings/oleObject8.bin"/><Relationship Id="rId41" Type="http://schemas.openxmlformats.org/officeDocument/2006/relationships/oleObject" Target="embeddings/oleObject9.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oleObject" Target="embeddings/oleObject6.bin"/><Relationship Id="rId32" Type="http://schemas.openxmlformats.org/officeDocument/2006/relationships/header" Target="header7.xml"/><Relationship Id="rId37" Type="http://schemas.openxmlformats.org/officeDocument/2006/relationships/header" Target="header10.xml"/><Relationship Id="rId40" Type="http://schemas.openxmlformats.org/officeDocument/2006/relationships/image" Target="media/image13.wmf"/><Relationship Id="rId45"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oleObject" Target="embeddings/oleObject2.bin"/><Relationship Id="rId23" Type="http://schemas.openxmlformats.org/officeDocument/2006/relationships/image" Target="media/image8.wmf"/><Relationship Id="rId28" Type="http://schemas.openxmlformats.org/officeDocument/2006/relationships/image" Target="media/image11.wmf"/><Relationship Id="rId36" Type="http://schemas.openxmlformats.org/officeDocument/2006/relationships/header" Target="header9.xml"/><Relationship Id="rId49" Type="http://schemas.openxmlformats.org/officeDocument/2006/relationships/header" Target="header14.xml"/><Relationship Id="rId10" Type="http://schemas.openxmlformats.org/officeDocument/2006/relationships/header" Target="header2.xml"/><Relationship Id="rId19" Type="http://schemas.openxmlformats.org/officeDocument/2006/relationships/image" Target="media/image6.wmf"/><Relationship Id="rId31" Type="http://schemas.openxmlformats.org/officeDocument/2006/relationships/header" Target="header6.xml"/><Relationship Id="rId44"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3.wmf"/><Relationship Id="rId22" Type="http://schemas.openxmlformats.org/officeDocument/2006/relationships/oleObject" Target="embeddings/oleObject5.bin"/><Relationship Id="rId27" Type="http://schemas.openxmlformats.org/officeDocument/2006/relationships/oleObject" Target="embeddings/oleObject7.bin"/><Relationship Id="rId30" Type="http://schemas.openxmlformats.org/officeDocument/2006/relationships/header" Target="header5.xml"/><Relationship Id="rId35" Type="http://schemas.openxmlformats.org/officeDocument/2006/relationships/oleObject" Target="embeddings/Microsoft_Excel_97-2003_Worksheet1.xls"/><Relationship Id="rId43" Type="http://schemas.openxmlformats.org/officeDocument/2006/relationships/oleObject" Target="embeddings/oleObject10.bin"/><Relationship Id="rId48" Type="http://schemas.openxmlformats.org/officeDocument/2006/relationships/header" Target="header13.xml"/><Relationship Id="rId8" Type="http://schemas.openxmlformats.org/officeDocument/2006/relationships/oleObject" Target="embeddings/oleObject1.bin"/><Relationship Id="rId51"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7</TotalTime>
  <Pages>1</Pages>
  <Words>94687</Words>
  <Characters>539716</Characters>
  <Application>Microsoft Office Word</Application>
  <DocSecurity>4</DocSecurity>
  <Lines>4497</Lines>
  <Paragraphs>1079</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0146156</vt:lpstr>
      <vt:lpstr>    IMPLEMENTATION OF THE INTERNATIONAL COVENANT ON ECONOMIC, SOCIAL AND CULTURAL RI</vt:lpstr>
      <vt:lpstr>Initial reports submitted by States parties under articles 16 and 17 of the Cove</vt:lpstr>
      <vt:lpstr>Addendum</vt:lpstr>
      <vt:lpstr>    Brazil*</vt:lpstr>
      <vt:lpstr>Introduction to the report by the Minister of State for External Relations</vt:lpstr>
      <vt:lpstr>Celso LAFER	</vt:lpstr>
      <vt:lpstr>Minister of State for External Relations</vt:lpstr>
      <vt:lpstr>    I.  INTRODUCTION</vt:lpstr>
      <vt:lpstr>        Brazil and human rights</vt:lpstr>
      <vt:lpstr>    II.  GENERAL INFORMATION ON BRAZIL</vt:lpstr>
      <vt:lpstr>Table 1</vt:lpstr>
      <vt:lpstr/>
      <vt:lpstr>Population and territory*</vt:lpstr>
      <vt:lpstr/>
      <vt:lpstr>(estimates in February 2000)</vt:lpstr>
      <vt:lpstr>Table 2</vt:lpstr>
      <vt:lpstr>Gross domestic product - GDP</vt:lpstr>
      <vt:lpstr>Table 3</vt:lpstr>
      <vt:lpstr/>
      <vt:lpstr>Gross domestic product per capita</vt:lpstr>
      <vt:lpstr>Table 4</vt:lpstr>
      <vt:lpstr/>
      <vt:lpstr>Foreign direct investments (net)</vt:lpstr>
      <vt:lpstr>US$ billions</vt:lpstr>
      <vt:lpstr>Table 5</vt:lpstr>
      <vt:lpstr/>
      <vt:lpstr>National privatization programme:  1991-1999</vt:lpstr>
      <vt:lpstr/>
      <vt:lpstr>(US$ millions)</vt:lpstr>
      <vt:lpstr>Table 6</vt:lpstr>
      <vt:lpstr/>
      <vt:lpstr>Brazilian balance of trade</vt:lpstr>
      <vt:lpstr>(US$ millions)</vt:lpstr>
      <vt:lpstr>Table 7</vt:lpstr>
      <vt:lpstr/>
      <vt:lpstr>External indicators (in %)</vt:lpstr>
      <vt:lpstr>Table 8</vt:lpstr>
      <vt:lpstr>Open unemployment rate by sector of activity</vt:lpstr>
      <vt:lpstr>Table 9</vt:lpstr>
      <vt:lpstr>Open unemployment rate by metropolitan region</vt:lpstr>
      <vt:lpstr>Table 10</vt:lpstr>
      <vt:lpstr>Programme to provide vocational training for workers</vt:lpstr>
      <vt:lpstr>Table 11</vt:lpstr>
      <vt:lpstr>Agrarian reform:  rural settlements</vt:lpstr>
      <vt:lpstr>Table 12</vt:lpstr>
      <vt:lpstr/>
      <vt:lpstr>Agrarian reform:  expropriations</vt:lpstr>
      <vt:lpstr>Table 13</vt:lpstr>
      <vt:lpstr/>
      <vt:lpstr>Primary education (grades 1-8):  number of </vt:lpstr>
      <vt:lpstr>students registered (in thousands)</vt:lpstr>
      <vt:lpstr>Table 14</vt:lpstr>
      <vt:lpstr/>
      <vt:lpstr>Higher education:  evolution by administrative hierarchy</vt:lpstr>
      <vt:lpstr>Table 15</vt:lpstr>
      <vt:lpstr/>
      <vt:lpstr>Community health agents, number of agents, </vt:lpstr>
      <vt:lpstr>number of municipalities served</vt:lpstr>
      <vt:lpstr>Table 16</vt:lpstr>
      <vt:lpstr/>
      <vt:lpstr>Family health teams, number of teams and </vt:lpstr>
      <vt:lpstr>municipalities served</vt:lpstr>
      <vt:lpstr>Table 17</vt:lpstr>
      <vt:lpstr/>
      <vt:lpstr>Programme to eradicate child labour</vt:lpstr>
      <vt:lpstr>    III.	BRAZIL’S REPORT ON SPECIFIC ARTICLES OF THE</vt:lpstr>
      <vt:lpstr>    INTERNATIONAL COVENANT ON ECONOMIC, SOCIAL</vt:lpstr>
      <vt:lpstr>    AND CULTURAL RIGHTS AND ON THE HUMAN RIGHTS</vt:lpstr>
      <vt:lpstr>    COVERED THEREIN</vt:lpstr>
      <vt:lpstr>Articles 1, 2, 3, 4 and 5</vt:lpstr>
      <vt:lpstr>Article 6</vt:lpstr>
      <vt:lpstr>        Overview of the labour market/labour market indicators</vt:lpstr>
      <vt:lpstr>Chart 1</vt:lpstr>
      <vt:lpstr/>
      <vt:lpstr>Total participation rate and participation rate by age bracket</vt:lpstr>
      <vt:lpstr>in metropolitan areas in Brazil (%)</vt:lpstr>
      <vt:lpstr>        </vt:lpstr>
      <vt:lpstr>        The evolution of jobs</vt:lpstr>
      <vt:lpstr>Chart 2</vt:lpstr>
      <vt:lpstr/>
      <vt:lpstr>Accumulated variation in the job market in metropolitan Brazil (%)</vt:lpstr>
      <vt:lpstr>Chart 3</vt:lpstr>
      <vt:lpstr/>
      <vt:lpstr>Growth rate in jobs by years of schooling 1995-99 (%)</vt:lpstr>
      <vt:lpstr>Chart 4</vt:lpstr>
      <vt:lpstr/>
      <vt:lpstr>Job breakdown by years of schooling, metropolitan regions in Brazil (%)</vt:lpstr>
      <vt:lpstr>Chart 5.  Increase in the number of jobs available by age group, 1995-99 (%)</vt:lpstr>
      <vt:lpstr>Chart 6.  Growth rate in jobs by economic sector 1995-99 (%)</vt:lpstr>
      <vt:lpstr/>
      <vt:lpstr>Chart 7</vt:lpstr>
      <vt:lpstr/>
      <vt:lpstr>Growth in GDP and productivity of labour in industry, 1992-99 (%)</vt:lpstr>
      <vt:lpstr>        Unemployment rates and the informal job market</vt:lpstr>
      <vt:lpstr>Chart 8</vt:lpstr>
      <vt:lpstr/>
      <vt:lpstr>Unemployment rate, metropolitan Brazil (%)</vt:lpstr>
      <vt:lpstr>Chart 9</vt:lpstr>
      <vt:lpstr>Average unemployment rate, 1999, metropolitan Brazil (%)</vt:lpstr>
      <vt:lpstr>        Wages</vt:lpstr>
    </vt:vector>
  </TitlesOfParts>
  <Company>ONU</Company>
  <LinksUpToDate>false</LinksUpToDate>
  <CharactersWithSpaces>662809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0146156</dc:title>
  <dc:subject/>
  <dc:creator>PACIS MAMANGUN</dc:creator>
  <cp:keywords>E/1990/5/Add.53</cp:keywords>
  <dc:description>FINAL</dc:description>
  <cp:lastModifiedBy>CSD</cp:lastModifiedBy>
  <cp:revision>3</cp:revision>
  <cp:lastPrinted>2002-03-13T14:49:00Z</cp:lastPrinted>
  <dcterms:created xsi:type="dcterms:W3CDTF">2002-03-13T14:48:00Z</dcterms:created>
  <dcterms:modified xsi:type="dcterms:W3CDTF">2002-03-13T14:55:00Z</dcterms:modified>
</cp:coreProperties>
</file>