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B06C864" w14:textId="77777777" w:rsidTr="00281242">
        <w:trPr>
          <w:trHeight w:hRule="exact" w:val="851"/>
        </w:trPr>
        <w:tc>
          <w:tcPr>
            <w:tcW w:w="1274" w:type="dxa"/>
            <w:tcBorders>
              <w:bottom w:val="single" w:sz="4" w:space="0" w:color="auto"/>
            </w:tcBorders>
            <w:shd w:val="clear" w:color="auto" w:fill="auto"/>
          </w:tcPr>
          <w:p w14:paraId="5D76E0EB"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49F8451"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66A3F54F" w14:textId="77777777" w:rsidR="006B3E27" w:rsidRPr="00281242" w:rsidRDefault="002C1E4A" w:rsidP="00634F23">
            <w:pPr>
              <w:bidi w:val="0"/>
              <w:spacing w:after="20"/>
              <w:jc w:val="left"/>
              <w:rPr>
                <w:szCs w:val="20"/>
              </w:rPr>
            </w:pPr>
            <w:r w:rsidRPr="002C1E4A">
              <w:rPr>
                <w:sz w:val="40"/>
                <w:szCs w:val="20"/>
              </w:rPr>
              <w:t>A</w:t>
            </w:r>
            <w:r>
              <w:rPr>
                <w:szCs w:val="20"/>
              </w:rPr>
              <w:t>/HRC/RES/</w:t>
            </w:r>
            <w:r w:rsidRPr="00634F23">
              <w:rPr>
                <w:szCs w:val="20"/>
              </w:rPr>
              <w:t>43</w:t>
            </w:r>
            <w:r>
              <w:rPr>
                <w:szCs w:val="20"/>
              </w:rPr>
              <w:t>/</w:t>
            </w:r>
            <w:r w:rsidRPr="00634F23">
              <w:rPr>
                <w:szCs w:val="20"/>
              </w:rPr>
              <w:t>10</w:t>
            </w:r>
          </w:p>
        </w:tc>
      </w:tr>
      <w:tr w:rsidR="006B3E27" w:rsidRPr="00ED7442" w14:paraId="0EF35947" w14:textId="77777777" w:rsidTr="00281242">
        <w:trPr>
          <w:trHeight w:hRule="exact" w:val="2835"/>
        </w:trPr>
        <w:tc>
          <w:tcPr>
            <w:tcW w:w="1274" w:type="dxa"/>
            <w:tcBorders>
              <w:top w:val="single" w:sz="4" w:space="0" w:color="auto"/>
              <w:bottom w:val="single" w:sz="12" w:space="0" w:color="auto"/>
            </w:tcBorders>
            <w:shd w:val="clear" w:color="auto" w:fill="auto"/>
          </w:tcPr>
          <w:p w14:paraId="0E42855D" w14:textId="5A38BB69" w:rsidR="006B3E27" w:rsidRPr="00281242" w:rsidRDefault="00FD3348" w:rsidP="00281242">
            <w:pPr>
              <w:jc w:val="center"/>
              <w:rPr>
                <w:sz w:val="56"/>
                <w:szCs w:val="56"/>
                <w:rtl/>
              </w:rPr>
            </w:pPr>
            <w:r>
              <w:rPr>
                <w:noProof/>
                <w:sz w:val="56"/>
                <w:szCs w:val="56"/>
              </w:rPr>
              <w:drawing>
                <wp:inline distT="0" distB="0" distL="0" distR="0" wp14:anchorId="31052550" wp14:editId="7929F8BF">
                  <wp:extent cx="628015"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902FCE1"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23E2DC69" w14:textId="77777777" w:rsidR="005464AD" w:rsidRPr="00322FEC" w:rsidRDefault="005464AD" w:rsidP="005464AD">
            <w:pPr>
              <w:suppressAutoHyphens/>
              <w:bidi w:val="0"/>
              <w:spacing w:before="240" w:line="240" w:lineRule="exact"/>
              <w:jc w:val="left"/>
              <w:rPr>
                <w:rFonts w:cs="Times New Roman"/>
                <w:sz w:val="28"/>
                <w:lang w:val="en-GB"/>
              </w:rPr>
            </w:pPr>
            <w:r w:rsidRPr="008B6F32">
              <w:rPr>
                <w:rFonts w:cs="Times New Roman"/>
                <w:szCs w:val="20"/>
                <w:lang w:val="en-GB"/>
              </w:rPr>
              <w:t>Distr.: General</w:t>
            </w:r>
          </w:p>
          <w:p w14:paraId="512E5ADF" w14:textId="77777777" w:rsidR="005464AD" w:rsidRPr="00322FEC" w:rsidRDefault="005464AD" w:rsidP="005464AD">
            <w:pPr>
              <w:suppressAutoHyphens/>
              <w:bidi w:val="0"/>
              <w:spacing w:line="240" w:lineRule="exact"/>
              <w:jc w:val="left"/>
              <w:rPr>
                <w:rFonts w:cs="Times New Roman"/>
                <w:sz w:val="28"/>
                <w:lang w:val="en-GB"/>
              </w:rPr>
            </w:pPr>
            <w:r w:rsidRPr="008B6F32">
              <w:rPr>
                <w:rFonts w:cs="Times New Roman"/>
                <w:szCs w:val="20"/>
                <w:lang w:val="en-GB"/>
              </w:rPr>
              <w:t>29 June 2020</w:t>
            </w:r>
          </w:p>
          <w:p w14:paraId="7A60F5B9" w14:textId="77777777" w:rsidR="005464AD" w:rsidRPr="00322FEC" w:rsidRDefault="005464AD" w:rsidP="005464AD">
            <w:pPr>
              <w:suppressAutoHyphens/>
              <w:bidi w:val="0"/>
              <w:spacing w:line="240" w:lineRule="exact"/>
              <w:jc w:val="left"/>
              <w:rPr>
                <w:rFonts w:cs="Times New Roman"/>
                <w:sz w:val="28"/>
                <w:lang w:val="en-GB"/>
              </w:rPr>
            </w:pPr>
            <w:r w:rsidRPr="00322FEC">
              <w:rPr>
                <w:rFonts w:cs="Times New Roman"/>
                <w:szCs w:val="20"/>
                <w:lang w:val="en-GB"/>
              </w:rPr>
              <w:t>Arabic</w:t>
            </w:r>
          </w:p>
          <w:p w14:paraId="38256DD5" w14:textId="74BFBCCE" w:rsidR="00634F23" w:rsidRPr="00281242" w:rsidRDefault="005464AD" w:rsidP="005464AD">
            <w:pPr>
              <w:bidi w:val="0"/>
              <w:jc w:val="left"/>
              <w:rPr>
                <w:szCs w:val="20"/>
              </w:rPr>
            </w:pPr>
            <w:r w:rsidRPr="00322FEC">
              <w:rPr>
                <w:rFonts w:cs="Times New Roman"/>
                <w:szCs w:val="20"/>
                <w:lang w:val="en-GB"/>
              </w:rPr>
              <w:t>Original: English</w:t>
            </w:r>
          </w:p>
        </w:tc>
      </w:tr>
    </w:tbl>
    <w:p w14:paraId="32649C1E" w14:textId="77777777" w:rsidR="005464AD" w:rsidRPr="00322FEC" w:rsidRDefault="005464AD" w:rsidP="005464AD">
      <w:pPr>
        <w:pStyle w:val="SingleTxtGA"/>
        <w:spacing w:before="120" w:after="0"/>
        <w:ind w:left="0"/>
        <w:rPr>
          <w:b/>
          <w:bCs/>
          <w:sz w:val="34"/>
          <w:szCs w:val="34"/>
          <w:rtl/>
        </w:rPr>
      </w:pPr>
      <w:r w:rsidRPr="00322FEC">
        <w:rPr>
          <w:rFonts w:hint="cs"/>
          <w:b/>
          <w:bCs/>
          <w:sz w:val="34"/>
          <w:szCs w:val="34"/>
          <w:rtl/>
        </w:rPr>
        <w:t>مجلس حقوق الإنسان</w:t>
      </w:r>
    </w:p>
    <w:p w14:paraId="58C5F839" w14:textId="77777777" w:rsidR="005464AD" w:rsidRPr="00322FEC" w:rsidRDefault="005464AD" w:rsidP="005464AD">
      <w:pPr>
        <w:pStyle w:val="SingleTxtGA"/>
        <w:spacing w:after="0"/>
        <w:ind w:left="0" w:right="4820"/>
        <w:rPr>
          <w:b/>
          <w:bCs/>
          <w:sz w:val="28"/>
          <w:rtl/>
        </w:rPr>
      </w:pPr>
      <w:r w:rsidRPr="00322FEC">
        <w:rPr>
          <w:b/>
          <w:bCs/>
          <w:rtl/>
        </w:rPr>
        <w:t>الدورة الثالثة والأربعون</w:t>
      </w:r>
    </w:p>
    <w:p w14:paraId="3DD08DEE" w14:textId="77777777" w:rsidR="005464AD" w:rsidRPr="00322FEC" w:rsidRDefault="005464AD" w:rsidP="005464AD">
      <w:pPr>
        <w:pStyle w:val="SingleTxtGA"/>
        <w:spacing w:after="0"/>
        <w:ind w:left="0" w:right="4820"/>
        <w:rPr>
          <w:sz w:val="28"/>
          <w:rtl/>
        </w:rPr>
      </w:pPr>
      <w:r w:rsidRPr="00322FEC">
        <w:rPr>
          <w:szCs w:val="20"/>
          <w:rtl/>
        </w:rPr>
        <w:t>24</w:t>
      </w:r>
      <w:r w:rsidRPr="00322FEC">
        <w:rPr>
          <w:rtl/>
        </w:rPr>
        <w:t xml:space="preserve"> شباط/فبراير - </w:t>
      </w:r>
      <w:r w:rsidRPr="00322FEC">
        <w:rPr>
          <w:szCs w:val="20"/>
          <w:rtl/>
        </w:rPr>
        <w:t>13</w:t>
      </w:r>
      <w:r w:rsidRPr="00322FEC">
        <w:rPr>
          <w:rtl/>
        </w:rPr>
        <w:t xml:space="preserve"> آذار/مارس</w:t>
      </w:r>
      <w:r w:rsidRPr="00322FEC">
        <w:rPr>
          <w:rFonts w:hint="cs"/>
          <w:rtl/>
        </w:rPr>
        <w:t xml:space="preserve"> و</w:t>
      </w:r>
      <w:r w:rsidRPr="00322FEC">
        <w:rPr>
          <w:szCs w:val="20"/>
          <w:rtl/>
        </w:rPr>
        <w:t>15-23</w:t>
      </w:r>
      <w:r w:rsidRPr="00322FEC">
        <w:rPr>
          <w:rFonts w:hint="cs"/>
          <w:rtl/>
        </w:rPr>
        <w:t xml:space="preserve"> حزيران/يونيه</w:t>
      </w:r>
      <w:r w:rsidRPr="00322FEC">
        <w:rPr>
          <w:rtl/>
        </w:rPr>
        <w:t xml:space="preserve"> </w:t>
      </w:r>
      <w:r w:rsidRPr="00322FEC">
        <w:rPr>
          <w:szCs w:val="20"/>
          <w:rtl/>
        </w:rPr>
        <w:t>2020</w:t>
      </w:r>
    </w:p>
    <w:p w14:paraId="04E1BA88" w14:textId="77777777" w:rsidR="005464AD" w:rsidRPr="00322FEC" w:rsidRDefault="005464AD" w:rsidP="005464AD">
      <w:pPr>
        <w:pStyle w:val="SingleTxtGA"/>
        <w:spacing w:after="0"/>
        <w:ind w:left="0" w:right="4820"/>
        <w:rPr>
          <w:sz w:val="28"/>
          <w:rtl/>
        </w:rPr>
      </w:pPr>
      <w:r w:rsidRPr="00322FEC">
        <w:rPr>
          <w:rtl/>
        </w:rPr>
        <w:t xml:space="preserve">البند </w:t>
      </w:r>
      <w:r w:rsidRPr="00322FEC">
        <w:rPr>
          <w:szCs w:val="20"/>
          <w:rtl/>
        </w:rPr>
        <w:t>3</w:t>
      </w:r>
      <w:r w:rsidRPr="00322FEC">
        <w:rPr>
          <w:rtl/>
        </w:rPr>
        <w:t xml:space="preserve"> من جدول الأعمال</w:t>
      </w:r>
    </w:p>
    <w:p w14:paraId="62BDA96E" w14:textId="77777777" w:rsidR="005464AD" w:rsidRPr="00322FEC" w:rsidRDefault="005464AD" w:rsidP="005464AD">
      <w:pPr>
        <w:pStyle w:val="SingleTxtGA"/>
        <w:spacing w:after="0"/>
        <w:ind w:left="0" w:right="4820"/>
        <w:rPr>
          <w:b/>
          <w:bCs/>
          <w:sz w:val="28"/>
          <w:rtl/>
        </w:rPr>
      </w:pPr>
      <w:r w:rsidRPr="00322FEC">
        <w:rPr>
          <w:b/>
          <w:bCs/>
          <w:rtl/>
        </w:rPr>
        <w:t>تعزيز وحماية جميع حقوق الإنسان، المدنية والسياسية والاقتصادية والاجتماعية والثقافية، بما في ذلك الحق في التنمية</w:t>
      </w:r>
    </w:p>
    <w:p w14:paraId="71FFAB91" w14:textId="77777777" w:rsidR="00634F23" w:rsidRDefault="00634F23" w:rsidP="00634F23">
      <w:pPr>
        <w:pStyle w:val="HChGA"/>
        <w:rPr>
          <w:rtl/>
        </w:rPr>
      </w:pPr>
      <w:r>
        <w:rPr>
          <w:rtl/>
        </w:rPr>
        <w:tab/>
      </w:r>
      <w:r>
        <w:rPr>
          <w:rtl/>
        </w:rPr>
        <w:tab/>
        <w:t xml:space="preserve">قرار اعتمده مجلس حقوق الإنسان في </w:t>
      </w:r>
      <w:r w:rsidRPr="00634F23">
        <w:rPr>
          <w:szCs w:val="28"/>
          <w:rtl/>
        </w:rPr>
        <w:t>19</w:t>
      </w:r>
      <w:r>
        <w:rPr>
          <w:rtl/>
        </w:rPr>
        <w:t xml:space="preserve"> حزيران/يونيه </w:t>
      </w:r>
      <w:r w:rsidRPr="00634F23">
        <w:rPr>
          <w:szCs w:val="28"/>
          <w:rtl/>
        </w:rPr>
        <w:t>2020</w:t>
      </w:r>
    </w:p>
    <w:p w14:paraId="7865BF5A" w14:textId="77777777" w:rsidR="00634F23" w:rsidRDefault="00634F23" w:rsidP="001D01C0">
      <w:pPr>
        <w:pStyle w:val="H1GA"/>
        <w:spacing w:before="220" w:after="220"/>
        <w:rPr>
          <w:rtl/>
        </w:rPr>
      </w:pPr>
      <w:r>
        <w:rPr>
          <w:rtl/>
        </w:rPr>
        <w:tab/>
      </w:r>
      <w:r w:rsidRPr="00634F23">
        <w:rPr>
          <w:sz w:val="28"/>
          <w:szCs w:val="28"/>
          <w:rtl/>
        </w:rPr>
        <w:t>43</w:t>
      </w:r>
      <w:r>
        <w:rPr>
          <w:rtl/>
        </w:rPr>
        <w:t>/</w:t>
      </w:r>
      <w:r w:rsidRPr="00634F23">
        <w:rPr>
          <w:sz w:val="28"/>
          <w:szCs w:val="28"/>
          <w:rtl/>
        </w:rPr>
        <w:t>10</w:t>
      </w:r>
      <w:r>
        <w:rPr>
          <w:rtl/>
        </w:rPr>
        <w:t>-</w:t>
      </w:r>
      <w:r>
        <w:rPr>
          <w:rtl/>
        </w:rPr>
        <w:tab/>
      </w:r>
      <w:r w:rsidRPr="001D01C0">
        <w:rPr>
          <w:rFonts w:ascii="Times New Roman Bold" w:hAnsi="Times New Roman Bold"/>
          <w:spacing w:val="-4"/>
          <w:rtl/>
        </w:rPr>
        <w:t>ولاية الخبير المستقل المعني بآثار الديون الخارجية للدول، وما يتصل بها من التزامات</w:t>
      </w:r>
      <w:r>
        <w:rPr>
          <w:rtl/>
        </w:rPr>
        <w:t xml:space="preserve"> </w:t>
      </w:r>
      <w:r w:rsidRPr="001D01C0">
        <w:rPr>
          <w:rFonts w:ascii="Times New Roman Bold" w:hAnsi="Times New Roman Bold"/>
          <w:spacing w:val="-4"/>
          <w:rtl/>
        </w:rPr>
        <w:t>مالية دولية أخرى عليها، في التمتع الكامل بجميع حقوق الإنسان، وخاصة الحقوق الاقتصادية</w:t>
      </w:r>
      <w:r>
        <w:rPr>
          <w:rtl/>
        </w:rPr>
        <w:t xml:space="preserve"> والاجتماعية والثقافية</w:t>
      </w:r>
    </w:p>
    <w:p w14:paraId="726ACC43" w14:textId="77777777" w:rsidR="00634F23" w:rsidRPr="00634F23" w:rsidRDefault="00634F23" w:rsidP="001D01C0">
      <w:pPr>
        <w:pStyle w:val="SingleTxtGA"/>
        <w:spacing w:line="340" w:lineRule="exact"/>
        <w:rPr>
          <w:i/>
          <w:iCs/>
          <w:rtl/>
        </w:rPr>
      </w:pPr>
      <w:r>
        <w:rPr>
          <w:rtl/>
        </w:rPr>
        <w:tab/>
      </w:r>
      <w:r w:rsidRPr="00634F23">
        <w:rPr>
          <w:i/>
          <w:iCs/>
          <w:rtl/>
        </w:rPr>
        <w:t>إن مجلس حقوق الإنسان،</w:t>
      </w:r>
    </w:p>
    <w:p w14:paraId="062B2E30" w14:textId="77777777" w:rsidR="00634F23" w:rsidRDefault="00634F23" w:rsidP="001D01C0">
      <w:pPr>
        <w:pStyle w:val="SingleTxtGA"/>
        <w:spacing w:line="340" w:lineRule="exact"/>
        <w:rPr>
          <w:rtl/>
        </w:rPr>
      </w:pPr>
      <w:r>
        <w:rPr>
          <w:rtl/>
        </w:rPr>
        <w:tab/>
      </w:r>
      <w:r w:rsidRPr="00634F23">
        <w:rPr>
          <w:i/>
          <w:iCs/>
          <w:rtl/>
        </w:rPr>
        <w:t>إذ يسترشد</w:t>
      </w:r>
      <w:r>
        <w:rPr>
          <w:rtl/>
        </w:rPr>
        <w:t xml:space="preserve"> بميثاق الأمم المتحدة، وبالإعلان العالمي لحقوق الإنسان، وبإعلان وبرنامج عمل فيينا، وبالصكوك الدولية الأخرى ذات الصلة بحقوق الإنسان،</w:t>
      </w:r>
    </w:p>
    <w:p w14:paraId="4197A70D" w14:textId="77777777" w:rsidR="00634F23" w:rsidRDefault="00634F23" w:rsidP="001D01C0">
      <w:pPr>
        <w:pStyle w:val="SingleTxtGA"/>
        <w:spacing w:line="340" w:lineRule="exact"/>
        <w:rPr>
          <w:rtl/>
        </w:rPr>
      </w:pPr>
      <w:r>
        <w:rPr>
          <w:rtl/>
        </w:rPr>
        <w:tab/>
      </w:r>
      <w:r w:rsidRPr="00634F23">
        <w:rPr>
          <w:i/>
          <w:iCs/>
          <w:rtl/>
        </w:rPr>
        <w:t>وإذ يعيد تأكيد</w:t>
      </w:r>
      <w:r>
        <w:rPr>
          <w:rtl/>
        </w:rPr>
        <w:t xml:space="preserve"> جميع القرارات والمقررات التي اعتمدتها لجنة حقوق الإنسان واعتمدها مجلس حقوق الإنسان بشأن آثار سياسات التكيف الهيكلي والإصلاح الاقتصادي والديون الخارجية على التمتع الكامل بجميع حقوق الإنسان، وخاصة الحقوق الاقتصادية والاجتماعية والثقافية، وآخرها قرار المجلس </w:t>
      </w:r>
      <w:r w:rsidRPr="00634F23">
        <w:rPr>
          <w:szCs w:val="20"/>
          <w:rtl/>
        </w:rPr>
        <w:t>40</w:t>
      </w:r>
      <w:r>
        <w:rPr>
          <w:rtl/>
        </w:rPr>
        <w:t>/</w:t>
      </w:r>
      <w:r w:rsidRPr="00634F23">
        <w:rPr>
          <w:szCs w:val="20"/>
          <w:rtl/>
        </w:rPr>
        <w:t>8</w:t>
      </w:r>
      <w:r>
        <w:rPr>
          <w:rtl/>
        </w:rPr>
        <w:t xml:space="preserve"> المؤرخ </w:t>
      </w:r>
      <w:r w:rsidRPr="00634F23">
        <w:rPr>
          <w:szCs w:val="20"/>
          <w:rtl/>
        </w:rPr>
        <w:t>21</w:t>
      </w:r>
      <w:r>
        <w:rPr>
          <w:rtl/>
        </w:rPr>
        <w:t xml:space="preserve"> آذار/مارس </w:t>
      </w:r>
      <w:r w:rsidRPr="00634F23">
        <w:rPr>
          <w:szCs w:val="20"/>
          <w:rtl/>
        </w:rPr>
        <w:t>2019</w:t>
      </w:r>
      <w:r>
        <w:rPr>
          <w:rtl/>
        </w:rPr>
        <w:t>، وجميع القرارات الأخرى ذات الصلة،</w:t>
      </w:r>
    </w:p>
    <w:p w14:paraId="71F07FBA" w14:textId="343C6612" w:rsidR="00634F23" w:rsidRDefault="00634F23" w:rsidP="001D01C0">
      <w:pPr>
        <w:pStyle w:val="SingleTxtGA"/>
        <w:spacing w:line="340" w:lineRule="exact"/>
        <w:rPr>
          <w:rtl/>
        </w:rPr>
      </w:pPr>
      <w:r>
        <w:rPr>
          <w:rtl/>
        </w:rPr>
        <w:tab/>
      </w:r>
      <w:r w:rsidRPr="00634F23">
        <w:rPr>
          <w:i/>
          <w:iCs/>
          <w:rtl/>
        </w:rPr>
        <w:t>وإذ يشير</w:t>
      </w:r>
      <w:r>
        <w:rPr>
          <w:rtl/>
        </w:rPr>
        <w:t xml:space="preserve"> إلى قراري مجلس حقوق الإنسان </w:t>
      </w:r>
      <w:r w:rsidRPr="00634F23">
        <w:rPr>
          <w:szCs w:val="20"/>
          <w:rtl/>
        </w:rPr>
        <w:t>5</w:t>
      </w:r>
      <w:r>
        <w:rPr>
          <w:rtl/>
        </w:rPr>
        <w:t>/</w:t>
      </w:r>
      <w:r w:rsidRPr="00634F23">
        <w:rPr>
          <w:szCs w:val="20"/>
          <w:rtl/>
        </w:rPr>
        <w:t>1</w:t>
      </w:r>
      <w:r>
        <w:rPr>
          <w:rtl/>
        </w:rPr>
        <w:t xml:space="preserve"> بشأن بناء مؤسسات مجلس حقوق الإنسان، </w:t>
      </w:r>
      <w:r w:rsidRPr="005464AD">
        <w:rPr>
          <w:spacing w:val="-4"/>
          <w:rtl/>
        </w:rPr>
        <w:t>و</w:t>
      </w:r>
      <w:r w:rsidRPr="005464AD">
        <w:rPr>
          <w:spacing w:val="-4"/>
          <w:szCs w:val="20"/>
          <w:rtl/>
        </w:rPr>
        <w:t>5</w:t>
      </w:r>
      <w:r w:rsidRPr="005464AD">
        <w:rPr>
          <w:spacing w:val="-4"/>
          <w:rtl/>
        </w:rPr>
        <w:t>/</w:t>
      </w:r>
      <w:r w:rsidRPr="005464AD">
        <w:rPr>
          <w:spacing w:val="-4"/>
          <w:szCs w:val="20"/>
          <w:rtl/>
        </w:rPr>
        <w:t>2</w:t>
      </w:r>
      <w:r w:rsidRPr="005464AD">
        <w:rPr>
          <w:spacing w:val="-4"/>
          <w:rtl/>
        </w:rPr>
        <w:t xml:space="preserve"> بشأن مدونة قواعد السلوك لأصحاب الولايات في إطار الإجراءات الخاصة للمجلس، المؤرخيْن</w:t>
      </w:r>
      <w:r w:rsidR="001D01C0">
        <w:rPr>
          <w:rFonts w:hint="cs"/>
          <w:spacing w:val="-4"/>
          <w:rtl/>
        </w:rPr>
        <w:t> </w:t>
      </w:r>
      <w:r w:rsidRPr="005464AD">
        <w:rPr>
          <w:spacing w:val="-4"/>
          <w:szCs w:val="20"/>
          <w:rtl/>
        </w:rPr>
        <w:t>18</w:t>
      </w:r>
      <w:r>
        <w:rPr>
          <w:rtl/>
        </w:rPr>
        <w:t xml:space="preserve"> حزيران/يونيه </w:t>
      </w:r>
      <w:r w:rsidRPr="00634F23">
        <w:rPr>
          <w:szCs w:val="20"/>
          <w:rtl/>
        </w:rPr>
        <w:t>2007</w:t>
      </w:r>
      <w:r>
        <w:rPr>
          <w:rtl/>
        </w:rPr>
        <w:t>، وإذ يشدد على أن يضطلع المكلف(ة) بالولاية بواجباته(ا) طبقاً للقرارين المذكورين ومرفقيهما،</w:t>
      </w:r>
    </w:p>
    <w:p w14:paraId="3260F2E4" w14:textId="77777777" w:rsidR="00634F23" w:rsidRDefault="00634F23" w:rsidP="001D01C0">
      <w:pPr>
        <w:pStyle w:val="SingleTxtGA"/>
        <w:spacing w:line="340" w:lineRule="exact"/>
        <w:rPr>
          <w:rtl/>
        </w:rPr>
      </w:pPr>
      <w:r>
        <w:rPr>
          <w:rtl/>
        </w:rPr>
        <w:tab/>
      </w:r>
      <w:r w:rsidRPr="00634F23">
        <w:rPr>
          <w:i/>
          <w:iCs/>
          <w:rtl/>
        </w:rPr>
        <w:t>وإذ يشدد</w:t>
      </w:r>
      <w:r>
        <w:rPr>
          <w:rtl/>
        </w:rPr>
        <w:t xml:space="preserve"> على أن أحد مقاصد الأمم المتحدة يتمثل في تحقيق التعاون الدولي لحل المشاكل الدولية ذات الطابع الاقتصادي أو الاجتماعي أو الثقافي أو الإنساني،</w:t>
      </w:r>
    </w:p>
    <w:p w14:paraId="4C52D318" w14:textId="77777777" w:rsidR="00634F23" w:rsidRDefault="00634F23" w:rsidP="001D01C0">
      <w:pPr>
        <w:pStyle w:val="SingleTxtGA"/>
        <w:spacing w:line="340" w:lineRule="exact"/>
        <w:rPr>
          <w:rtl/>
        </w:rPr>
      </w:pPr>
      <w:r>
        <w:rPr>
          <w:rtl/>
        </w:rPr>
        <w:tab/>
      </w:r>
      <w:r w:rsidRPr="00634F23">
        <w:rPr>
          <w:i/>
          <w:iCs/>
          <w:rtl/>
        </w:rPr>
        <w:t>وإذ يؤكد</w:t>
      </w:r>
      <w:r>
        <w:rPr>
          <w:rtl/>
        </w:rPr>
        <w:t xml:space="preserve"> على أن المؤتمر العالمي لحقوق الإنسان اتفق على دعوة المجتمع الدولي إلى بذل كل ما في وسعه من أجل المساعدة على تخفيف عبء الديون الخارجية الواقع على عاتق البلدان النامية، بغية تكملة الجهود التي تبذلها حكومات هذه البلدان من أجل تحقيق الإعمال الكامل للحقوق الاقتصادية والاجتماعية والثقافية لشعوبها،</w:t>
      </w:r>
    </w:p>
    <w:p w14:paraId="20791763" w14:textId="77777777" w:rsidR="00634F23" w:rsidRDefault="00634F23" w:rsidP="00634F23">
      <w:pPr>
        <w:pStyle w:val="SingleTxtGA"/>
        <w:rPr>
          <w:rtl/>
        </w:rPr>
      </w:pPr>
      <w:r>
        <w:rPr>
          <w:rtl/>
        </w:rPr>
        <w:lastRenderedPageBreak/>
        <w:tab/>
      </w:r>
      <w:r w:rsidRPr="00634F23">
        <w:rPr>
          <w:i/>
          <w:iCs/>
          <w:rtl/>
        </w:rPr>
        <w:t>وإذ يشدّد</w:t>
      </w:r>
      <w:r>
        <w:rPr>
          <w:rtl/>
        </w:rPr>
        <w:t xml:space="preserve"> على أسبقية وسائل تنفيذ خطة التنمية المستدامة لعام </w:t>
      </w:r>
      <w:r w:rsidRPr="00634F23">
        <w:rPr>
          <w:szCs w:val="20"/>
          <w:rtl/>
        </w:rPr>
        <w:t>2030</w:t>
      </w:r>
      <w:r>
        <w:rPr>
          <w:rtl/>
        </w:rPr>
        <w:t>، وإذ يؤكد في هذا الصدد على المبادئ الأساسية للتعاون الدولي التي تتسم بأهمية محورية بالنسبة لتحقيق أهداف التنمية المستدامة في الواقع العملي،</w:t>
      </w:r>
    </w:p>
    <w:p w14:paraId="6082F85F" w14:textId="77777777" w:rsidR="00634F23" w:rsidRDefault="00634F23" w:rsidP="00634F23">
      <w:pPr>
        <w:pStyle w:val="SingleTxtGA"/>
        <w:rPr>
          <w:rtl/>
        </w:rPr>
      </w:pPr>
      <w:r w:rsidRPr="00043B1D">
        <w:rPr>
          <w:spacing w:val="-4"/>
          <w:rtl/>
        </w:rPr>
        <w:tab/>
      </w:r>
      <w:r w:rsidRPr="00043B1D">
        <w:rPr>
          <w:i/>
          <w:iCs/>
          <w:spacing w:val="-4"/>
          <w:rtl/>
        </w:rPr>
        <w:t>وإذ يشدد أيضاً</w:t>
      </w:r>
      <w:r w:rsidRPr="00043B1D">
        <w:rPr>
          <w:spacing w:val="-4"/>
          <w:rtl/>
        </w:rPr>
        <w:t xml:space="preserve"> على ما أُعرب عنه في خطة التنمية المستدامة لعام </w:t>
      </w:r>
      <w:r w:rsidRPr="00043B1D">
        <w:rPr>
          <w:spacing w:val="-4"/>
          <w:szCs w:val="20"/>
          <w:rtl/>
        </w:rPr>
        <w:t>2030</w:t>
      </w:r>
      <w:r w:rsidRPr="00043B1D">
        <w:rPr>
          <w:spacing w:val="-4"/>
          <w:rtl/>
        </w:rPr>
        <w:t xml:space="preserve"> من عزم على مساعدة</w:t>
      </w:r>
      <w:r>
        <w:rPr>
          <w:rtl/>
        </w:rPr>
        <w:t xml:space="preserve"> البلدان النامية في بلوغ القدرة على تحمل الديون الطويلة الأجل، عن طريق اتباع سياسات منسقة تهدف إلى دعم تمويل الديون والتخفيف من عبئها وإعادة هيكلتها، حسبما يكون مناسباً، وكذلك من عزم على معالجة الديون الخارجية للبلدان الفقيرة المثقلة بالديون للحد من محنة المديونية،</w:t>
      </w:r>
    </w:p>
    <w:p w14:paraId="1B7F3253" w14:textId="77777777" w:rsidR="00634F23" w:rsidRDefault="00634F23" w:rsidP="00634F23">
      <w:pPr>
        <w:pStyle w:val="SingleTxtGA"/>
        <w:rPr>
          <w:rtl/>
        </w:rPr>
      </w:pPr>
      <w:r>
        <w:rPr>
          <w:rtl/>
        </w:rPr>
        <w:tab/>
      </w:r>
      <w:r w:rsidRPr="00634F23">
        <w:rPr>
          <w:i/>
          <w:iCs/>
          <w:rtl/>
        </w:rPr>
        <w:t>وإذ يسلّم</w:t>
      </w:r>
      <w:r>
        <w:rPr>
          <w:rtl/>
        </w:rPr>
        <w:t xml:space="preserve"> بالالتزامات المتعهد بها في خطة عمل أديس أبابا للمؤتمر الثالث لتمويل التنمية، وإذ يلاحظ أن وضع بلدان كثيرة، على الرغم من الجهود الدولية المبذولة للتخفيف من الديون، ما زال هشاً أمام أزمة الديون وبعضها يوجد في خضم أزمة، بما في ذلك عدد من أقل البلدان نمواً ومن الدول الجزرية الصغيرة النامية وبعض البلدان المتقدمة،</w:t>
      </w:r>
    </w:p>
    <w:p w14:paraId="79BA5D82" w14:textId="77777777" w:rsidR="00634F23" w:rsidRDefault="00634F23" w:rsidP="00634F23">
      <w:pPr>
        <w:pStyle w:val="SingleTxtGA"/>
        <w:rPr>
          <w:rtl/>
        </w:rPr>
      </w:pPr>
      <w:r>
        <w:rPr>
          <w:rtl/>
        </w:rPr>
        <w:tab/>
      </w:r>
      <w:r w:rsidRPr="00634F23">
        <w:rPr>
          <w:i/>
          <w:iCs/>
          <w:rtl/>
        </w:rPr>
        <w:t>وإذ يسلّم أيضاً</w:t>
      </w:r>
      <w:r>
        <w:rPr>
          <w:rtl/>
        </w:rPr>
        <w:t xml:space="preserve"> بالحق السيادي لكل دولة في إعادة هيكلة ديونها السيادية، وهو حق ينبغي ألا يعطله أو يعوقه أي إجراء صادر عن دولة أخرى،</w:t>
      </w:r>
    </w:p>
    <w:p w14:paraId="7DA24FBD" w14:textId="77777777" w:rsidR="00634F23" w:rsidRDefault="00634F23" w:rsidP="00634F23">
      <w:pPr>
        <w:pStyle w:val="SingleTxtGA"/>
        <w:rPr>
          <w:rtl/>
        </w:rPr>
      </w:pPr>
      <w:r w:rsidRPr="00043B1D">
        <w:rPr>
          <w:spacing w:val="-2"/>
          <w:rtl/>
        </w:rPr>
        <w:tab/>
      </w:r>
      <w:r w:rsidRPr="00043B1D">
        <w:rPr>
          <w:i/>
          <w:iCs/>
          <w:spacing w:val="-2"/>
          <w:rtl/>
        </w:rPr>
        <w:t>وإذ يؤكّد</w:t>
      </w:r>
      <w:r w:rsidRPr="00043B1D">
        <w:rPr>
          <w:spacing w:val="-2"/>
          <w:rtl/>
        </w:rPr>
        <w:t xml:space="preserve"> أن عبء الديون يزيد من تفاقم المشاكل العديدة التي تواجهها البلدان النامية، ويسهم</w:t>
      </w:r>
      <w:r>
        <w:rPr>
          <w:rtl/>
        </w:rPr>
        <w:t xml:space="preserve"> في انتشار الفقر المدقع، ويمثل عقبة أمام التنمية البشرية المستدامة، ومن ثم يشكل عائقاً خطيراً أمام إعمال جميع حقوق الإنسان،</w:t>
      </w:r>
    </w:p>
    <w:p w14:paraId="56DA0E41" w14:textId="7DFD6D87" w:rsidR="00634F23" w:rsidRDefault="00634F23" w:rsidP="00634F23">
      <w:pPr>
        <w:pStyle w:val="SingleTxtGA"/>
        <w:rPr>
          <w:rtl/>
        </w:rPr>
      </w:pPr>
      <w:r>
        <w:rPr>
          <w:rtl/>
        </w:rPr>
        <w:tab/>
      </w:r>
      <w:r w:rsidRPr="00634F23">
        <w:rPr>
          <w:szCs w:val="20"/>
          <w:rtl/>
        </w:rPr>
        <w:t>1</w:t>
      </w:r>
      <w:r>
        <w:rPr>
          <w:rtl/>
        </w:rPr>
        <w:t>-</w:t>
      </w:r>
      <w:r>
        <w:rPr>
          <w:rtl/>
        </w:rPr>
        <w:tab/>
      </w:r>
      <w:r w:rsidRPr="00634F23">
        <w:rPr>
          <w:i/>
          <w:iCs/>
          <w:rtl/>
        </w:rPr>
        <w:t>يعرب عن تقديره</w:t>
      </w:r>
      <w:r>
        <w:rPr>
          <w:rtl/>
        </w:rPr>
        <w:t xml:space="preserve"> لأعمال وإسهامات الخبير 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w:t>
      </w:r>
      <w:r>
        <w:rPr>
          <w:vertAlign w:val="superscript"/>
          <w:rtl/>
        </w:rPr>
        <w:t>(</w:t>
      </w:r>
      <w:r>
        <w:rPr>
          <w:rStyle w:val="FootnoteReference"/>
          <w:rtl/>
        </w:rPr>
        <w:footnoteReference w:id="1"/>
      </w:r>
      <w:r>
        <w:rPr>
          <w:vertAlign w:val="superscript"/>
          <w:rtl/>
        </w:rPr>
        <w:t>)</w:t>
      </w:r>
      <w:r>
        <w:rPr>
          <w:rtl/>
        </w:rPr>
        <w:t>؛</w:t>
      </w:r>
    </w:p>
    <w:p w14:paraId="0661B28D" w14:textId="77777777" w:rsidR="00634F23" w:rsidRDefault="00634F23" w:rsidP="00634F23">
      <w:pPr>
        <w:pStyle w:val="SingleTxtGA"/>
        <w:rPr>
          <w:rtl/>
        </w:rPr>
      </w:pPr>
      <w:r>
        <w:rPr>
          <w:rtl/>
        </w:rPr>
        <w:tab/>
      </w:r>
      <w:r w:rsidRPr="00634F23">
        <w:rPr>
          <w:szCs w:val="20"/>
          <w:rtl/>
        </w:rPr>
        <w:t>2</w:t>
      </w:r>
      <w:r>
        <w:rPr>
          <w:rtl/>
        </w:rPr>
        <w:t>-</w:t>
      </w:r>
      <w:r>
        <w:rPr>
          <w:rtl/>
        </w:rPr>
        <w:tab/>
      </w:r>
      <w:r w:rsidRPr="00634F23">
        <w:rPr>
          <w:i/>
          <w:iCs/>
          <w:rtl/>
        </w:rPr>
        <w:t>يقرر</w:t>
      </w:r>
      <w:r>
        <w:rPr>
          <w:rtl/>
        </w:rPr>
        <w:t xml:space="preserve"> تمديد ولاية الخبير 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 لمدة ثلاث سنوات، وفقاً للشروط المنصوص عليها في قرار مجلس حقوق الإنسان </w:t>
      </w:r>
      <w:r w:rsidRPr="00634F23">
        <w:rPr>
          <w:szCs w:val="20"/>
          <w:rtl/>
        </w:rPr>
        <w:t>34</w:t>
      </w:r>
      <w:r>
        <w:rPr>
          <w:rtl/>
        </w:rPr>
        <w:t>/</w:t>
      </w:r>
      <w:r w:rsidRPr="00634F23">
        <w:rPr>
          <w:szCs w:val="20"/>
          <w:rtl/>
        </w:rPr>
        <w:t>3</w:t>
      </w:r>
      <w:r>
        <w:rPr>
          <w:rtl/>
        </w:rPr>
        <w:t>؛</w:t>
      </w:r>
    </w:p>
    <w:p w14:paraId="6D0B8404" w14:textId="77777777" w:rsidR="00634F23" w:rsidRDefault="00634F23" w:rsidP="00634F23">
      <w:pPr>
        <w:pStyle w:val="SingleTxtGA"/>
        <w:rPr>
          <w:rtl/>
        </w:rPr>
      </w:pPr>
      <w:r>
        <w:rPr>
          <w:rtl/>
        </w:rPr>
        <w:tab/>
      </w:r>
      <w:r w:rsidRPr="00634F23">
        <w:rPr>
          <w:szCs w:val="20"/>
          <w:rtl/>
        </w:rPr>
        <w:t>3</w:t>
      </w:r>
      <w:r>
        <w:rPr>
          <w:rtl/>
        </w:rPr>
        <w:t>-</w:t>
      </w:r>
      <w:r>
        <w:rPr>
          <w:rtl/>
        </w:rPr>
        <w:tab/>
      </w:r>
      <w:r w:rsidRPr="00634F23">
        <w:rPr>
          <w:i/>
          <w:iCs/>
          <w:rtl/>
        </w:rPr>
        <w:t>يشجع</w:t>
      </w:r>
      <w:r>
        <w:rPr>
          <w:rtl/>
        </w:rPr>
        <w:t xml:space="preserve"> الخبير المستقل على التعاون، وفقاً لولايته، مع اللجنة المعنية بالحقوق الاقتصادية والاجتماعية والثقافية، والمقرّرين الخاصين، والخبراء المستقلين، وأعضاء أفرقة الخبراء العاملة التابعة لمجلس حقوق الإنسان وأعضاء لجنته الاستشارية، بشأن المسائل المتعلقة بالحقوق الاقتصادية والاجتماعية والثقافية والحق في التنمية؛ </w:t>
      </w:r>
    </w:p>
    <w:p w14:paraId="6DD48184" w14:textId="77777777" w:rsidR="00634F23" w:rsidRDefault="00634F23" w:rsidP="00634F23">
      <w:pPr>
        <w:pStyle w:val="SingleTxtGA"/>
        <w:rPr>
          <w:rtl/>
        </w:rPr>
      </w:pPr>
      <w:r>
        <w:rPr>
          <w:rtl/>
        </w:rPr>
        <w:tab/>
      </w:r>
      <w:r w:rsidRPr="00634F23">
        <w:rPr>
          <w:szCs w:val="20"/>
          <w:rtl/>
        </w:rPr>
        <w:t>4</w:t>
      </w:r>
      <w:r>
        <w:rPr>
          <w:rtl/>
        </w:rPr>
        <w:t>-</w:t>
      </w:r>
      <w:r>
        <w:rPr>
          <w:rtl/>
        </w:rPr>
        <w:tab/>
      </w:r>
      <w:r w:rsidRPr="00634F23">
        <w:rPr>
          <w:i/>
          <w:iCs/>
          <w:rtl/>
        </w:rPr>
        <w:t>يطلب</w:t>
      </w:r>
      <w:r>
        <w:rPr>
          <w:rtl/>
        </w:rPr>
        <w:t xml:space="preserve"> إلى الخبير المستقل أن يقدم إليه وإلى الجمعية العامة تقارير منتظمة وفقاً لبرنامج عمل كل منهما؛ </w:t>
      </w:r>
    </w:p>
    <w:p w14:paraId="0C798CBB" w14:textId="77777777" w:rsidR="00634F23" w:rsidRDefault="00634F23" w:rsidP="00634F23">
      <w:pPr>
        <w:pStyle w:val="SingleTxtGA"/>
        <w:rPr>
          <w:rtl/>
        </w:rPr>
      </w:pPr>
      <w:r>
        <w:rPr>
          <w:rtl/>
        </w:rPr>
        <w:tab/>
      </w:r>
      <w:r w:rsidRPr="00634F23">
        <w:rPr>
          <w:szCs w:val="20"/>
          <w:rtl/>
        </w:rPr>
        <w:t>5</w:t>
      </w:r>
      <w:r>
        <w:rPr>
          <w:rtl/>
        </w:rPr>
        <w:t>-</w:t>
      </w:r>
      <w:r>
        <w:rPr>
          <w:rtl/>
        </w:rPr>
        <w:tab/>
      </w:r>
      <w:r w:rsidRPr="00634F23">
        <w:rPr>
          <w:i/>
          <w:iCs/>
          <w:rtl/>
        </w:rPr>
        <w:t>يطلب</w:t>
      </w:r>
      <w:r>
        <w:rPr>
          <w:rtl/>
        </w:rPr>
        <w:t xml:space="preserve"> إلى الأمين العام أن يزود الخبير المستقل/الخبيرة المستقلة بكل ما يلزم من مساعدة، وخاصة ما يلزم من موظفين وموارد للاضطلاع بمهامه/بمهامها؛ </w:t>
      </w:r>
    </w:p>
    <w:p w14:paraId="2E18AB71" w14:textId="77777777" w:rsidR="00634F23" w:rsidRDefault="00634F23" w:rsidP="00634F23">
      <w:pPr>
        <w:pStyle w:val="SingleTxtGA"/>
        <w:rPr>
          <w:rtl/>
        </w:rPr>
      </w:pPr>
      <w:r w:rsidRPr="001D01C0">
        <w:rPr>
          <w:spacing w:val="-4"/>
          <w:rtl/>
        </w:rPr>
        <w:tab/>
      </w:r>
      <w:r w:rsidRPr="001D01C0">
        <w:rPr>
          <w:spacing w:val="-4"/>
          <w:szCs w:val="20"/>
          <w:rtl/>
        </w:rPr>
        <w:t>6</w:t>
      </w:r>
      <w:r w:rsidRPr="001D01C0">
        <w:rPr>
          <w:spacing w:val="-4"/>
          <w:rtl/>
        </w:rPr>
        <w:t>-</w:t>
      </w:r>
      <w:r w:rsidRPr="001D01C0">
        <w:rPr>
          <w:spacing w:val="-4"/>
          <w:rtl/>
        </w:rPr>
        <w:tab/>
      </w:r>
      <w:r w:rsidRPr="001D01C0">
        <w:rPr>
          <w:i/>
          <w:iCs/>
          <w:spacing w:val="-4"/>
          <w:rtl/>
        </w:rPr>
        <w:t>يحث</w:t>
      </w:r>
      <w:r w:rsidRPr="001D01C0">
        <w:rPr>
          <w:spacing w:val="-4"/>
          <w:rtl/>
        </w:rPr>
        <w:t xml:space="preserve"> الحكومات والمنظمات الدولية والمؤسسات المالية الدولية والمنظمات غير الحكومية</w:t>
      </w:r>
      <w:r>
        <w:rPr>
          <w:rtl/>
        </w:rPr>
        <w:t xml:space="preserve"> والقطاع الخاص على التعاون الكامل مع الخبير المستقل في سياق الاضطلاع بالولاية؛ </w:t>
      </w:r>
    </w:p>
    <w:p w14:paraId="0375C8CC" w14:textId="5B0EEDF1" w:rsidR="00634F23" w:rsidRDefault="00634F23" w:rsidP="00634F23">
      <w:pPr>
        <w:pStyle w:val="SingleTxtGA"/>
        <w:rPr>
          <w:rtl/>
        </w:rPr>
      </w:pPr>
      <w:r>
        <w:rPr>
          <w:rtl/>
        </w:rPr>
        <w:lastRenderedPageBreak/>
        <w:tab/>
      </w:r>
      <w:r w:rsidRPr="00634F23">
        <w:rPr>
          <w:szCs w:val="20"/>
          <w:rtl/>
        </w:rPr>
        <w:t>7</w:t>
      </w:r>
      <w:r>
        <w:rPr>
          <w:rtl/>
        </w:rPr>
        <w:t>-</w:t>
      </w:r>
      <w:r>
        <w:rPr>
          <w:rtl/>
        </w:rPr>
        <w:tab/>
      </w:r>
      <w:r w:rsidRPr="00634F23">
        <w:rPr>
          <w:i/>
          <w:iCs/>
          <w:rtl/>
        </w:rPr>
        <w:t>يقرر</w:t>
      </w:r>
      <w:r>
        <w:rPr>
          <w:rtl/>
        </w:rPr>
        <w:t xml:space="preserve"> مواصلة نظره في هذه المسألة في إطار البند نفسه من جدول الأعمال، وفقاً </w:t>
      </w:r>
      <w:r w:rsidRPr="00634F23">
        <w:rPr>
          <w:rtl/>
        </w:rPr>
        <w:t>لبرنامج عمله.</w:t>
      </w:r>
    </w:p>
    <w:p w14:paraId="1A00DE51" w14:textId="623439E9" w:rsidR="001D01C0" w:rsidRPr="00322FEC" w:rsidRDefault="001D01C0" w:rsidP="001D01C0">
      <w:pPr>
        <w:pStyle w:val="SingleTxtGA"/>
        <w:jc w:val="right"/>
        <w:rPr>
          <w:i/>
          <w:iCs/>
          <w:sz w:val="28"/>
          <w:rtl/>
          <w:lang w:val="fr-CH"/>
        </w:rPr>
      </w:pPr>
      <w:r w:rsidRPr="00322FEC">
        <w:rPr>
          <w:szCs w:val="20"/>
          <w:rtl/>
        </w:rPr>
        <w:tab/>
      </w:r>
      <w:r w:rsidRPr="00322FEC">
        <w:rPr>
          <w:rFonts w:hint="eastAsia"/>
          <w:i/>
          <w:iCs/>
          <w:sz w:val="30"/>
          <w:szCs w:val="30"/>
          <w:rtl/>
          <w:lang w:val="fr-CH"/>
        </w:rPr>
        <w:t>الجلسة</w:t>
      </w:r>
      <w:r w:rsidRPr="00322FEC">
        <w:rPr>
          <w:rFonts w:hint="cs"/>
          <w:i/>
          <w:iCs/>
          <w:rtl/>
          <w:lang w:val="fr-CH"/>
        </w:rPr>
        <w:t xml:space="preserve"> </w:t>
      </w:r>
      <w:r>
        <w:rPr>
          <w:rFonts w:hint="cs"/>
          <w:i/>
          <w:iCs/>
          <w:szCs w:val="20"/>
          <w:rtl/>
          <w:lang w:val="fr-CH"/>
        </w:rPr>
        <w:t>44</w:t>
      </w:r>
      <w:r w:rsidRPr="00322FEC">
        <w:rPr>
          <w:i/>
          <w:iCs/>
          <w:rtl/>
          <w:lang w:val="fr-CH"/>
        </w:rPr>
        <w:br/>
      </w:r>
      <w:r>
        <w:rPr>
          <w:rFonts w:hint="cs"/>
          <w:i/>
          <w:iCs/>
          <w:szCs w:val="20"/>
          <w:rtl/>
          <w:lang w:val="fr-CH"/>
        </w:rPr>
        <w:t>19</w:t>
      </w:r>
      <w:r w:rsidRPr="00322FEC">
        <w:rPr>
          <w:rFonts w:hint="cs"/>
          <w:i/>
          <w:iCs/>
          <w:rtl/>
          <w:lang w:val="fr-CH"/>
        </w:rPr>
        <w:t xml:space="preserve"> </w:t>
      </w:r>
      <w:r w:rsidRPr="00322FEC">
        <w:rPr>
          <w:rFonts w:hint="eastAsia"/>
          <w:i/>
          <w:iCs/>
          <w:sz w:val="30"/>
          <w:szCs w:val="30"/>
          <w:rtl/>
          <w:lang w:val="fr-CH"/>
        </w:rPr>
        <w:t>حزيران</w:t>
      </w:r>
      <w:r w:rsidRPr="00322FEC">
        <w:rPr>
          <w:i/>
          <w:iCs/>
          <w:sz w:val="30"/>
          <w:szCs w:val="30"/>
          <w:rtl/>
          <w:lang w:val="fr-CH"/>
        </w:rPr>
        <w:t>/يونيه</w:t>
      </w:r>
      <w:r w:rsidRPr="00322FEC">
        <w:rPr>
          <w:rFonts w:hint="cs"/>
          <w:i/>
          <w:iCs/>
          <w:rtl/>
          <w:lang w:val="fr-CH"/>
        </w:rPr>
        <w:t xml:space="preserve"> </w:t>
      </w:r>
      <w:r w:rsidRPr="00322FEC">
        <w:rPr>
          <w:rFonts w:hint="cs"/>
          <w:i/>
          <w:iCs/>
          <w:szCs w:val="20"/>
          <w:rtl/>
          <w:lang w:val="fr-CH"/>
        </w:rPr>
        <w:t>2020</w:t>
      </w:r>
    </w:p>
    <w:p w14:paraId="7CDADEE7" w14:textId="4367F30E" w:rsidR="00634F23" w:rsidRDefault="00634F23" w:rsidP="00634F23">
      <w:pPr>
        <w:pStyle w:val="SingleTxtGA"/>
        <w:rPr>
          <w:rtl/>
        </w:rPr>
      </w:pPr>
      <w:r>
        <w:rPr>
          <w:rtl/>
        </w:rPr>
        <w:t xml:space="preserve">[اعتمد بتصويت مسجل بأغلبية </w:t>
      </w:r>
      <w:r w:rsidRPr="00634F23">
        <w:rPr>
          <w:szCs w:val="20"/>
          <w:rtl/>
        </w:rPr>
        <w:t>26</w:t>
      </w:r>
      <w:r>
        <w:rPr>
          <w:rtl/>
        </w:rPr>
        <w:t xml:space="preserve"> صوتاً مقابل </w:t>
      </w:r>
      <w:r w:rsidRPr="00634F23">
        <w:rPr>
          <w:szCs w:val="20"/>
          <w:rtl/>
        </w:rPr>
        <w:t>15</w:t>
      </w:r>
      <w:r>
        <w:rPr>
          <w:rtl/>
        </w:rPr>
        <w:t xml:space="preserve">، وامتناع </w:t>
      </w:r>
      <w:r w:rsidRPr="00634F23">
        <w:rPr>
          <w:szCs w:val="20"/>
          <w:rtl/>
        </w:rPr>
        <w:t>6</w:t>
      </w:r>
      <w:r>
        <w:rPr>
          <w:rtl/>
        </w:rPr>
        <w:t xml:space="preserve"> أعضاء عن التصويت. وكانت نتيجة التصويت كما يلي:</w:t>
      </w:r>
    </w:p>
    <w:p w14:paraId="73A639B4" w14:textId="77777777" w:rsidR="00634F23" w:rsidRPr="00634F23" w:rsidRDefault="00634F23" w:rsidP="00634F23">
      <w:pPr>
        <w:pStyle w:val="SingleTxtGA"/>
        <w:ind w:left="1928"/>
        <w:rPr>
          <w:i/>
          <w:iCs/>
          <w:rtl/>
        </w:rPr>
      </w:pPr>
      <w:r w:rsidRPr="00634F23">
        <w:rPr>
          <w:i/>
          <w:iCs/>
          <w:rtl/>
        </w:rPr>
        <w:t>المؤيدون:</w:t>
      </w:r>
    </w:p>
    <w:p w14:paraId="4B009CE9" w14:textId="77777777" w:rsidR="00634F23" w:rsidRDefault="00634F23" w:rsidP="00634F23">
      <w:pPr>
        <w:pStyle w:val="SingleTxtGA"/>
        <w:ind w:left="2608"/>
        <w:rPr>
          <w:rtl/>
        </w:rPr>
      </w:pPr>
      <w:r w:rsidRPr="001D01C0">
        <w:rPr>
          <w:spacing w:val="-5"/>
          <w:rtl/>
        </w:rPr>
        <w:t>الأرجنتين، وإريتريا، وإندونيسيا، وأنغولا، وأوروغواي، وباكستان، والبحرين، وبنغلاديش،</w:t>
      </w:r>
      <w:r>
        <w:rPr>
          <w:rtl/>
        </w:rPr>
        <w:t xml:space="preserve"> </w:t>
      </w:r>
      <w:r w:rsidRPr="001D01C0">
        <w:rPr>
          <w:spacing w:val="-5"/>
          <w:rtl/>
        </w:rPr>
        <w:t>وبوركينا فاسو، وتوغو، وجمهورية الكونغو الديمقراطية، والسنغال، والسودان، وشيلي،</w:t>
      </w:r>
      <w:r>
        <w:rPr>
          <w:rtl/>
        </w:rPr>
        <w:t xml:space="preserve"> والصومال، والفلبين</w:t>
      </w:r>
      <w:bookmarkStart w:id="0" w:name="_GoBack"/>
      <w:bookmarkEnd w:id="0"/>
      <w:r>
        <w:rPr>
          <w:rtl/>
        </w:rPr>
        <w:t>، وفنزويلا (جمهورية - البوليفارية)، وفيجي، وقطر، والكاميرون، وليبيا، وموريتانيا، وناميبيا، ونيبال، ونيجيريا، والهند</w:t>
      </w:r>
    </w:p>
    <w:p w14:paraId="71906D7C" w14:textId="77777777" w:rsidR="00634F23" w:rsidRPr="00634F23" w:rsidRDefault="00634F23" w:rsidP="00634F23">
      <w:pPr>
        <w:pStyle w:val="SingleTxtGA"/>
        <w:ind w:left="1928"/>
        <w:rPr>
          <w:i/>
          <w:iCs/>
          <w:rtl/>
        </w:rPr>
      </w:pPr>
      <w:r w:rsidRPr="00634F23">
        <w:rPr>
          <w:i/>
          <w:iCs/>
          <w:rtl/>
        </w:rPr>
        <w:t>المعارضون:</w:t>
      </w:r>
    </w:p>
    <w:p w14:paraId="4CC51BE4" w14:textId="77777777" w:rsidR="00634F23" w:rsidRDefault="00634F23" w:rsidP="00634F23">
      <w:pPr>
        <w:pStyle w:val="SingleTxtGA"/>
        <w:ind w:left="2608"/>
        <w:rPr>
          <w:rtl/>
        </w:rPr>
      </w:pPr>
      <w:r>
        <w:rPr>
          <w:rtl/>
        </w:rPr>
        <w:t>إسبانيا، وأستراليا، وألمانيا، وأوكرانيا، وإيطاليا، والبرازيل، وبلغاريا، وبولندا، وتشيكيا، وجمهورية كوريا، والدانمرك، وسلوفاكيا، والنمسا، وهولندا، واليابان</w:t>
      </w:r>
    </w:p>
    <w:p w14:paraId="40CBDEC2" w14:textId="77777777" w:rsidR="00634F23" w:rsidRPr="00634F23" w:rsidRDefault="00634F23" w:rsidP="00634F23">
      <w:pPr>
        <w:pStyle w:val="SingleTxtGA"/>
        <w:ind w:left="1928"/>
        <w:rPr>
          <w:i/>
          <w:iCs/>
          <w:rtl/>
        </w:rPr>
      </w:pPr>
      <w:r w:rsidRPr="00634F23">
        <w:rPr>
          <w:i/>
          <w:iCs/>
          <w:rtl/>
        </w:rPr>
        <w:t>الممتنعون عن التصويت:</w:t>
      </w:r>
    </w:p>
    <w:p w14:paraId="682D85A7" w14:textId="77777777" w:rsidR="00634F23" w:rsidRDefault="00634F23" w:rsidP="00634F23">
      <w:pPr>
        <w:pStyle w:val="SingleTxtGA"/>
        <w:ind w:left="2608"/>
        <w:rPr>
          <w:rtl/>
        </w:rPr>
      </w:pPr>
      <w:r>
        <w:rPr>
          <w:rtl/>
        </w:rPr>
        <w:t>أرمينيا، وأفغانستان، وبيرو، وجزر البهاما، وجزر مارشال، والمكسيك]</w:t>
      </w:r>
    </w:p>
    <w:p w14:paraId="669660EC" w14:textId="7F8BBACD" w:rsidR="00634F23" w:rsidRPr="00634F23" w:rsidRDefault="00634F23" w:rsidP="00634F23">
      <w:pPr>
        <w:spacing w:before="120"/>
        <w:jc w:val="center"/>
        <w:rPr>
          <w:u w:val="single"/>
          <w:rtl/>
        </w:rPr>
      </w:pPr>
      <w:r>
        <w:rPr>
          <w:u w:val="single"/>
          <w:rtl/>
        </w:rPr>
        <w:tab/>
      </w:r>
      <w:r>
        <w:rPr>
          <w:u w:val="single"/>
          <w:rtl/>
        </w:rPr>
        <w:tab/>
      </w:r>
      <w:r>
        <w:rPr>
          <w:u w:val="single"/>
          <w:rtl/>
        </w:rPr>
        <w:tab/>
      </w:r>
    </w:p>
    <w:sectPr w:rsidR="00634F23" w:rsidRPr="00634F23" w:rsidSect="002C1E4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27107" w14:textId="77777777" w:rsidR="00D37836" w:rsidRPr="002901D9" w:rsidRDefault="00D37836" w:rsidP="002901D9">
      <w:pPr>
        <w:spacing w:after="60" w:line="240" w:lineRule="auto"/>
        <w:rPr>
          <w:i/>
          <w:iCs/>
        </w:rPr>
      </w:pPr>
      <w:r>
        <w:rPr>
          <w:rFonts w:hint="cs"/>
          <w:i/>
          <w:iCs/>
          <w:rtl/>
        </w:rPr>
        <w:t>الحواشي</w:t>
      </w:r>
    </w:p>
  </w:endnote>
  <w:endnote w:type="continuationSeparator" w:id="0">
    <w:p w14:paraId="375CAA1A" w14:textId="77777777" w:rsidR="00D37836" w:rsidRDefault="00D378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EE0C9" w14:textId="77777777" w:rsidR="002C1E4A" w:rsidRPr="00634F23" w:rsidRDefault="00634F23" w:rsidP="00634F23">
    <w:pPr>
      <w:pStyle w:val="Footer"/>
      <w:tabs>
        <w:tab w:val="right" w:pos="9598"/>
      </w:tabs>
      <w:rPr>
        <w:sz w:val="17"/>
      </w:rPr>
    </w:pPr>
    <w:r>
      <w:rPr>
        <w:sz w:val="17"/>
      </w:rPr>
      <w:t>GE.20-08498</w:t>
    </w:r>
    <w:r>
      <w:rPr>
        <w:sz w:val="17"/>
      </w:rPr>
      <w:tab/>
    </w:r>
    <w:r w:rsidRPr="00634F23">
      <w:rPr>
        <w:b/>
        <w:sz w:val="18"/>
      </w:rPr>
      <w:fldChar w:fldCharType="begin"/>
    </w:r>
    <w:r w:rsidRPr="00634F23">
      <w:rPr>
        <w:b/>
        <w:sz w:val="18"/>
      </w:rPr>
      <w:instrText xml:space="preserve"> PAGE  \* MERGEFORMAT </w:instrText>
    </w:r>
    <w:r w:rsidRPr="00634F23">
      <w:rPr>
        <w:b/>
        <w:sz w:val="18"/>
      </w:rPr>
      <w:fldChar w:fldCharType="separate"/>
    </w:r>
    <w:r>
      <w:rPr>
        <w:b/>
        <w:sz w:val="18"/>
      </w:rPr>
      <w:t>2</w:t>
    </w:r>
    <w:r w:rsidRPr="00634F2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C1086" w14:textId="77777777" w:rsidR="006959B0" w:rsidRPr="00634F23" w:rsidRDefault="00634F23" w:rsidP="006959B0">
    <w:pPr>
      <w:pStyle w:val="Footer"/>
      <w:tabs>
        <w:tab w:val="right" w:pos="9599"/>
      </w:tabs>
      <w:jc w:val="left"/>
      <w:rPr>
        <w:b/>
        <w:sz w:val="18"/>
        <w:lang w:val="en-US"/>
      </w:rPr>
    </w:pPr>
    <w:r w:rsidRPr="00634F23">
      <w:rPr>
        <w:b/>
        <w:sz w:val="18"/>
        <w:lang w:val="en-US"/>
      </w:rPr>
      <w:fldChar w:fldCharType="begin"/>
    </w:r>
    <w:r w:rsidRPr="00634F23">
      <w:rPr>
        <w:b/>
        <w:sz w:val="18"/>
        <w:lang w:val="en-US"/>
      </w:rPr>
      <w:instrText xml:space="preserve"> PAGE  \* MERGEFORMAT </w:instrText>
    </w:r>
    <w:r w:rsidRPr="00634F23">
      <w:rPr>
        <w:b/>
        <w:sz w:val="18"/>
        <w:lang w:val="en-US"/>
      </w:rPr>
      <w:fldChar w:fldCharType="separate"/>
    </w:r>
    <w:r w:rsidRPr="00634F23">
      <w:rPr>
        <w:b/>
        <w:noProof/>
        <w:sz w:val="18"/>
        <w:lang w:val="en-US"/>
      </w:rPr>
      <w:t>3</w:t>
    </w:r>
    <w:r w:rsidRPr="00634F23">
      <w:rPr>
        <w:b/>
        <w:sz w:val="18"/>
        <w:lang w:val="en-US"/>
      </w:rPr>
      <w:fldChar w:fldCharType="end"/>
    </w:r>
    <w:r>
      <w:rPr>
        <w:b/>
        <w:sz w:val="18"/>
        <w:lang w:val="en-US"/>
      </w:rPr>
      <w:tab/>
    </w:r>
    <w:r>
      <w:rPr>
        <w:sz w:val="17"/>
        <w:lang w:val="en-US"/>
      </w:rPr>
      <w:t>GE.20-08498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92EB6" w14:textId="2D5230EA" w:rsidR="00FD4BC9" w:rsidRDefault="002C1E4A" w:rsidP="00F6741C">
    <w:pPr>
      <w:pStyle w:val="Footer"/>
      <w:spacing w:before="360"/>
      <w:jc w:val="right"/>
      <w:rPr>
        <w:sz w:val="20"/>
        <w:szCs w:val="20"/>
      </w:rPr>
    </w:pPr>
    <w:r>
      <w:rPr>
        <w:sz w:val="20"/>
        <w:szCs w:val="20"/>
      </w:rPr>
      <w:t>GE.20-08498</w:t>
    </w:r>
    <w:r w:rsidR="00FD3348">
      <w:rPr>
        <w:noProof/>
      </w:rPr>
      <w:drawing>
        <wp:anchor distT="0" distB="0" distL="114300" distR="114300" simplePos="0" relativeHeight="251657728" behindDoc="1" locked="1" layoutInCell="0" allowOverlap="1" wp14:anchorId="2705ADC6" wp14:editId="6A7F3647">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4371C8C5" w14:textId="57A5B133" w:rsidR="002C1E4A" w:rsidRPr="002C1E4A" w:rsidRDefault="002C1E4A" w:rsidP="002C1E4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FD3348">
      <w:rPr>
        <w:noProof/>
      </w:rPr>
      <w:drawing>
        <wp:anchor distT="0" distB="0" distL="114300" distR="114300" simplePos="0" relativeHeight="251659776" behindDoc="0" locked="0" layoutInCell="1" allowOverlap="1" wp14:anchorId="1FE85DB9" wp14:editId="1B52EEF3">
          <wp:simplePos x="0" y="0"/>
          <wp:positionH relativeFrom="page">
            <wp:posOffset>719455</wp:posOffset>
          </wp:positionH>
          <wp:positionV relativeFrom="page">
            <wp:posOffset>9611995</wp:posOffset>
          </wp:positionV>
          <wp:extent cx="565150" cy="565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90CB3" w14:textId="77777777" w:rsidR="00D37836" w:rsidRPr="0054762C" w:rsidRDefault="00D37836" w:rsidP="000E524A">
      <w:pPr>
        <w:pStyle w:val="Footer"/>
        <w:bidi/>
        <w:spacing w:after="80" w:line="200" w:lineRule="exact"/>
        <w:ind w:left="680"/>
      </w:pPr>
      <w:r>
        <w:rPr>
          <w:rtl/>
        </w:rPr>
        <w:t>__________</w:t>
      </w:r>
    </w:p>
  </w:footnote>
  <w:footnote w:type="continuationSeparator" w:id="0">
    <w:p w14:paraId="75C12CEE" w14:textId="77777777" w:rsidR="00D37836" w:rsidRDefault="00D37836" w:rsidP="00656392">
      <w:pPr>
        <w:spacing w:line="240" w:lineRule="auto"/>
      </w:pPr>
      <w:r>
        <w:continuationSeparator/>
      </w:r>
    </w:p>
  </w:footnote>
  <w:footnote w:id="1">
    <w:p w14:paraId="7E5FE1E1" w14:textId="0E3831D7" w:rsidR="00634F23" w:rsidRPr="00634F23" w:rsidRDefault="00634F23" w:rsidP="00634F23">
      <w:pPr>
        <w:pStyle w:val="FootnoteText1"/>
        <w:rPr>
          <w:rFonts w:hint="cs"/>
        </w:rPr>
      </w:pPr>
      <w:r w:rsidRPr="00634F23">
        <w:rPr>
          <w:rtl/>
        </w:rPr>
        <w:t>(</w:t>
      </w:r>
      <w:r w:rsidRPr="00634F23">
        <w:rPr>
          <w:rStyle w:val="FootnoteReference"/>
          <w:vertAlign w:val="baseline"/>
        </w:rPr>
        <w:footnoteRef/>
      </w:r>
      <w:r>
        <w:rPr>
          <w:sz w:val="26"/>
          <w:rtl/>
        </w:rPr>
        <w:t>)</w:t>
      </w:r>
      <w:r>
        <w:rPr>
          <w:sz w:val="26"/>
          <w:rtl/>
        </w:rPr>
        <w:tab/>
      </w:r>
      <w:r w:rsidRPr="00634F23">
        <w:rPr>
          <w:rtl/>
        </w:rPr>
        <w:t xml:space="preserve">انظر(ي) </w:t>
      </w:r>
      <w:r w:rsidRPr="00634F23">
        <w:t>A/HRC/43/45</w:t>
      </w:r>
      <w:r w:rsidRPr="00634F23">
        <w:rPr>
          <w:rtl/>
        </w:rPr>
        <w:t xml:space="preserve"> و</w:t>
      </w:r>
      <w:r w:rsidRPr="00634F23">
        <w:t>Add.1</w:t>
      </w:r>
      <w:r w:rsidRPr="00634F23">
        <w:rPr>
          <w:rtl/>
        </w:rPr>
        <w:t xml:space="preserve"> و</w:t>
      </w:r>
      <w:r w:rsidRPr="00634F23">
        <w:t>Add.2</w:t>
      </w:r>
      <w:r w:rsidRPr="00634F23">
        <w:rPr>
          <w:rtl/>
        </w:rPr>
        <w:t>.</w:t>
      </w:r>
      <w:r w:rsidRPr="00634F2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F154F" w14:textId="77777777" w:rsidR="002C1E4A" w:rsidRPr="00634F23" w:rsidRDefault="00634F23" w:rsidP="00634F23">
    <w:pPr>
      <w:pStyle w:val="Header"/>
      <w:jc w:val="right"/>
    </w:pPr>
    <w:r w:rsidRPr="00634F23">
      <w:t>A/HRC/RES/43/10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3173A" w14:textId="77777777" w:rsidR="002C1E4A" w:rsidRPr="00634F23" w:rsidRDefault="00634F23" w:rsidP="00634F23">
    <w:pPr>
      <w:pStyle w:val="Header"/>
      <w:jc w:val="left"/>
    </w:pPr>
    <w:r w:rsidRPr="00634F23">
      <w:t>A/HRC/RES/43/10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D37836"/>
    <w:rsid w:val="000076D5"/>
    <w:rsid w:val="00043663"/>
    <w:rsid w:val="00043B1D"/>
    <w:rsid w:val="000505CF"/>
    <w:rsid w:val="000D701C"/>
    <w:rsid w:val="000E2A71"/>
    <w:rsid w:val="000E524A"/>
    <w:rsid w:val="000F4D63"/>
    <w:rsid w:val="00160263"/>
    <w:rsid w:val="001773DB"/>
    <w:rsid w:val="00181F96"/>
    <w:rsid w:val="001A1371"/>
    <w:rsid w:val="001B346A"/>
    <w:rsid w:val="001D01C0"/>
    <w:rsid w:val="001E1CAD"/>
    <w:rsid w:val="001E290D"/>
    <w:rsid w:val="002144FA"/>
    <w:rsid w:val="0023469A"/>
    <w:rsid w:val="00243809"/>
    <w:rsid w:val="00243C8A"/>
    <w:rsid w:val="00267A0E"/>
    <w:rsid w:val="00281242"/>
    <w:rsid w:val="002901D9"/>
    <w:rsid w:val="002976C2"/>
    <w:rsid w:val="002C1E4A"/>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4F5F27"/>
    <w:rsid w:val="00517BC9"/>
    <w:rsid w:val="005212F8"/>
    <w:rsid w:val="00527E4C"/>
    <w:rsid w:val="0054472E"/>
    <w:rsid w:val="005464AD"/>
    <w:rsid w:val="0054762C"/>
    <w:rsid w:val="005662A9"/>
    <w:rsid w:val="005817D9"/>
    <w:rsid w:val="005827D4"/>
    <w:rsid w:val="0059622A"/>
    <w:rsid w:val="005C5878"/>
    <w:rsid w:val="005C7CEA"/>
    <w:rsid w:val="005D3C0B"/>
    <w:rsid w:val="005E5217"/>
    <w:rsid w:val="005F0FA4"/>
    <w:rsid w:val="005F30EE"/>
    <w:rsid w:val="0060473A"/>
    <w:rsid w:val="00606EDF"/>
    <w:rsid w:val="00634F23"/>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37836"/>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3348"/>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3497568"/>
  <w15:docId w15:val="{175E0CD9-2BD5-4D38-AF18-506985222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45600-5765-41B3-8341-AAE94A018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A/HRC/RES/43/10</vt:lpstr>
    </vt:vector>
  </TitlesOfParts>
  <Company>DCM</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A/HRC/RES/43/10</dc:title>
  <dc:subject>GE.2008498</dc:subject>
  <dc:creator>Gamal MAHMOUD-AAL</dc:creator>
  <cp:keywords>ODS No.2015633</cp:keywords>
  <dc:description>Distr.: General_x000d_
29 June 2020_x000d_
Original: English</dc:description>
  <cp:lastModifiedBy>Gamal MAHMOUD</cp:lastModifiedBy>
  <cp:revision>2</cp:revision>
  <dcterms:created xsi:type="dcterms:W3CDTF">2020-07-06T10:54:00Z</dcterms:created>
  <dcterms:modified xsi:type="dcterms:W3CDTF">2020-07-06T10:54:00Z</dcterms:modified>
  <cp:category>Final</cp:category>
</cp:coreProperties>
</file>